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47A48" w14:textId="77777777" w:rsidR="00E42F2B" w:rsidRDefault="00E42F2B" w:rsidP="00844A1B">
      <w:pPr>
        <w:spacing w:line="276" w:lineRule="auto"/>
        <w:rPr>
          <w:rFonts w:ascii="Calibri" w:hAnsi="Calibri" w:cs="Calibri"/>
          <w:sz w:val="24"/>
          <w:szCs w:val="24"/>
          <w:lang w:val="en-US"/>
        </w:rPr>
      </w:pPr>
    </w:p>
    <w:p w14:paraId="20994A73" w14:textId="4C5964FF" w:rsidR="00844A1B" w:rsidRPr="00A752FB" w:rsidRDefault="00844A1B" w:rsidP="00844A1B">
      <w:pPr>
        <w:spacing w:line="276" w:lineRule="auto"/>
        <w:rPr>
          <w:rFonts w:ascii="Calibri" w:hAnsi="Calibri" w:cs="Calibri"/>
          <w:sz w:val="24"/>
          <w:szCs w:val="24"/>
          <w:lang w:val="en-US"/>
        </w:rPr>
      </w:pPr>
      <w:r w:rsidRPr="00A752FB">
        <w:rPr>
          <w:rFonts w:ascii="Calibri" w:hAnsi="Calibri" w:cs="Calibri"/>
          <w:sz w:val="24"/>
          <w:szCs w:val="24"/>
          <w:lang w:val="en-US"/>
        </w:rPr>
        <w:t>Prisma extension for scoping review</w:t>
      </w:r>
    </w:p>
    <w:p w14:paraId="33C9F346" w14:textId="0CAE5EDF" w:rsidR="00844A1B" w:rsidRPr="00695008" w:rsidRDefault="00844A1B" w:rsidP="00844A1B">
      <w:pPr>
        <w:keepNext/>
        <w:keepLines/>
        <w:spacing w:line="240" w:lineRule="auto"/>
        <w:outlineLvl w:val="0"/>
        <w:rPr>
          <w:rFonts w:ascii="Calibri" w:eastAsiaTheme="majorEastAsia" w:hAnsi="Calibri" w:cs="Calibri"/>
          <w:b/>
          <w:bCs/>
          <w:color w:val="FF0000"/>
          <w:sz w:val="24"/>
          <w:szCs w:val="24"/>
        </w:rPr>
      </w:pPr>
      <w:r w:rsidRPr="00374044">
        <w:rPr>
          <w:rFonts w:ascii="Calibri" w:eastAsiaTheme="majorEastAsia" w:hAnsi="Calibri" w:cs="Calibri"/>
          <w:b/>
          <w:bCs/>
          <w:sz w:val="24"/>
          <w:szCs w:val="24"/>
        </w:rPr>
        <w:t xml:space="preserve">Supplementary File </w:t>
      </w:r>
      <w:r w:rsidR="00374044" w:rsidRPr="00374044">
        <w:rPr>
          <w:rFonts w:ascii="Calibri" w:eastAsiaTheme="majorEastAsia" w:hAnsi="Calibri" w:cs="Calibri"/>
          <w:b/>
          <w:bCs/>
          <w:sz w:val="24"/>
          <w:szCs w:val="24"/>
        </w:rPr>
        <w:t>1</w:t>
      </w:r>
      <w:r w:rsidRPr="00374044">
        <w:rPr>
          <w:rFonts w:ascii="Calibri" w:eastAsiaTheme="majorEastAsia" w:hAnsi="Calibri" w:cs="Calibri"/>
          <w:b/>
          <w:bCs/>
          <w:sz w:val="24"/>
          <w:szCs w:val="24"/>
        </w:rPr>
        <w:t>: PRISMA-</w:t>
      </w:r>
      <w:proofErr w:type="spellStart"/>
      <w:r w:rsidRPr="00374044">
        <w:rPr>
          <w:rFonts w:ascii="Calibri" w:eastAsiaTheme="majorEastAsia" w:hAnsi="Calibri" w:cs="Calibri"/>
          <w:b/>
          <w:bCs/>
          <w:sz w:val="24"/>
          <w:szCs w:val="24"/>
        </w:rPr>
        <w:t>ScR</w:t>
      </w:r>
      <w:proofErr w:type="spellEnd"/>
      <w:r>
        <w:rPr>
          <w:rFonts w:ascii="Calibri" w:eastAsiaTheme="majorEastAsia" w:hAnsi="Calibri" w:cs="Calibri"/>
          <w:b/>
          <w:bCs/>
          <w:sz w:val="24"/>
          <w:szCs w:val="24"/>
        </w:rPr>
        <w:t xml:space="preserve"> </w:t>
      </w:r>
    </w:p>
    <w:tbl>
      <w:tblPr>
        <w:tblStyle w:val="TableGridLight1"/>
        <w:tblW w:w="0" w:type="auto"/>
        <w:tblLook w:val="04A0" w:firstRow="1" w:lastRow="0" w:firstColumn="1" w:lastColumn="0" w:noHBand="0" w:noVBand="1"/>
      </w:tblPr>
      <w:tblGrid>
        <w:gridCol w:w="2068"/>
        <w:gridCol w:w="694"/>
        <w:gridCol w:w="4702"/>
        <w:gridCol w:w="1552"/>
      </w:tblGrid>
      <w:tr w:rsidR="00844A1B" w:rsidRPr="00B34E16" w14:paraId="256CD173" w14:textId="77777777" w:rsidTr="00B753FD">
        <w:trPr>
          <w:tblHeader/>
        </w:trPr>
        <w:tc>
          <w:tcPr>
            <w:tcW w:w="0" w:type="auto"/>
            <w:shd w:val="clear" w:color="auto" w:fill="156082" w:themeFill="accent1"/>
            <w:vAlign w:val="center"/>
          </w:tcPr>
          <w:p w14:paraId="65868192" w14:textId="77777777" w:rsidR="00844A1B" w:rsidRPr="00B34E16" w:rsidRDefault="00844A1B" w:rsidP="00B753FD">
            <w:pPr>
              <w:rPr>
                <w:rFonts w:ascii="Arial" w:hAnsi="Arial" w:cs="Arial"/>
                <w:b/>
                <w:color w:val="F2F2F2" w:themeColor="background1" w:themeShade="F2"/>
                <w:sz w:val="20"/>
                <w:szCs w:val="20"/>
              </w:rPr>
            </w:pPr>
            <w:r w:rsidRPr="00B34E16">
              <w:rPr>
                <w:rFonts w:ascii="Arial" w:hAnsi="Arial" w:cs="Arial"/>
                <w:b/>
                <w:bCs/>
                <w:color w:val="F2F2F2" w:themeColor="background1" w:themeShade="F2"/>
                <w:sz w:val="20"/>
                <w:szCs w:val="20"/>
              </w:rPr>
              <w:t>SECTION</w:t>
            </w:r>
          </w:p>
        </w:tc>
        <w:tc>
          <w:tcPr>
            <w:tcW w:w="0" w:type="auto"/>
            <w:shd w:val="clear" w:color="auto" w:fill="156082" w:themeFill="accent1"/>
            <w:vAlign w:val="center"/>
          </w:tcPr>
          <w:p w14:paraId="7425A044" w14:textId="77777777" w:rsidR="00844A1B" w:rsidRPr="00B34E16" w:rsidRDefault="00844A1B" w:rsidP="00B753FD">
            <w:pPr>
              <w:autoSpaceDE w:val="0"/>
              <w:autoSpaceDN w:val="0"/>
              <w:adjustRightInd w:val="0"/>
              <w:jc w:val="center"/>
              <w:rPr>
                <w:rFonts w:ascii="Arial" w:hAnsi="Arial" w:cs="Arial"/>
                <w:b/>
                <w:color w:val="F2F2F2" w:themeColor="background1" w:themeShade="F2"/>
                <w:sz w:val="20"/>
                <w:szCs w:val="20"/>
              </w:rPr>
            </w:pPr>
            <w:r w:rsidRPr="00B34E16">
              <w:rPr>
                <w:rFonts w:ascii="Arial" w:hAnsi="Arial" w:cs="Arial"/>
                <w:b/>
                <w:bCs/>
                <w:color w:val="F2F2F2" w:themeColor="background1" w:themeShade="F2"/>
                <w:sz w:val="20"/>
                <w:szCs w:val="20"/>
              </w:rPr>
              <w:t>ITEM</w:t>
            </w:r>
          </w:p>
        </w:tc>
        <w:tc>
          <w:tcPr>
            <w:tcW w:w="0" w:type="auto"/>
            <w:shd w:val="clear" w:color="auto" w:fill="156082" w:themeFill="accent1"/>
            <w:vAlign w:val="center"/>
          </w:tcPr>
          <w:p w14:paraId="628255ED" w14:textId="77777777" w:rsidR="00844A1B" w:rsidRPr="00B34E16" w:rsidRDefault="00844A1B" w:rsidP="00B753FD">
            <w:pPr>
              <w:rPr>
                <w:rFonts w:ascii="Arial" w:hAnsi="Arial" w:cs="Arial"/>
                <w:b/>
                <w:color w:val="F2F2F2" w:themeColor="background1" w:themeShade="F2"/>
                <w:sz w:val="20"/>
                <w:szCs w:val="20"/>
              </w:rPr>
            </w:pPr>
            <w:r w:rsidRPr="00B34E16">
              <w:rPr>
                <w:rFonts w:ascii="Arial" w:hAnsi="Arial" w:cs="Arial"/>
                <w:b/>
                <w:color w:val="F2F2F2" w:themeColor="background1" w:themeShade="F2"/>
                <w:sz w:val="20"/>
                <w:szCs w:val="20"/>
              </w:rPr>
              <w:t>PRISMA-</w:t>
            </w:r>
            <w:proofErr w:type="spellStart"/>
            <w:r w:rsidRPr="00B34E16">
              <w:rPr>
                <w:rFonts w:ascii="Arial" w:hAnsi="Arial" w:cs="Arial"/>
                <w:b/>
                <w:color w:val="F2F2F2" w:themeColor="background1" w:themeShade="F2"/>
                <w:sz w:val="20"/>
                <w:szCs w:val="20"/>
              </w:rPr>
              <w:t>ScR</w:t>
            </w:r>
            <w:proofErr w:type="spellEnd"/>
            <w:r w:rsidRPr="00B34E16">
              <w:rPr>
                <w:rFonts w:ascii="Arial" w:hAnsi="Arial" w:cs="Arial"/>
                <w:b/>
                <w:color w:val="F2F2F2" w:themeColor="background1" w:themeShade="F2"/>
                <w:sz w:val="20"/>
                <w:szCs w:val="20"/>
              </w:rPr>
              <w:t xml:space="preserve"> CHECKLIST ITEM</w:t>
            </w:r>
          </w:p>
        </w:tc>
        <w:tc>
          <w:tcPr>
            <w:tcW w:w="0" w:type="auto"/>
            <w:shd w:val="clear" w:color="auto" w:fill="156082" w:themeFill="accent1"/>
            <w:vAlign w:val="center"/>
          </w:tcPr>
          <w:p w14:paraId="3D273D70" w14:textId="77777777" w:rsidR="00844A1B" w:rsidRPr="00B34E16" w:rsidRDefault="00844A1B" w:rsidP="00B753FD">
            <w:pPr>
              <w:rPr>
                <w:rFonts w:ascii="Arial" w:hAnsi="Arial" w:cs="Arial"/>
                <w:b/>
                <w:color w:val="F2F2F2" w:themeColor="background1" w:themeShade="F2"/>
                <w:sz w:val="20"/>
                <w:szCs w:val="20"/>
              </w:rPr>
            </w:pPr>
            <w:r w:rsidRPr="00B34E16">
              <w:rPr>
                <w:rFonts w:ascii="Arial" w:hAnsi="Arial" w:cs="Arial"/>
                <w:b/>
                <w:color w:val="F2F2F2" w:themeColor="background1" w:themeShade="F2"/>
                <w:sz w:val="20"/>
                <w:szCs w:val="20"/>
              </w:rPr>
              <w:t>REPORTED ON PAGE #</w:t>
            </w:r>
          </w:p>
        </w:tc>
      </w:tr>
      <w:tr w:rsidR="00844A1B" w:rsidRPr="00B34E16" w14:paraId="0EF6B23C" w14:textId="77777777" w:rsidTr="00B753FD">
        <w:tc>
          <w:tcPr>
            <w:tcW w:w="0" w:type="auto"/>
            <w:gridSpan w:val="4"/>
            <w:shd w:val="clear" w:color="auto" w:fill="C1E4F5" w:themeFill="accent1" w:themeFillTint="33"/>
            <w:vAlign w:val="center"/>
          </w:tcPr>
          <w:p w14:paraId="5AABE17F" w14:textId="77777777" w:rsidR="00844A1B" w:rsidRPr="00B34E16" w:rsidRDefault="00844A1B" w:rsidP="00B753FD">
            <w:pPr>
              <w:rPr>
                <w:rFonts w:ascii="Arial" w:hAnsi="Arial" w:cs="Arial"/>
                <w:b/>
                <w:sz w:val="20"/>
                <w:szCs w:val="20"/>
              </w:rPr>
            </w:pPr>
            <w:r w:rsidRPr="00B34E16">
              <w:rPr>
                <w:rFonts w:ascii="Arial" w:hAnsi="Arial" w:cs="Arial"/>
                <w:b/>
                <w:sz w:val="20"/>
                <w:szCs w:val="20"/>
              </w:rPr>
              <w:t>TITLE</w:t>
            </w:r>
          </w:p>
        </w:tc>
      </w:tr>
      <w:tr w:rsidR="00844A1B" w:rsidRPr="00B34E16" w14:paraId="0B01E569" w14:textId="77777777" w:rsidTr="00B753FD">
        <w:tc>
          <w:tcPr>
            <w:tcW w:w="0" w:type="auto"/>
            <w:vAlign w:val="center"/>
          </w:tcPr>
          <w:p w14:paraId="29206D42"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Title</w:t>
            </w:r>
          </w:p>
        </w:tc>
        <w:tc>
          <w:tcPr>
            <w:tcW w:w="0" w:type="auto"/>
            <w:vAlign w:val="center"/>
          </w:tcPr>
          <w:p w14:paraId="5C0C3F10"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1</w:t>
            </w:r>
          </w:p>
        </w:tc>
        <w:tc>
          <w:tcPr>
            <w:tcW w:w="0" w:type="auto"/>
            <w:vAlign w:val="center"/>
          </w:tcPr>
          <w:p w14:paraId="5CDC2A98" w14:textId="77777777" w:rsidR="00844A1B" w:rsidRPr="00B34E16" w:rsidRDefault="00844A1B" w:rsidP="00B753FD">
            <w:pPr>
              <w:rPr>
                <w:rFonts w:ascii="Arial" w:hAnsi="Arial" w:cs="Arial"/>
                <w:sz w:val="20"/>
                <w:szCs w:val="20"/>
              </w:rPr>
            </w:pPr>
            <w:r w:rsidRPr="00B34E16">
              <w:rPr>
                <w:rFonts w:ascii="Arial" w:hAnsi="Arial" w:cs="Arial"/>
                <w:sz w:val="20"/>
                <w:szCs w:val="20"/>
              </w:rPr>
              <w:t>Identify the report as a scoping review.</w:t>
            </w:r>
          </w:p>
        </w:tc>
        <w:sdt>
          <w:sdtPr>
            <w:rPr>
              <w:rFonts w:ascii="Arial" w:hAnsi="Arial" w:cs="Arial"/>
              <w:sz w:val="20"/>
              <w:szCs w:val="20"/>
            </w:rPr>
            <w:id w:val="1963379058"/>
            <w:placeholder>
              <w:docPart w:val="956FA44156BC47598B28A5FAC146A672"/>
            </w:placeholder>
          </w:sdtPr>
          <w:sdtContent>
            <w:tc>
              <w:tcPr>
                <w:tcW w:w="0" w:type="auto"/>
                <w:vAlign w:val="center"/>
              </w:tcPr>
              <w:p w14:paraId="055AE4A3" w14:textId="6AD6E038" w:rsidR="00844A1B" w:rsidRPr="00B34E16" w:rsidRDefault="00E42F2B" w:rsidP="00B753FD">
                <w:pPr>
                  <w:rPr>
                    <w:rFonts w:ascii="Arial" w:hAnsi="Arial" w:cs="Arial"/>
                    <w:sz w:val="20"/>
                    <w:szCs w:val="20"/>
                  </w:rPr>
                </w:pPr>
                <w:r>
                  <w:rPr>
                    <w:rFonts w:ascii="Arial" w:hAnsi="Arial" w:cs="Arial"/>
                    <w:sz w:val="20"/>
                    <w:szCs w:val="20"/>
                  </w:rPr>
                  <w:t>1</w:t>
                </w:r>
              </w:p>
            </w:tc>
          </w:sdtContent>
        </w:sdt>
      </w:tr>
      <w:tr w:rsidR="00844A1B" w:rsidRPr="00B34E16" w14:paraId="10F6F728" w14:textId="77777777" w:rsidTr="00B753FD">
        <w:tc>
          <w:tcPr>
            <w:tcW w:w="0" w:type="auto"/>
            <w:gridSpan w:val="4"/>
            <w:shd w:val="clear" w:color="auto" w:fill="C1E4F5" w:themeFill="accent1" w:themeFillTint="33"/>
            <w:vAlign w:val="center"/>
          </w:tcPr>
          <w:p w14:paraId="62CA965A" w14:textId="77777777" w:rsidR="00844A1B" w:rsidRPr="00B34E16" w:rsidRDefault="00844A1B" w:rsidP="00B753FD">
            <w:pPr>
              <w:rPr>
                <w:rFonts w:ascii="Arial" w:hAnsi="Arial" w:cs="Arial"/>
                <w:b/>
                <w:sz w:val="20"/>
                <w:szCs w:val="20"/>
              </w:rPr>
            </w:pPr>
            <w:r w:rsidRPr="00B34E16">
              <w:rPr>
                <w:rFonts w:ascii="Arial" w:hAnsi="Arial" w:cs="Arial"/>
                <w:b/>
                <w:sz w:val="20"/>
                <w:szCs w:val="20"/>
              </w:rPr>
              <w:t>ABSTRACT</w:t>
            </w:r>
          </w:p>
        </w:tc>
      </w:tr>
      <w:tr w:rsidR="00844A1B" w:rsidRPr="00B34E16" w14:paraId="2AE47C81" w14:textId="77777777" w:rsidTr="00B753FD">
        <w:tc>
          <w:tcPr>
            <w:tcW w:w="0" w:type="auto"/>
            <w:vAlign w:val="center"/>
          </w:tcPr>
          <w:p w14:paraId="6D7461B1"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Structured summary</w:t>
            </w:r>
          </w:p>
        </w:tc>
        <w:tc>
          <w:tcPr>
            <w:tcW w:w="0" w:type="auto"/>
            <w:vAlign w:val="center"/>
          </w:tcPr>
          <w:p w14:paraId="24D4AAEE"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2</w:t>
            </w:r>
          </w:p>
        </w:tc>
        <w:tc>
          <w:tcPr>
            <w:tcW w:w="0" w:type="auto"/>
            <w:vAlign w:val="center"/>
          </w:tcPr>
          <w:p w14:paraId="0DAE2808" w14:textId="77777777" w:rsidR="00844A1B" w:rsidRPr="00B34E16" w:rsidRDefault="00844A1B" w:rsidP="00B753FD">
            <w:pPr>
              <w:rPr>
                <w:rFonts w:ascii="Arial" w:hAnsi="Arial" w:cs="Arial"/>
                <w:sz w:val="20"/>
                <w:szCs w:val="20"/>
              </w:rPr>
            </w:pPr>
            <w:r w:rsidRPr="00B34E16">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952228756"/>
            <w:placeholder>
              <w:docPart w:val="956FA44156BC47598B28A5FAC146A672"/>
            </w:placeholder>
          </w:sdtPr>
          <w:sdtContent>
            <w:tc>
              <w:tcPr>
                <w:tcW w:w="0" w:type="auto"/>
                <w:vAlign w:val="center"/>
              </w:tcPr>
              <w:p w14:paraId="6D427DE4" w14:textId="621B2FF1" w:rsidR="00844A1B" w:rsidRPr="00B34E16" w:rsidRDefault="00E42F2B" w:rsidP="00B753FD">
                <w:pPr>
                  <w:rPr>
                    <w:rFonts w:ascii="Arial" w:hAnsi="Arial" w:cs="Arial"/>
                    <w:sz w:val="20"/>
                    <w:szCs w:val="20"/>
                  </w:rPr>
                </w:pPr>
                <w:r>
                  <w:rPr>
                    <w:rFonts w:ascii="Arial" w:hAnsi="Arial" w:cs="Arial"/>
                    <w:sz w:val="20"/>
                    <w:szCs w:val="20"/>
                  </w:rPr>
                  <w:t>1</w:t>
                </w:r>
              </w:p>
            </w:tc>
          </w:sdtContent>
        </w:sdt>
      </w:tr>
      <w:tr w:rsidR="00844A1B" w:rsidRPr="00B34E16" w14:paraId="1C33AD5C" w14:textId="77777777" w:rsidTr="00B753FD">
        <w:tc>
          <w:tcPr>
            <w:tcW w:w="0" w:type="auto"/>
            <w:gridSpan w:val="4"/>
            <w:shd w:val="clear" w:color="auto" w:fill="C1E4F5" w:themeFill="accent1" w:themeFillTint="33"/>
            <w:vAlign w:val="center"/>
          </w:tcPr>
          <w:p w14:paraId="1A893144" w14:textId="77777777" w:rsidR="00844A1B" w:rsidRPr="00B34E16" w:rsidRDefault="00844A1B" w:rsidP="00B753FD">
            <w:pPr>
              <w:tabs>
                <w:tab w:val="left" w:pos="1774"/>
              </w:tabs>
              <w:rPr>
                <w:rFonts w:ascii="Arial" w:hAnsi="Arial" w:cs="Arial"/>
                <w:b/>
                <w:sz w:val="20"/>
                <w:szCs w:val="20"/>
              </w:rPr>
            </w:pPr>
            <w:r w:rsidRPr="00B34E16">
              <w:rPr>
                <w:rFonts w:ascii="Arial" w:hAnsi="Arial" w:cs="Arial"/>
                <w:b/>
                <w:sz w:val="20"/>
                <w:szCs w:val="20"/>
              </w:rPr>
              <w:t>INTRODUCTION</w:t>
            </w:r>
          </w:p>
        </w:tc>
      </w:tr>
      <w:tr w:rsidR="00844A1B" w:rsidRPr="00B34E16" w14:paraId="1E39705D" w14:textId="77777777" w:rsidTr="00B753FD">
        <w:trPr>
          <w:trHeight w:val="530"/>
        </w:trPr>
        <w:tc>
          <w:tcPr>
            <w:tcW w:w="0" w:type="auto"/>
            <w:vAlign w:val="center"/>
          </w:tcPr>
          <w:p w14:paraId="058E69FB"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Rationale</w:t>
            </w:r>
          </w:p>
        </w:tc>
        <w:tc>
          <w:tcPr>
            <w:tcW w:w="0" w:type="auto"/>
            <w:vAlign w:val="center"/>
          </w:tcPr>
          <w:p w14:paraId="43848791"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3</w:t>
            </w:r>
          </w:p>
        </w:tc>
        <w:tc>
          <w:tcPr>
            <w:tcW w:w="0" w:type="auto"/>
            <w:vAlign w:val="center"/>
          </w:tcPr>
          <w:p w14:paraId="4E51A728" w14:textId="77777777" w:rsidR="00844A1B" w:rsidRPr="00B34E16" w:rsidRDefault="00844A1B" w:rsidP="00B753FD">
            <w:pPr>
              <w:rPr>
                <w:rFonts w:ascii="Arial" w:hAnsi="Arial" w:cs="Arial"/>
                <w:sz w:val="20"/>
                <w:szCs w:val="20"/>
              </w:rPr>
            </w:pPr>
            <w:r w:rsidRPr="00B34E16">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1043022132"/>
            <w:placeholder>
              <w:docPart w:val="956FA44156BC47598B28A5FAC146A672"/>
            </w:placeholder>
          </w:sdtPr>
          <w:sdtContent>
            <w:tc>
              <w:tcPr>
                <w:tcW w:w="0" w:type="auto"/>
                <w:vAlign w:val="center"/>
              </w:tcPr>
              <w:p w14:paraId="2D868F6F" w14:textId="7BA8E03B" w:rsidR="00844A1B" w:rsidRPr="00B34E16" w:rsidRDefault="00E42F2B" w:rsidP="00B753FD">
                <w:pPr>
                  <w:rPr>
                    <w:rFonts w:ascii="Arial" w:hAnsi="Arial" w:cs="Arial"/>
                    <w:sz w:val="20"/>
                    <w:szCs w:val="20"/>
                  </w:rPr>
                </w:pPr>
                <w:r>
                  <w:rPr>
                    <w:rFonts w:ascii="Arial" w:hAnsi="Arial" w:cs="Arial"/>
                    <w:sz w:val="20"/>
                    <w:szCs w:val="20"/>
                  </w:rPr>
                  <w:t>2</w:t>
                </w:r>
              </w:p>
            </w:tc>
          </w:sdtContent>
        </w:sdt>
      </w:tr>
      <w:tr w:rsidR="00844A1B" w:rsidRPr="00B34E16" w14:paraId="451AE564" w14:textId="77777777" w:rsidTr="00B753FD">
        <w:trPr>
          <w:trHeight w:val="800"/>
        </w:trPr>
        <w:tc>
          <w:tcPr>
            <w:tcW w:w="0" w:type="auto"/>
            <w:vAlign w:val="center"/>
          </w:tcPr>
          <w:p w14:paraId="1C986DDD"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Objectives</w:t>
            </w:r>
          </w:p>
        </w:tc>
        <w:tc>
          <w:tcPr>
            <w:tcW w:w="0" w:type="auto"/>
            <w:vAlign w:val="center"/>
          </w:tcPr>
          <w:p w14:paraId="1EBB751A"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4</w:t>
            </w:r>
          </w:p>
        </w:tc>
        <w:tc>
          <w:tcPr>
            <w:tcW w:w="0" w:type="auto"/>
            <w:vAlign w:val="center"/>
          </w:tcPr>
          <w:p w14:paraId="18883AAB" w14:textId="77777777" w:rsidR="00844A1B" w:rsidRPr="00B34E16" w:rsidRDefault="00844A1B" w:rsidP="00B753FD">
            <w:pPr>
              <w:rPr>
                <w:rFonts w:ascii="Arial" w:hAnsi="Arial" w:cs="Arial"/>
                <w:sz w:val="20"/>
                <w:szCs w:val="20"/>
              </w:rPr>
            </w:pPr>
            <w:r w:rsidRPr="00B34E16">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013761353"/>
            <w:placeholder>
              <w:docPart w:val="956FA44156BC47598B28A5FAC146A672"/>
            </w:placeholder>
          </w:sdtPr>
          <w:sdtContent>
            <w:tc>
              <w:tcPr>
                <w:tcW w:w="0" w:type="auto"/>
                <w:vAlign w:val="center"/>
              </w:tcPr>
              <w:p w14:paraId="3D3F6BE4" w14:textId="65A21A1D" w:rsidR="00844A1B" w:rsidRPr="00B34E16" w:rsidRDefault="00E42F2B" w:rsidP="00B753FD">
                <w:pPr>
                  <w:rPr>
                    <w:rFonts w:ascii="Arial" w:hAnsi="Arial" w:cs="Arial"/>
                    <w:sz w:val="20"/>
                    <w:szCs w:val="20"/>
                  </w:rPr>
                </w:pPr>
                <w:r>
                  <w:rPr>
                    <w:rFonts w:ascii="Arial" w:hAnsi="Arial" w:cs="Arial"/>
                    <w:sz w:val="20"/>
                    <w:szCs w:val="20"/>
                  </w:rPr>
                  <w:t>3</w:t>
                </w:r>
              </w:p>
            </w:tc>
          </w:sdtContent>
        </w:sdt>
      </w:tr>
      <w:tr w:rsidR="00844A1B" w:rsidRPr="00B34E16" w14:paraId="0DEF10A0" w14:textId="77777777" w:rsidTr="00B753FD">
        <w:tc>
          <w:tcPr>
            <w:tcW w:w="0" w:type="auto"/>
            <w:gridSpan w:val="4"/>
            <w:shd w:val="clear" w:color="auto" w:fill="C1E4F5" w:themeFill="accent1" w:themeFillTint="33"/>
            <w:vAlign w:val="center"/>
          </w:tcPr>
          <w:p w14:paraId="33DF05D2" w14:textId="77777777" w:rsidR="00844A1B" w:rsidRPr="00B34E16" w:rsidRDefault="00844A1B" w:rsidP="00B753FD">
            <w:pPr>
              <w:rPr>
                <w:rFonts w:ascii="Arial" w:hAnsi="Arial" w:cs="Arial"/>
                <w:b/>
                <w:sz w:val="20"/>
                <w:szCs w:val="20"/>
              </w:rPr>
            </w:pPr>
            <w:r w:rsidRPr="00B34E16">
              <w:rPr>
                <w:rFonts w:ascii="Arial" w:hAnsi="Arial" w:cs="Arial"/>
                <w:b/>
                <w:sz w:val="20"/>
                <w:szCs w:val="20"/>
              </w:rPr>
              <w:t>METHODS</w:t>
            </w:r>
          </w:p>
        </w:tc>
      </w:tr>
      <w:tr w:rsidR="00844A1B" w:rsidRPr="00B34E16" w14:paraId="484F28AA" w14:textId="77777777" w:rsidTr="00B753FD">
        <w:tc>
          <w:tcPr>
            <w:tcW w:w="0" w:type="auto"/>
            <w:vAlign w:val="center"/>
          </w:tcPr>
          <w:p w14:paraId="275D7A9B"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Protocol and registration</w:t>
            </w:r>
          </w:p>
        </w:tc>
        <w:tc>
          <w:tcPr>
            <w:tcW w:w="0" w:type="auto"/>
            <w:vAlign w:val="center"/>
          </w:tcPr>
          <w:p w14:paraId="483553CA"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5</w:t>
            </w:r>
          </w:p>
        </w:tc>
        <w:tc>
          <w:tcPr>
            <w:tcW w:w="0" w:type="auto"/>
            <w:vAlign w:val="center"/>
          </w:tcPr>
          <w:p w14:paraId="40DC5129" w14:textId="77777777" w:rsidR="00844A1B" w:rsidRPr="00B34E16" w:rsidRDefault="00844A1B" w:rsidP="00B753FD">
            <w:pPr>
              <w:rPr>
                <w:rFonts w:ascii="Arial" w:hAnsi="Arial" w:cs="Arial"/>
                <w:sz w:val="20"/>
                <w:szCs w:val="20"/>
              </w:rPr>
            </w:pPr>
            <w:r w:rsidRPr="00B34E16">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650363332"/>
            <w:placeholder>
              <w:docPart w:val="956FA44156BC47598B28A5FAC146A672"/>
            </w:placeholder>
          </w:sdtPr>
          <w:sdtContent>
            <w:tc>
              <w:tcPr>
                <w:tcW w:w="0" w:type="auto"/>
                <w:vAlign w:val="center"/>
              </w:tcPr>
              <w:p w14:paraId="5F22777F" w14:textId="2DD71997" w:rsidR="00844A1B" w:rsidRPr="00B34E16" w:rsidRDefault="00E42F2B" w:rsidP="00B753FD">
                <w:pPr>
                  <w:rPr>
                    <w:rFonts w:ascii="Arial" w:hAnsi="Arial" w:cs="Arial"/>
                    <w:sz w:val="20"/>
                    <w:szCs w:val="20"/>
                  </w:rPr>
                </w:pPr>
                <w:r>
                  <w:rPr>
                    <w:rFonts w:ascii="Arial" w:hAnsi="Arial" w:cs="Arial"/>
                    <w:sz w:val="20"/>
                    <w:szCs w:val="20"/>
                  </w:rPr>
                  <w:t>2</w:t>
                </w:r>
              </w:p>
            </w:tc>
          </w:sdtContent>
        </w:sdt>
      </w:tr>
      <w:tr w:rsidR="00844A1B" w:rsidRPr="00B34E16" w14:paraId="321E25DB" w14:textId="77777777" w:rsidTr="00B753FD">
        <w:tc>
          <w:tcPr>
            <w:tcW w:w="0" w:type="auto"/>
            <w:vAlign w:val="center"/>
          </w:tcPr>
          <w:p w14:paraId="1FD7E052"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Eligibility criteria</w:t>
            </w:r>
          </w:p>
        </w:tc>
        <w:tc>
          <w:tcPr>
            <w:tcW w:w="0" w:type="auto"/>
            <w:vAlign w:val="center"/>
          </w:tcPr>
          <w:p w14:paraId="37C5661B"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6</w:t>
            </w:r>
          </w:p>
        </w:tc>
        <w:tc>
          <w:tcPr>
            <w:tcW w:w="0" w:type="auto"/>
            <w:vAlign w:val="center"/>
          </w:tcPr>
          <w:p w14:paraId="2AEAFC1E" w14:textId="77777777" w:rsidR="00844A1B" w:rsidRPr="00B34E16" w:rsidRDefault="00844A1B" w:rsidP="00B753FD">
            <w:pPr>
              <w:rPr>
                <w:rFonts w:ascii="Arial" w:hAnsi="Arial" w:cs="Arial"/>
                <w:sz w:val="20"/>
                <w:szCs w:val="20"/>
              </w:rPr>
            </w:pPr>
            <w:r w:rsidRPr="00B34E16">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814480023"/>
            <w:placeholder>
              <w:docPart w:val="956FA44156BC47598B28A5FAC146A672"/>
            </w:placeholder>
          </w:sdtPr>
          <w:sdtContent>
            <w:tc>
              <w:tcPr>
                <w:tcW w:w="0" w:type="auto"/>
                <w:vAlign w:val="center"/>
              </w:tcPr>
              <w:p w14:paraId="13D6CA5E" w14:textId="64869584" w:rsidR="00844A1B" w:rsidRPr="00B34E16" w:rsidRDefault="00E42F2B" w:rsidP="00B753FD">
                <w:pPr>
                  <w:rPr>
                    <w:rFonts w:ascii="Arial" w:hAnsi="Arial" w:cs="Arial"/>
                    <w:sz w:val="20"/>
                    <w:szCs w:val="20"/>
                  </w:rPr>
                </w:pPr>
                <w:r>
                  <w:rPr>
                    <w:rFonts w:ascii="Arial" w:hAnsi="Arial" w:cs="Arial"/>
                    <w:sz w:val="20"/>
                    <w:szCs w:val="20"/>
                  </w:rPr>
                  <w:t>4</w:t>
                </w:r>
              </w:p>
            </w:tc>
          </w:sdtContent>
        </w:sdt>
      </w:tr>
      <w:tr w:rsidR="00844A1B" w:rsidRPr="00B34E16" w14:paraId="6B549834" w14:textId="77777777" w:rsidTr="00B753FD">
        <w:trPr>
          <w:trHeight w:val="260"/>
        </w:trPr>
        <w:tc>
          <w:tcPr>
            <w:tcW w:w="0" w:type="auto"/>
            <w:vAlign w:val="center"/>
          </w:tcPr>
          <w:p w14:paraId="499F14C1"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Information sources*</w:t>
            </w:r>
          </w:p>
        </w:tc>
        <w:tc>
          <w:tcPr>
            <w:tcW w:w="0" w:type="auto"/>
            <w:vAlign w:val="center"/>
          </w:tcPr>
          <w:p w14:paraId="76EC13EA"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7</w:t>
            </w:r>
          </w:p>
        </w:tc>
        <w:tc>
          <w:tcPr>
            <w:tcW w:w="0" w:type="auto"/>
            <w:vAlign w:val="center"/>
          </w:tcPr>
          <w:p w14:paraId="59C4F61C" w14:textId="77777777" w:rsidR="00844A1B" w:rsidRPr="00B34E16" w:rsidRDefault="00844A1B" w:rsidP="00B753FD">
            <w:pPr>
              <w:rPr>
                <w:rFonts w:ascii="Arial" w:hAnsi="Arial" w:cs="Arial"/>
                <w:sz w:val="20"/>
                <w:szCs w:val="20"/>
              </w:rPr>
            </w:pPr>
            <w:r w:rsidRPr="00B34E16">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654753833"/>
            <w:placeholder>
              <w:docPart w:val="956FA44156BC47598B28A5FAC146A672"/>
            </w:placeholder>
          </w:sdtPr>
          <w:sdtContent>
            <w:tc>
              <w:tcPr>
                <w:tcW w:w="0" w:type="auto"/>
                <w:vAlign w:val="center"/>
              </w:tcPr>
              <w:p w14:paraId="742284FB" w14:textId="43743A7D" w:rsidR="00844A1B" w:rsidRPr="00B34E16" w:rsidRDefault="00E42F2B" w:rsidP="00B753FD">
                <w:pPr>
                  <w:rPr>
                    <w:rFonts w:ascii="Arial" w:hAnsi="Arial" w:cs="Arial"/>
                    <w:sz w:val="20"/>
                    <w:szCs w:val="20"/>
                  </w:rPr>
                </w:pPr>
                <w:r>
                  <w:rPr>
                    <w:rFonts w:ascii="Arial" w:hAnsi="Arial" w:cs="Arial"/>
                    <w:sz w:val="20"/>
                    <w:szCs w:val="20"/>
                  </w:rPr>
                  <w:t>Supplemental files</w:t>
                </w:r>
              </w:p>
            </w:tc>
          </w:sdtContent>
        </w:sdt>
      </w:tr>
      <w:tr w:rsidR="00844A1B" w:rsidRPr="00B34E16" w14:paraId="169D0917" w14:textId="77777777" w:rsidTr="00B753FD">
        <w:tc>
          <w:tcPr>
            <w:tcW w:w="0" w:type="auto"/>
            <w:vAlign w:val="center"/>
          </w:tcPr>
          <w:p w14:paraId="275FE905"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Search</w:t>
            </w:r>
          </w:p>
        </w:tc>
        <w:tc>
          <w:tcPr>
            <w:tcW w:w="0" w:type="auto"/>
            <w:vAlign w:val="center"/>
          </w:tcPr>
          <w:p w14:paraId="257B2E79"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8</w:t>
            </w:r>
          </w:p>
        </w:tc>
        <w:tc>
          <w:tcPr>
            <w:tcW w:w="0" w:type="auto"/>
            <w:vAlign w:val="center"/>
          </w:tcPr>
          <w:p w14:paraId="01B2A0A4" w14:textId="77777777" w:rsidR="00844A1B" w:rsidRPr="00B34E16" w:rsidRDefault="00844A1B" w:rsidP="00B753FD">
            <w:pPr>
              <w:rPr>
                <w:rFonts w:ascii="Arial" w:hAnsi="Arial" w:cs="Arial"/>
                <w:sz w:val="20"/>
                <w:szCs w:val="20"/>
              </w:rPr>
            </w:pPr>
            <w:r w:rsidRPr="00B34E16">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1879040942"/>
            <w:placeholder>
              <w:docPart w:val="956FA44156BC47598B28A5FAC146A672"/>
            </w:placeholder>
          </w:sdtPr>
          <w:sdtContent>
            <w:sdt>
              <w:sdtPr>
                <w:rPr>
                  <w:rFonts w:ascii="Arial" w:hAnsi="Arial" w:cs="Arial"/>
                  <w:sz w:val="20"/>
                  <w:szCs w:val="20"/>
                </w:rPr>
                <w:id w:val="-27031742"/>
                <w:placeholder>
                  <w:docPart w:val="0B605D62DF3040CD83B2A2D87AE5BD29"/>
                </w:placeholder>
              </w:sdtPr>
              <w:sdtContent>
                <w:tc>
                  <w:tcPr>
                    <w:tcW w:w="0" w:type="auto"/>
                    <w:vAlign w:val="center"/>
                  </w:tcPr>
                  <w:p w14:paraId="3CC96E66" w14:textId="2C6682B5" w:rsidR="00844A1B" w:rsidRPr="00B34E16" w:rsidRDefault="00E42F2B" w:rsidP="00B753FD">
                    <w:pPr>
                      <w:rPr>
                        <w:rFonts w:ascii="Arial" w:hAnsi="Arial" w:cs="Arial"/>
                        <w:sz w:val="20"/>
                        <w:szCs w:val="20"/>
                      </w:rPr>
                    </w:pPr>
                    <w:r>
                      <w:rPr>
                        <w:rFonts w:ascii="Arial" w:hAnsi="Arial" w:cs="Arial"/>
                        <w:sz w:val="20"/>
                        <w:szCs w:val="20"/>
                      </w:rPr>
                      <w:t>Supplemental files</w:t>
                    </w:r>
                  </w:p>
                </w:tc>
              </w:sdtContent>
            </w:sdt>
          </w:sdtContent>
        </w:sdt>
      </w:tr>
      <w:tr w:rsidR="00844A1B" w:rsidRPr="00B34E16" w14:paraId="02534E09" w14:textId="77777777" w:rsidTr="00B753FD">
        <w:tc>
          <w:tcPr>
            <w:tcW w:w="0" w:type="auto"/>
            <w:vAlign w:val="center"/>
          </w:tcPr>
          <w:p w14:paraId="21726D28"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Selection of sources of evidence†</w:t>
            </w:r>
          </w:p>
        </w:tc>
        <w:tc>
          <w:tcPr>
            <w:tcW w:w="0" w:type="auto"/>
            <w:vAlign w:val="center"/>
          </w:tcPr>
          <w:p w14:paraId="3DD25B0B"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9</w:t>
            </w:r>
          </w:p>
        </w:tc>
        <w:tc>
          <w:tcPr>
            <w:tcW w:w="0" w:type="auto"/>
            <w:vAlign w:val="center"/>
          </w:tcPr>
          <w:p w14:paraId="49FB81B9" w14:textId="77777777" w:rsidR="00844A1B" w:rsidRPr="00B34E16" w:rsidRDefault="00844A1B" w:rsidP="00B753FD">
            <w:pPr>
              <w:rPr>
                <w:rFonts w:ascii="Arial" w:hAnsi="Arial" w:cs="Arial"/>
                <w:sz w:val="20"/>
                <w:szCs w:val="20"/>
              </w:rPr>
            </w:pPr>
            <w:r w:rsidRPr="00B34E16">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23150176"/>
            <w:placeholder>
              <w:docPart w:val="956FA44156BC47598B28A5FAC146A672"/>
            </w:placeholder>
          </w:sdtPr>
          <w:sdtContent>
            <w:tc>
              <w:tcPr>
                <w:tcW w:w="0" w:type="auto"/>
                <w:vAlign w:val="center"/>
              </w:tcPr>
              <w:p w14:paraId="50AC700C" w14:textId="39298CC2" w:rsidR="00844A1B" w:rsidRPr="00B34E16" w:rsidRDefault="00E42F2B" w:rsidP="00B753FD">
                <w:pPr>
                  <w:rPr>
                    <w:rFonts w:ascii="Arial" w:hAnsi="Arial" w:cs="Arial"/>
                    <w:sz w:val="20"/>
                    <w:szCs w:val="20"/>
                  </w:rPr>
                </w:pPr>
                <w:r>
                  <w:rPr>
                    <w:rFonts w:ascii="Arial" w:hAnsi="Arial" w:cs="Arial"/>
                    <w:sz w:val="20"/>
                    <w:szCs w:val="20"/>
                  </w:rPr>
                  <w:t>4-5</w:t>
                </w:r>
              </w:p>
            </w:tc>
          </w:sdtContent>
        </w:sdt>
      </w:tr>
      <w:tr w:rsidR="00844A1B" w:rsidRPr="00B34E16" w14:paraId="2C60B5DA" w14:textId="77777777" w:rsidTr="00B753FD">
        <w:tc>
          <w:tcPr>
            <w:tcW w:w="0" w:type="auto"/>
            <w:vAlign w:val="center"/>
          </w:tcPr>
          <w:p w14:paraId="50E5624C"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Data charting process‡</w:t>
            </w:r>
          </w:p>
        </w:tc>
        <w:tc>
          <w:tcPr>
            <w:tcW w:w="0" w:type="auto"/>
            <w:vAlign w:val="center"/>
          </w:tcPr>
          <w:p w14:paraId="0AF8CBD7"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10</w:t>
            </w:r>
          </w:p>
        </w:tc>
        <w:tc>
          <w:tcPr>
            <w:tcW w:w="0" w:type="auto"/>
            <w:vAlign w:val="center"/>
          </w:tcPr>
          <w:p w14:paraId="05B0B380" w14:textId="77777777" w:rsidR="00844A1B" w:rsidRPr="00B34E16" w:rsidRDefault="00844A1B" w:rsidP="00B753FD">
            <w:pPr>
              <w:rPr>
                <w:rFonts w:ascii="Arial" w:hAnsi="Arial" w:cs="Arial"/>
                <w:sz w:val="20"/>
                <w:szCs w:val="20"/>
              </w:rPr>
            </w:pPr>
            <w:r w:rsidRPr="00B34E16">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246625746"/>
            <w:placeholder>
              <w:docPart w:val="956FA44156BC47598B28A5FAC146A672"/>
            </w:placeholder>
          </w:sdtPr>
          <w:sdtContent>
            <w:tc>
              <w:tcPr>
                <w:tcW w:w="0" w:type="auto"/>
                <w:vAlign w:val="center"/>
              </w:tcPr>
              <w:p w14:paraId="66E2F869" w14:textId="70B3B025" w:rsidR="00844A1B" w:rsidRPr="00B34E16" w:rsidRDefault="00E42F2B" w:rsidP="00B753FD">
                <w:pPr>
                  <w:rPr>
                    <w:rFonts w:ascii="Arial" w:hAnsi="Arial" w:cs="Arial"/>
                    <w:sz w:val="20"/>
                    <w:szCs w:val="20"/>
                  </w:rPr>
                </w:pPr>
                <w:r>
                  <w:rPr>
                    <w:rFonts w:ascii="Arial" w:hAnsi="Arial" w:cs="Arial"/>
                    <w:sz w:val="20"/>
                    <w:szCs w:val="20"/>
                  </w:rPr>
                  <w:t>5</w:t>
                </w:r>
              </w:p>
            </w:tc>
          </w:sdtContent>
        </w:sdt>
      </w:tr>
      <w:tr w:rsidR="00844A1B" w:rsidRPr="00B34E16" w14:paraId="61DB887A" w14:textId="77777777" w:rsidTr="00B753FD">
        <w:trPr>
          <w:trHeight w:val="260"/>
        </w:trPr>
        <w:tc>
          <w:tcPr>
            <w:tcW w:w="0" w:type="auto"/>
            <w:vAlign w:val="center"/>
          </w:tcPr>
          <w:p w14:paraId="152D40A4"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Data items</w:t>
            </w:r>
          </w:p>
        </w:tc>
        <w:tc>
          <w:tcPr>
            <w:tcW w:w="0" w:type="auto"/>
            <w:vAlign w:val="center"/>
          </w:tcPr>
          <w:p w14:paraId="0415A242"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11</w:t>
            </w:r>
          </w:p>
        </w:tc>
        <w:tc>
          <w:tcPr>
            <w:tcW w:w="0" w:type="auto"/>
            <w:vAlign w:val="center"/>
          </w:tcPr>
          <w:p w14:paraId="4CFE66D0" w14:textId="77777777" w:rsidR="00844A1B" w:rsidRPr="00B34E16" w:rsidRDefault="00844A1B" w:rsidP="00B753FD">
            <w:pPr>
              <w:rPr>
                <w:rFonts w:ascii="Arial" w:hAnsi="Arial" w:cs="Arial"/>
                <w:sz w:val="20"/>
                <w:szCs w:val="20"/>
              </w:rPr>
            </w:pPr>
            <w:r w:rsidRPr="00B34E16">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4127294"/>
            <w:placeholder>
              <w:docPart w:val="956FA44156BC47598B28A5FAC146A672"/>
            </w:placeholder>
          </w:sdtPr>
          <w:sdtContent>
            <w:tc>
              <w:tcPr>
                <w:tcW w:w="0" w:type="auto"/>
                <w:vAlign w:val="center"/>
              </w:tcPr>
              <w:p w14:paraId="56BB132D" w14:textId="563C0F9A" w:rsidR="00844A1B" w:rsidRPr="00B34E16" w:rsidRDefault="00E42F2B" w:rsidP="00B753FD">
                <w:pPr>
                  <w:rPr>
                    <w:rFonts w:ascii="Arial" w:hAnsi="Arial" w:cs="Arial"/>
                    <w:sz w:val="20"/>
                    <w:szCs w:val="20"/>
                  </w:rPr>
                </w:pPr>
                <w:r>
                  <w:rPr>
                    <w:rFonts w:ascii="Arial" w:hAnsi="Arial" w:cs="Arial"/>
                    <w:sz w:val="20"/>
                    <w:szCs w:val="20"/>
                  </w:rPr>
                  <w:t>5</w:t>
                </w:r>
              </w:p>
            </w:tc>
          </w:sdtContent>
        </w:sdt>
      </w:tr>
      <w:tr w:rsidR="00844A1B" w:rsidRPr="00B34E16" w14:paraId="5B205CD7" w14:textId="77777777" w:rsidTr="00B753FD">
        <w:tc>
          <w:tcPr>
            <w:tcW w:w="0" w:type="auto"/>
            <w:vAlign w:val="center"/>
          </w:tcPr>
          <w:p w14:paraId="3E0F9613"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 xml:space="preserve">Critical appraisal of individual </w:t>
            </w:r>
            <w:r w:rsidRPr="00B34E16">
              <w:rPr>
                <w:rFonts w:ascii="Arial" w:hAnsi="Arial" w:cs="Arial"/>
                <w:sz w:val="20"/>
                <w:szCs w:val="20"/>
              </w:rPr>
              <w:lastRenderedPageBreak/>
              <w:t>sources of evidence§</w:t>
            </w:r>
          </w:p>
        </w:tc>
        <w:tc>
          <w:tcPr>
            <w:tcW w:w="0" w:type="auto"/>
            <w:vAlign w:val="center"/>
          </w:tcPr>
          <w:p w14:paraId="76FD2400"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lastRenderedPageBreak/>
              <w:t>12</w:t>
            </w:r>
          </w:p>
        </w:tc>
        <w:tc>
          <w:tcPr>
            <w:tcW w:w="0" w:type="auto"/>
            <w:vAlign w:val="center"/>
          </w:tcPr>
          <w:p w14:paraId="685B10AE" w14:textId="77777777" w:rsidR="00844A1B" w:rsidRPr="00B34E16" w:rsidRDefault="00844A1B" w:rsidP="00B753FD">
            <w:pPr>
              <w:rPr>
                <w:rFonts w:ascii="Arial" w:hAnsi="Arial" w:cs="Arial"/>
                <w:sz w:val="20"/>
                <w:szCs w:val="20"/>
              </w:rPr>
            </w:pPr>
            <w:r w:rsidRPr="00B34E16">
              <w:rPr>
                <w:rFonts w:ascii="Arial" w:hAnsi="Arial" w:cs="Arial"/>
                <w:sz w:val="20"/>
                <w:szCs w:val="20"/>
              </w:rPr>
              <w:t xml:space="preserve">If done, provide a rationale for conducting a critical appraisal of included sources of evidence; </w:t>
            </w:r>
            <w:r w:rsidRPr="00B34E16">
              <w:rPr>
                <w:rFonts w:ascii="Arial" w:hAnsi="Arial" w:cs="Arial"/>
                <w:sz w:val="20"/>
                <w:szCs w:val="20"/>
              </w:rPr>
              <w:lastRenderedPageBreak/>
              <w:t>describe the methods used and how this information was used in any data synthesis (if appropriate).</w:t>
            </w:r>
          </w:p>
        </w:tc>
        <w:sdt>
          <w:sdtPr>
            <w:rPr>
              <w:rFonts w:ascii="Arial" w:hAnsi="Arial" w:cs="Arial"/>
              <w:sz w:val="20"/>
              <w:szCs w:val="20"/>
            </w:rPr>
            <w:id w:val="993840323"/>
            <w:placeholder>
              <w:docPart w:val="956FA44156BC47598B28A5FAC146A672"/>
            </w:placeholder>
          </w:sdtPr>
          <w:sdtContent>
            <w:tc>
              <w:tcPr>
                <w:tcW w:w="0" w:type="auto"/>
                <w:vAlign w:val="center"/>
              </w:tcPr>
              <w:p w14:paraId="089BC6A5" w14:textId="640F596A" w:rsidR="00844A1B" w:rsidRPr="00B34E16" w:rsidRDefault="00E42F2B" w:rsidP="00B753FD">
                <w:pPr>
                  <w:rPr>
                    <w:rFonts w:ascii="Arial" w:hAnsi="Arial" w:cs="Arial"/>
                    <w:sz w:val="20"/>
                    <w:szCs w:val="20"/>
                  </w:rPr>
                </w:pPr>
                <w:r>
                  <w:rPr>
                    <w:rFonts w:ascii="Arial" w:hAnsi="Arial" w:cs="Arial"/>
                    <w:sz w:val="20"/>
                    <w:szCs w:val="20"/>
                  </w:rPr>
                  <w:t>NA</w:t>
                </w:r>
              </w:p>
            </w:tc>
          </w:sdtContent>
        </w:sdt>
      </w:tr>
      <w:tr w:rsidR="00844A1B" w:rsidRPr="00B34E16" w14:paraId="2AC4224A" w14:textId="77777777" w:rsidTr="00B753FD">
        <w:tc>
          <w:tcPr>
            <w:tcW w:w="0" w:type="auto"/>
            <w:vAlign w:val="center"/>
          </w:tcPr>
          <w:p w14:paraId="03968717"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Synthesis of results</w:t>
            </w:r>
          </w:p>
        </w:tc>
        <w:tc>
          <w:tcPr>
            <w:tcW w:w="0" w:type="auto"/>
            <w:vAlign w:val="center"/>
          </w:tcPr>
          <w:p w14:paraId="40C92ECF"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13</w:t>
            </w:r>
          </w:p>
        </w:tc>
        <w:tc>
          <w:tcPr>
            <w:tcW w:w="0" w:type="auto"/>
            <w:vAlign w:val="center"/>
          </w:tcPr>
          <w:p w14:paraId="0115908C" w14:textId="77777777" w:rsidR="00844A1B" w:rsidRPr="00B34E16" w:rsidRDefault="00844A1B" w:rsidP="00B753FD">
            <w:pPr>
              <w:rPr>
                <w:rFonts w:ascii="Arial" w:hAnsi="Arial" w:cs="Arial"/>
                <w:sz w:val="20"/>
                <w:szCs w:val="20"/>
              </w:rPr>
            </w:pPr>
            <w:r w:rsidRPr="00B34E16">
              <w:rPr>
                <w:rFonts w:ascii="Arial" w:hAnsi="Arial" w:cs="Arial"/>
                <w:sz w:val="20"/>
                <w:szCs w:val="20"/>
              </w:rPr>
              <w:t>Describe the methods of handling and summarizing the data that were charted.</w:t>
            </w:r>
          </w:p>
        </w:tc>
        <w:sdt>
          <w:sdtPr>
            <w:rPr>
              <w:rFonts w:ascii="Arial" w:hAnsi="Arial" w:cs="Arial"/>
              <w:sz w:val="20"/>
              <w:szCs w:val="20"/>
            </w:rPr>
            <w:id w:val="-1213186773"/>
            <w:placeholder>
              <w:docPart w:val="956FA44156BC47598B28A5FAC146A672"/>
            </w:placeholder>
          </w:sdtPr>
          <w:sdtContent>
            <w:tc>
              <w:tcPr>
                <w:tcW w:w="0" w:type="auto"/>
                <w:vAlign w:val="center"/>
              </w:tcPr>
              <w:p w14:paraId="3356FA11" w14:textId="2296967B" w:rsidR="00844A1B" w:rsidRPr="00B34E16" w:rsidRDefault="00E42F2B" w:rsidP="00B753FD">
                <w:pPr>
                  <w:rPr>
                    <w:rFonts w:ascii="Arial" w:hAnsi="Arial" w:cs="Arial"/>
                    <w:sz w:val="20"/>
                    <w:szCs w:val="20"/>
                  </w:rPr>
                </w:pPr>
                <w:r>
                  <w:rPr>
                    <w:rFonts w:ascii="Arial" w:hAnsi="Arial" w:cs="Arial"/>
                    <w:sz w:val="20"/>
                    <w:szCs w:val="20"/>
                  </w:rPr>
                  <w:t>Table 4</w:t>
                </w:r>
              </w:p>
            </w:tc>
          </w:sdtContent>
        </w:sdt>
      </w:tr>
      <w:tr w:rsidR="00844A1B" w:rsidRPr="00B34E16" w14:paraId="3C30C3DF" w14:textId="77777777" w:rsidTr="00B753FD">
        <w:tc>
          <w:tcPr>
            <w:tcW w:w="0" w:type="auto"/>
            <w:gridSpan w:val="4"/>
            <w:shd w:val="clear" w:color="auto" w:fill="C1E4F5" w:themeFill="accent1" w:themeFillTint="33"/>
            <w:vAlign w:val="center"/>
          </w:tcPr>
          <w:p w14:paraId="41643422" w14:textId="77777777" w:rsidR="00844A1B" w:rsidRPr="00B34E16" w:rsidRDefault="00844A1B" w:rsidP="00B753FD">
            <w:pPr>
              <w:rPr>
                <w:rFonts w:ascii="Arial" w:hAnsi="Arial" w:cs="Arial"/>
                <w:b/>
                <w:sz w:val="20"/>
                <w:szCs w:val="20"/>
              </w:rPr>
            </w:pPr>
            <w:r w:rsidRPr="00B34E16">
              <w:rPr>
                <w:rFonts w:ascii="Arial" w:hAnsi="Arial" w:cs="Arial"/>
                <w:b/>
                <w:sz w:val="20"/>
                <w:szCs w:val="20"/>
              </w:rPr>
              <w:t>RESULTS</w:t>
            </w:r>
          </w:p>
        </w:tc>
      </w:tr>
      <w:tr w:rsidR="00844A1B" w:rsidRPr="00B34E16" w14:paraId="57D1C16D" w14:textId="77777777" w:rsidTr="00B753FD">
        <w:tc>
          <w:tcPr>
            <w:tcW w:w="0" w:type="auto"/>
            <w:vAlign w:val="center"/>
          </w:tcPr>
          <w:p w14:paraId="35D71722"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Selection of sources of evidence</w:t>
            </w:r>
          </w:p>
        </w:tc>
        <w:tc>
          <w:tcPr>
            <w:tcW w:w="0" w:type="auto"/>
            <w:vAlign w:val="center"/>
          </w:tcPr>
          <w:p w14:paraId="179F3404"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14</w:t>
            </w:r>
          </w:p>
        </w:tc>
        <w:tc>
          <w:tcPr>
            <w:tcW w:w="0" w:type="auto"/>
            <w:vAlign w:val="center"/>
          </w:tcPr>
          <w:p w14:paraId="519B4DED" w14:textId="77777777" w:rsidR="00844A1B" w:rsidRPr="00B34E16" w:rsidRDefault="00844A1B" w:rsidP="00B753FD">
            <w:pPr>
              <w:rPr>
                <w:rFonts w:ascii="Arial" w:hAnsi="Arial" w:cs="Arial"/>
                <w:sz w:val="20"/>
                <w:szCs w:val="20"/>
              </w:rPr>
            </w:pPr>
            <w:r w:rsidRPr="00B34E16">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333761394"/>
            <w:placeholder>
              <w:docPart w:val="956FA44156BC47598B28A5FAC146A672"/>
            </w:placeholder>
          </w:sdtPr>
          <w:sdtContent>
            <w:tc>
              <w:tcPr>
                <w:tcW w:w="0" w:type="auto"/>
                <w:vAlign w:val="center"/>
              </w:tcPr>
              <w:p w14:paraId="4E095A15" w14:textId="7FAA971F" w:rsidR="00844A1B" w:rsidRPr="00B34E16" w:rsidRDefault="00E42F2B" w:rsidP="00B753FD">
                <w:pPr>
                  <w:rPr>
                    <w:rFonts w:ascii="Arial" w:hAnsi="Arial" w:cs="Arial"/>
                    <w:sz w:val="20"/>
                    <w:szCs w:val="20"/>
                  </w:rPr>
                </w:pPr>
                <w:r>
                  <w:rPr>
                    <w:rFonts w:ascii="Arial" w:hAnsi="Arial" w:cs="Arial"/>
                    <w:sz w:val="20"/>
                    <w:szCs w:val="20"/>
                  </w:rPr>
                  <w:t>5-6</w:t>
                </w:r>
              </w:p>
            </w:tc>
          </w:sdtContent>
        </w:sdt>
      </w:tr>
      <w:tr w:rsidR="00844A1B" w:rsidRPr="00B34E16" w14:paraId="7D770C2B" w14:textId="77777777" w:rsidTr="00B753FD">
        <w:tc>
          <w:tcPr>
            <w:tcW w:w="0" w:type="auto"/>
            <w:vAlign w:val="center"/>
          </w:tcPr>
          <w:p w14:paraId="24F65EB9"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Characteristics of sources of evidence</w:t>
            </w:r>
          </w:p>
        </w:tc>
        <w:tc>
          <w:tcPr>
            <w:tcW w:w="0" w:type="auto"/>
            <w:vAlign w:val="center"/>
          </w:tcPr>
          <w:p w14:paraId="1A9C96CE"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15</w:t>
            </w:r>
          </w:p>
        </w:tc>
        <w:tc>
          <w:tcPr>
            <w:tcW w:w="0" w:type="auto"/>
            <w:vAlign w:val="center"/>
          </w:tcPr>
          <w:p w14:paraId="04522E23" w14:textId="77777777" w:rsidR="00844A1B" w:rsidRPr="00B34E16" w:rsidRDefault="00844A1B" w:rsidP="00B753FD">
            <w:pPr>
              <w:rPr>
                <w:rFonts w:ascii="Arial" w:hAnsi="Arial" w:cs="Arial"/>
                <w:sz w:val="20"/>
                <w:szCs w:val="20"/>
              </w:rPr>
            </w:pPr>
            <w:r w:rsidRPr="00B34E16">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2147318085"/>
            <w:placeholder>
              <w:docPart w:val="956FA44156BC47598B28A5FAC146A672"/>
            </w:placeholder>
          </w:sdtPr>
          <w:sdtContent>
            <w:tc>
              <w:tcPr>
                <w:tcW w:w="0" w:type="auto"/>
                <w:vAlign w:val="center"/>
              </w:tcPr>
              <w:p w14:paraId="5FC0AB43" w14:textId="001585A3" w:rsidR="00844A1B" w:rsidRPr="00B34E16" w:rsidRDefault="00BD3C80" w:rsidP="00B753FD">
                <w:pPr>
                  <w:rPr>
                    <w:rFonts w:ascii="Arial" w:hAnsi="Arial" w:cs="Arial"/>
                    <w:sz w:val="20"/>
                    <w:szCs w:val="20"/>
                  </w:rPr>
                </w:pPr>
                <w:r>
                  <w:rPr>
                    <w:rFonts w:ascii="Arial" w:hAnsi="Arial" w:cs="Arial"/>
                    <w:sz w:val="20"/>
                    <w:szCs w:val="20"/>
                  </w:rPr>
                  <w:t>Supplemental files</w:t>
                </w:r>
              </w:p>
            </w:tc>
          </w:sdtContent>
        </w:sdt>
      </w:tr>
      <w:tr w:rsidR="00844A1B" w:rsidRPr="00B34E16" w14:paraId="38ABABC5" w14:textId="77777777" w:rsidTr="00B753FD">
        <w:tc>
          <w:tcPr>
            <w:tcW w:w="0" w:type="auto"/>
            <w:vAlign w:val="center"/>
          </w:tcPr>
          <w:p w14:paraId="5B1ABDDD"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Critical appraisal within sources of evidence</w:t>
            </w:r>
          </w:p>
        </w:tc>
        <w:tc>
          <w:tcPr>
            <w:tcW w:w="0" w:type="auto"/>
            <w:vAlign w:val="center"/>
          </w:tcPr>
          <w:p w14:paraId="2BF2A506"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16</w:t>
            </w:r>
          </w:p>
        </w:tc>
        <w:tc>
          <w:tcPr>
            <w:tcW w:w="0" w:type="auto"/>
            <w:vAlign w:val="center"/>
          </w:tcPr>
          <w:p w14:paraId="16B19393" w14:textId="77777777" w:rsidR="00844A1B" w:rsidRPr="00B34E16" w:rsidRDefault="00844A1B" w:rsidP="00B753FD">
            <w:pPr>
              <w:rPr>
                <w:rFonts w:ascii="Arial" w:hAnsi="Arial" w:cs="Arial"/>
                <w:sz w:val="20"/>
                <w:szCs w:val="20"/>
              </w:rPr>
            </w:pPr>
            <w:r w:rsidRPr="00B34E16">
              <w:rPr>
                <w:rFonts w:ascii="Arial" w:hAnsi="Arial" w:cs="Arial"/>
                <w:sz w:val="20"/>
                <w:szCs w:val="20"/>
              </w:rPr>
              <w:t>If done, present data on critical appraisal of included sources of evidence (see item 12).</w:t>
            </w:r>
          </w:p>
        </w:tc>
        <w:sdt>
          <w:sdtPr>
            <w:rPr>
              <w:rFonts w:ascii="Arial" w:hAnsi="Arial" w:cs="Arial"/>
              <w:sz w:val="20"/>
              <w:szCs w:val="20"/>
            </w:rPr>
            <w:id w:val="-1635560017"/>
            <w:placeholder>
              <w:docPart w:val="956FA44156BC47598B28A5FAC146A672"/>
            </w:placeholder>
          </w:sdtPr>
          <w:sdtContent>
            <w:tc>
              <w:tcPr>
                <w:tcW w:w="0" w:type="auto"/>
                <w:vAlign w:val="center"/>
              </w:tcPr>
              <w:p w14:paraId="35773150" w14:textId="32C0236D" w:rsidR="00844A1B" w:rsidRPr="00B34E16" w:rsidRDefault="00E42F2B" w:rsidP="00B753FD">
                <w:pPr>
                  <w:rPr>
                    <w:rFonts w:ascii="Arial" w:hAnsi="Arial" w:cs="Arial"/>
                    <w:sz w:val="20"/>
                    <w:szCs w:val="20"/>
                  </w:rPr>
                </w:pPr>
                <w:r>
                  <w:rPr>
                    <w:rFonts w:ascii="Arial" w:hAnsi="Arial" w:cs="Arial"/>
                    <w:sz w:val="20"/>
                    <w:szCs w:val="20"/>
                  </w:rPr>
                  <w:t>NA</w:t>
                </w:r>
              </w:p>
            </w:tc>
          </w:sdtContent>
        </w:sdt>
      </w:tr>
      <w:tr w:rsidR="00844A1B" w:rsidRPr="00B34E16" w14:paraId="2093C70A" w14:textId="77777777" w:rsidTr="00B753FD">
        <w:tc>
          <w:tcPr>
            <w:tcW w:w="0" w:type="auto"/>
            <w:vAlign w:val="center"/>
          </w:tcPr>
          <w:p w14:paraId="2CE97903"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Results of individual sources of evidence</w:t>
            </w:r>
          </w:p>
        </w:tc>
        <w:tc>
          <w:tcPr>
            <w:tcW w:w="0" w:type="auto"/>
            <w:vAlign w:val="center"/>
          </w:tcPr>
          <w:p w14:paraId="13D436C4"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17</w:t>
            </w:r>
          </w:p>
        </w:tc>
        <w:tc>
          <w:tcPr>
            <w:tcW w:w="0" w:type="auto"/>
            <w:vAlign w:val="center"/>
          </w:tcPr>
          <w:p w14:paraId="4F45CC67" w14:textId="77777777" w:rsidR="00844A1B" w:rsidRPr="00B34E16" w:rsidRDefault="00844A1B" w:rsidP="00B753FD">
            <w:pPr>
              <w:rPr>
                <w:rFonts w:ascii="Arial" w:hAnsi="Arial" w:cs="Arial"/>
                <w:sz w:val="20"/>
                <w:szCs w:val="20"/>
              </w:rPr>
            </w:pPr>
            <w:r w:rsidRPr="00B34E16">
              <w:rPr>
                <w:rFonts w:ascii="Arial" w:hAnsi="Arial" w:cs="Arial"/>
                <w:sz w:val="20"/>
                <w:szCs w:val="20"/>
              </w:rPr>
              <w:t>For each included source of evidence, present the relevant data that were charted that relate to the review questions and objectives.</w:t>
            </w:r>
          </w:p>
        </w:tc>
        <w:sdt>
          <w:sdtPr>
            <w:rPr>
              <w:rFonts w:ascii="Arial" w:hAnsi="Arial" w:cs="Arial"/>
              <w:sz w:val="20"/>
              <w:szCs w:val="20"/>
            </w:rPr>
            <w:id w:val="-2089225234"/>
            <w:placeholder>
              <w:docPart w:val="956FA44156BC47598B28A5FAC146A672"/>
            </w:placeholder>
          </w:sdtPr>
          <w:sdtContent>
            <w:tc>
              <w:tcPr>
                <w:tcW w:w="0" w:type="auto"/>
                <w:vAlign w:val="center"/>
              </w:tcPr>
              <w:p w14:paraId="43BF6508" w14:textId="1E2F35C0" w:rsidR="00844A1B" w:rsidRPr="00B34E16" w:rsidRDefault="00E42F2B" w:rsidP="00B753FD">
                <w:pPr>
                  <w:rPr>
                    <w:rFonts w:ascii="Arial" w:hAnsi="Arial" w:cs="Arial"/>
                    <w:sz w:val="20"/>
                    <w:szCs w:val="20"/>
                  </w:rPr>
                </w:pPr>
                <w:r>
                  <w:rPr>
                    <w:rFonts w:ascii="Arial" w:hAnsi="Arial" w:cs="Arial"/>
                    <w:sz w:val="20"/>
                    <w:szCs w:val="20"/>
                  </w:rPr>
                  <w:t>Table 5</w:t>
                </w:r>
              </w:p>
            </w:tc>
          </w:sdtContent>
        </w:sdt>
      </w:tr>
      <w:tr w:rsidR="00844A1B" w:rsidRPr="00B34E16" w14:paraId="0DD54B3B" w14:textId="77777777" w:rsidTr="00B753FD">
        <w:tc>
          <w:tcPr>
            <w:tcW w:w="0" w:type="auto"/>
            <w:vAlign w:val="center"/>
          </w:tcPr>
          <w:p w14:paraId="60478A05"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Synthesis of results</w:t>
            </w:r>
          </w:p>
        </w:tc>
        <w:tc>
          <w:tcPr>
            <w:tcW w:w="0" w:type="auto"/>
            <w:vAlign w:val="center"/>
          </w:tcPr>
          <w:p w14:paraId="3386D548"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18</w:t>
            </w:r>
          </w:p>
        </w:tc>
        <w:tc>
          <w:tcPr>
            <w:tcW w:w="0" w:type="auto"/>
            <w:vAlign w:val="center"/>
          </w:tcPr>
          <w:p w14:paraId="56B10179" w14:textId="77777777" w:rsidR="00844A1B" w:rsidRPr="00B34E16" w:rsidRDefault="00844A1B" w:rsidP="00B753FD">
            <w:pPr>
              <w:rPr>
                <w:rFonts w:ascii="Arial" w:hAnsi="Arial" w:cs="Arial"/>
                <w:sz w:val="20"/>
                <w:szCs w:val="20"/>
              </w:rPr>
            </w:pPr>
            <w:r w:rsidRPr="00B34E16">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1734268290"/>
            <w:placeholder>
              <w:docPart w:val="956FA44156BC47598B28A5FAC146A672"/>
            </w:placeholder>
          </w:sdtPr>
          <w:sdtContent>
            <w:tc>
              <w:tcPr>
                <w:tcW w:w="0" w:type="auto"/>
                <w:vAlign w:val="center"/>
              </w:tcPr>
              <w:p w14:paraId="5F926263" w14:textId="461EB2E6" w:rsidR="00844A1B" w:rsidRPr="00B34E16" w:rsidRDefault="00E42F2B" w:rsidP="00B753FD">
                <w:pPr>
                  <w:rPr>
                    <w:rFonts w:ascii="Arial" w:hAnsi="Arial" w:cs="Arial"/>
                    <w:sz w:val="20"/>
                    <w:szCs w:val="20"/>
                  </w:rPr>
                </w:pPr>
                <w:r>
                  <w:rPr>
                    <w:rFonts w:ascii="Arial" w:hAnsi="Arial" w:cs="Arial"/>
                    <w:sz w:val="20"/>
                    <w:szCs w:val="20"/>
                  </w:rPr>
                  <w:t>Table 5</w:t>
                </w:r>
              </w:p>
            </w:tc>
          </w:sdtContent>
        </w:sdt>
      </w:tr>
      <w:tr w:rsidR="00844A1B" w:rsidRPr="00B34E16" w14:paraId="6FB47189" w14:textId="77777777" w:rsidTr="00B753FD">
        <w:tc>
          <w:tcPr>
            <w:tcW w:w="0" w:type="auto"/>
            <w:gridSpan w:val="4"/>
            <w:shd w:val="clear" w:color="auto" w:fill="C1E4F5" w:themeFill="accent1" w:themeFillTint="33"/>
            <w:vAlign w:val="center"/>
          </w:tcPr>
          <w:p w14:paraId="4AB3D30D" w14:textId="77777777" w:rsidR="00844A1B" w:rsidRPr="00B34E16" w:rsidRDefault="00844A1B" w:rsidP="00B753FD">
            <w:pPr>
              <w:rPr>
                <w:rFonts w:ascii="Arial" w:hAnsi="Arial" w:cs="Arial"/>
                <w:b/>
                <w:sz w:val="20"/>
                <w:szCs w:val="20"/>
              </w:rPr>
            </w:pPr>
            <w:r w:rsidRPr="00B34E16">
              <w:rPr>
                <w:rFonts w:ascii="Arial" w:hAnsi="Arial" w:cs="Arial"/>
                <w:b/>
                <w:sz w:val="20"/>
                <w:szCs w:val="20"/>
              </w:rPr>
              <w:t>DISCUSSION</w:t>
            </w:r>
          </w:p>
        </w:tc>
      </w:tr>
      <w:tr w:rsidR="00844A1B" w:rsidRPr="00B34E16" w14:paraId="36F25CF0" w14:textId="77777777" w:rsidTr="00B753FD">
        <w:tc>
          <w:tcPr>
            <w:tcW w:w="0" w:type="auto"/>
            <w:vAlign w:val="center"/>
          </w:tcPr>
          <w:p w14:paraId="78749079"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Summary of evidence</w:t>
            </w:r>
          </w:p>
        </w:tc>
        <w:tc>
          <w:tcPr>
            <w:tcW w:w="0" w:type="auto"/>
            <w:vAlign w:val="center"/>
          </w:tcPr>
          <w:p w14:paraId="2AD76DF7"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19</w:t>
            </w:r>
          </w:p>
        </w:tc>
        <w:tc>
          <w:tcPr>
            <w:tcW w:w="0" w:type="auto"/>
            <w:vAlign w:val="center"/>
          </w:tcPr>
          <w:p w14:paraId="25A267E3" w14:textId="77777777" w:rsidR="00844A1B" w:rsidRPr="00B34E16" w:rsidRDefault="00844A1B" w:rsidP="00B753FD">
            <w:pPr>
              <w:rPr>
                <w:rFonts w:ascii="Arial" w:hAnsi="Arial" w:cs="Arial"/>
                <w:sz w:val="20"/>
                <w:szCs w:val="20"/>
              </w:rPr>
            </w:pPr>
            <w:r w:rsidRPr="00B34E16">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245387694"/>
            <w:placeholder>
              <w:docPart w:val="956FA44156BC47598B28A5FAC146A672"/>
            </w:placeholder>
          </w:sdtPr>
          <w:sdtContent>
            <w:tc>
              <w:tcPr>
                <w:tcW w:w="0" w:type="auto"/>
                <w:vAlign w:val="center"/>
              </w:tcPr>
              <w:p w14:paraId="62782A0F" w14:textId="7351984B" w:rsidR="00844A1B" w:rsidRPr="00B34E16" w:rsidRDefault="00E42F2B" w:rsidP="00B753FD">
                <w:pPr>
                  <w:rPr>
                    <w:rFonts w:ascii="Arial" w:hAnsi="Arial" w:cs="Arial"/>
                    <w:sz w:val="20"/>
                    <w:szCs w:val="20"/>
                  </w:rPr>
                </w:pPr>
                <w:r>
                  <w:rPr>
                    <w:rFonts w:ascii="Arial" w:hAnsi="Arial" w:cs="Arial"/>
                    <w:sz w:val="20"/>
                    <w:szCs w:val="20"/>
                  </w:rPr>
                  <w:t>26</w:t>
                </w:r>
              </w:p>
            </w:tc>
          </w:sdtContent>
        </w:sdt>
      </w:tr>
      <w:tr w:rsidR="00844A1B" w:rsidRPr="00B34E16" w14:paraId="45E05032" w14:textId="77777777" w:rsidTr="00B753FD">
        <w:tc>
          <w:tcPr>
            <w:tcW w:w="0" w:type="auto"/>
            <w:vAlign w:val="center"/>
          </w:tcPr>
          <w:p w14:paraId="0AE434B7"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Limitations</w:t>
            </w:r>
          </w:p>
        </w:tc>
        <w:tc>
          <w:tcPr>
            <w:tcW w:w="0" w:type="auto"/>
            <w:vAlign w:val="center"/>
          </w:tcPr>
          <w:p w14:paraId="6FC6F591"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20</w:t>
            </w:r>
          </w:p>
        </w:tc>
        <w:tc>
          <w:tcPr>
            <w:tcW w:w="0" w:type="auto"/>
            <w:vAlign w:val="center"/>
          </w:tcPr>
          <w:p w14:paraId="3EC7B882" w14:textId="77777777" w:rsidR="00844A1B" w:rsidRPr="00B34E16" w:rsidRDefault="00844A1B" w:rsidP="00B753FD">
            <w:pPr>
              <w:rPr>
                <w:rFonts w:ascii="Arial" w:hAnsi="Arial" w:cs="Arial"/>
                <w:b/>
                <w:i/>
                <w:sz w:val="20"/>
                <w:szCs w:val="20"/>
              </w:rPr>
            </w:pPr>
            <w:r w:rsidRPr="00B34E16">
              <w:rPr>
                <w:rFonts w:ascii="Arial" w:hAnsi="Arial" w:cs="Arial"/>
                <w:sz w:val="20"/>
                <w:szCs w:val="20"/>
              </w:rPr>
              <w:t>Discuss the limitations of the scoping review process.</w:t>
            </w:r>
          </w:p>
        </w:tc>
        <w:sdt>
          <w:sdtPr>
            <w:rPr>
              <w:rFonts w:ascii="Arial" w:hAnsi="Arial" w:cs="Arial"/>
              <w:sz w:val="20"/>
              <w:szCs w:val="20"/>
            </w:rPr>
            <w:id w:val="903808386"/>
            <w:placeholder>
              <w:docPart w:val="956FA44156BC47598B28A5FAC146A672"/>
            </w:placeholder>
          </w:sdtPr>
          <w:sdtContent>
            <w:tc>
              <w:tcPr>
                <w:tcW w:w="0" w:type="auto"/>
                <w:vAlign w:val="center"/>
              </w:tcPr>
              <w:p w14:paraId="0EFE1E62" w14:textId="12B2B950" w:rsidR="00844A1B" w:rsidRPr="00B34E16" w:rsidRDefault="00E42F2B" w:rsidP="00B753FD">
                <w:pPr>
                  <w:rPr>
                    <w:rFonts w:ascii="Arial" w:hAnsi="Arial" w:cs="Arial"/>
                    <w:sz w:val="20"/>
                    <w:szCs w:val="20"/>
                  </w:rPr>
                </w:pPr>
                <w:r>
                  <w:rPr>
                    <w:rFonts w:ascii="Arial" w:hAnsi="Arial" w:cs="Arial"/>
                    <w:sz w:val="20"/>
                    <w:szCs w:val="20"/>
                  </w:rPr>
                  <w:t>29</w:t>
                </w:r>
              </w:p>
            </w:tc>
          </w:sdtContent>
        </w:sdt>
      </w:tr>
      <w:tr w:rsidR="00844A1B" w:rsidRPr="00B34E16" w14:paraId="613520A1" w14:textId="77777777" w:rsidTr="00B753FD">
        <w:tc>
          <w:tcPr>
            <w:tcW w:w="0" w:type="auto"/>
            <w:vAlign w:val="center"/>
          </w:tcPr>
          <w:p w14:paraId="497169A7"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Conclusions</w:t>
            </w:r>
          </w:p>
        </w:tc>
        <w:tc>
          <w:tcPr>
            <w:tcW w:w="0" w:type="auto"/>
            <w:vAlign w:val="center"/>
          </w:tcPr>
          <w:p w14:paraId="1EEEFD31"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21</w:t>
            </w:r>
          </w:p>
        </w:tc>
        <w:tc>
          <w:tcPr>
            <w:tcW w:w="0" w:type="auto"/>
            <w:vAlign w:val="center"/>
          </w:tcPr>
          <w:p w14:paraId="51740C41" w14:textId="77777777" w:rsidR="00844A1B" w:rsidRPr="00B34E16" w:rsidRDefault="00844A1B" w:rsidP="00B753FD">
            <w:pPr>
              <w:rPr>
                <w:rFonts w:ascii="Arial" w:hAnsi="Arial" w:cs="Arial"/>
                <w:sz w:val="20"/>
                <w:szCs w:val="20"/>
              </w:rPr>
            </w:pPr>
            <w:r w:rsidRPr="00B34E16">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608576005"/>
            <w:placeholder>
              <w:docPart w:val="956FA44156BC47598B28A5FAC146A672"/>
            </w:placeholder>
          </w:sdtPr>
          <w:sdtContent>
            <w:tc>
              <w:tcPr>
                <w:tcW w:w="0" w:type="auto"/>
                <w:vAlign w:val="center"/>
              </w:tcPr>
              <w:p w14:paraId="6C06F014" w14:textId="715E201C" w:rsidR="00844A1B" w:rsidRPr="00B34E16" w:rsidRDefault="00E42F2B" w:rsidP="00B753FD">
                <w:pPr>
                  <w:rPr>
                    <w:rFonts w:ascii="Arial" w:hAnsi="Arial" w:cs="Arial"/>
                    <w:sz w:val="20"/>
                    <w:szCs w:val="20"/>
                  </w:rPr>
                </w:pPr>
                <w:r>
                  <w:rPr>
                    <w:rFonts w:ascii="Arial" w:hAnsi="Arial" w:cs="Arial"/>
                    <w:sz w:val="20"/>
                    <w:szCs w:val="20"/>
                  </w:rPr>
                  <w:t>29</w:t>
                </w:r>
              </w:p>
            </w:tc>
          </w:sdtContent>
        </w:sdt>
      </w:tr>
      <w:tr w:rsidR="00844A1B" w:rsidRPr="00B34E16" w14:paraId="64B7639C" w14:textId="77777777" w:rsidTr="00B753FD">
        <w:tc>
          <w:tcPr>
            <w:tcW w:w="0" w:type="auto"/>
            <w:gridSpan w:val="4"/>
            <w:shd w:val="clear" w:color="auto" w:fill="C1E4F5" w:themeFill="accent1" w:themeFillTint="33"/>
            <w:vAlign w:val="center"/>
          </w:tcPr>
          <w:p w14:paraId="4E31B9F2" w14:textId="77777777" w:rsidR="00844A1B" w:rsidRPr="00B34E16" w:rsidRDefault="00844A1B" w:rsidP="00B753FD">
            <w:pPr>
              <w:rPr>
                <w:rFonts w:ascii="Arial" w:hAnsi="Arial" w:cs="Arial"/>
                <w:b/>
                <w:sz w:val="20"/>
                <w:szCs w:val="20"/>
              </w:rPr>
            </w:pPr>
            <w:r w:rsidRPr="00B34E16">
              <w:rPr>
                <w:rFonts w:ascii="Arial" w:hAnsi="Arial" w:cs="Arial"/>
                <w:b/>
                <w:sz w:val="20"/>
                <w:szCs w:val="20"/>
              </w:rPr>
              <w:t>FUNDING</w:t>
            </w:r>
          </w:p>
        </w:tc>
      </w:tr>
      <w:tr w:rsidR="00844A1B" w:rsidRPr="00B34E16" w14:paraId="1DE81BA2" w14:textId="77777777" w:rsidTr="00B753FD">
        <w:tc>
          <w:tcPr>
            <w:tcW w:w="0" w:type="auto"/>
            <w:vAlign w:val="center"/>
          </w:tcPr>
          <w:p w14:paraId="6A754AAF" w14:textId="77777777" w:rsidR="00844A1B" w:rsidRPr="00B34E16" w:rsidRDefault="00844A1B" w:rsidP="00B753FD">
            <w:pPr>
              <w:ind w:left="180"/>
              <w:rPr>
                <w:rFonts w:ascii="Arial" w:hAnsi="Arial" w:cs="Arial"/>
                <w:sz w:val="20"/>
                <w:szCs w:val="20"/>
              </w:rPr>
            </w:pPr>
            <w:r w:rsidRPr="00B34E16">
              <w:rPr>
                <w:rFonts w:ascii="Arial" w:hAnsi="Arial" w:cs="Arial"/>
                <w:sz w:val="20"/>
                <w:szCs w:val="20"/>
              </w:rPr>
              <w:t>Funding</w:t>
            </w:r>
          </w:p>
        </w:tc>
        <w:tc>
          <w:tcPr>
            <w:tcW w:w="0" w:type="auto"/>
            <w:vAlign w:val="center"/>
          </w:tcPr>
          <w:p w14:paraId="30BF14CF" w14:textId="77777777" w:rsidR="00844A1B" w:rsidRPr="00B34E16" w:rsidRDefault="00844A1B" w:rsidP="00B753FD">
            <w:pPr>
              <w:jc w:val="center"/>
              <w:rPr>
                <w:rFonts w:ascii="Arial" w:hAnsi="Arial" w:cs="Arial"/>
                <w:sz w:val="20"/>
                <w:szCs w:val="20"/>
              </w:rPr>
            </w:pPr>
            <w:r w:rsidRPr="00B34E16">
              <w:rPr>
                <w:rFonts w:ascii="Arial" w:hAnsi="Arial" w:cs="Arial"/>
                <w:sz w:val="20"/>
                <w:szCs w:val="20"/>
              </w:rPr>
              <w:t>22</w:t>
            </w:r>
          </w:p>
        </w:tc>
        <w:tc>
          <w:tcPr>
            <w:tcW w:w="0" w:type="auto"/>
            <w:vAlign w:val="center"/>
          </w:tcPr>
          <w:p w14:paraId="2D8E1EFE" w14:textId="77777777" w:rsidR="00844A1B" w:rsidRPr="00B34E16" w:rsidRDefault="00844A1B" w:rsidP="00B753FD">
            <w:pPr>
              <w:rPr>
                <w:rFonts w:ascii="Arial" w:hAnsi="Arial" w:cs="Arial"/>
                <w:sz w:val="20"/>
                <w:szCs w:val="20"/>
              </w:rPr>
            </w:pPr>
            <w:r w:rsidRPr="00B34E16">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039667242"/>
            <w:placeholder>
              <w:docPart w:val="956FA44156BC47598B28A5FAC146A672"/>
            </w:placeholder>
          </w:sdtPr>
          <w:sdtContent>
            <w:tc>
              <w:tcPr>
                <w:tcW w:w="0" w:type="auto"/>
                <w:vAlign w:val="center"/>
              </w:tcPr>
              <w:p w14:paraId="4047CF4A" w14:textId="22EA2C33" w:rsidR="00844A1B" w:rsidRPr="00B34E16" w:rsidRDefault="00E42F2B" w:rsidP="00B753FD">
                <w:pPr>
                  <w:rPr>
                    <w:rFonts w:ascii="Arial" w:hAnsi="Arial" w:cs="Arial"/>
                    <w:sz w:val="20"/>
                    <w:szCs w:val="20"/>
                  </w:rPr>
                </w:pPr>
                <w:r>
                  <w:rPr>
                    <w:rFonts w:ascii="Arial" w:hAnsi="Arial" w:cs="Arial"/>
                    <w:sz w:val="20"/>
                    <w:szCs w:val="20"/>
                  </w:rPr>
                  <w:t>NA</w:t>
                </w:r>
              </w:p>
            </w:tc>
          </w:sdtContent>
        </w:sdt>
      </w:tr>
    </w:tbl>
    <w:p w14:paraId="6C78CFD8" w14:textId="77777777" w:rsidR="00844A1B" w:rsidRPr="00B34E16" w:rsidRDefault="00844A1B" w:rsidP="00844A1B">
      <w:pPr>
        <w:spacing w:after="0" w:line="240" w:lineRule="auto"/>
        <w:rPr>
          <w:rFonts w:ascii="Arial" w:hAnsi="Arial" w:cs="Arial"/>
          <w:sz w:val="18"/>
          <w:szCs w:val="20"/>
        </w:rPr>
      </w:pPr>
      <w:r w:rsidRPr="00B34E16">
        <w:rPr>
          <w:rFonts w:ascii="Arial" w:hAnsi="Arial" w:cs="Arial"/>
          <w:sz w:val="18"/>
          <w:szCs w:val="20"/>
        </w:rPr>
        <w:t>JBI = Joanna Briggs Institute; PRISMA-</w:t>
      </w:r>
      <w:proofErr w:type="spellStart"/>
      <w:r w:rsidRPr="00B34E16">
        <w:rPr>
          <w:rFonts w:ascii="Arial" w:hAnsi="Arial" w:cs="Arial"/>
          <w:sz w:val="18"/>
          <w:szCs w:val="20"/>
        </w:rPr>
        <w:t>ScR</w:t>
      </w:r>
      <w:proofErr w:type="spellEnd"/>
      <w:r w:rsidRPr="00B34E16">
        <w:rPr>
          <w:rFonts w:ascii="Arial" w:hAnsi="Arial" w:cs="Arial"/>
          <w:sz w:val="18"/>
          <w:szCs w:val="20"/>
        </w:rPr>
        <w:t xml:space="preserve"> = Preferred Reporting Items for Systematic reviews and Meta-Analyses extension for Scoping Reviews.</w:t>
      </w:r>
    </w:p>
    <w:p w14:paraId="71CA81EF" w14:textId="77777777" w:rsidR="00844A1B" w:rsidRPr="00B34E16" w:rsidRDefault="00844A1B" w:rsidP="00844A1B">
      <w:pPr>
        <w:spacing w:after="0" w:line="240" w:lineRule="auto"/>
        <w:rPr>
          <w:rFonts w:ascii="Arial" w:hAnsi="Arial" w:cs="Arial"/>
          <w:sz w:val="18"/>
          <w:szCs w:val="20"/>
        </w:rPr>
      </w:pPr>
      <w:r w:rsidRPr="00B34E16">
        <w:rPr>
          <w:rFonts w:ascii="Arial" w:hAnsi="Arial" w:cs="Arial"/>
          <w:sz w:val="18"/>
          <w:szCs w:val="20"/>
        </w:rPr>
        <w:t xml:space="preserve">* Where </w:t>
      </w:r>
      <w:r w:rsidRPr="00B34E16">
        <w:rPr>
          <w:rFonts w:ascii="Arial" w:hAnsi="Arial" w:cs="Arial"/>
          <w:i/>
          <w:sz w:val="18"/>
          <w:szCs w:val="20"/>
        </w:rPr>
        <w:t>sources of evidence</w:t>
      </w:r>
      <w:r w:rsidRPr="00B34E16">
        <w:rPr>
          <w:rFonts w:ascii="Arial" w:hAnsi="Arial" w:cs="Arial"/>
          <w:sz w:val="18"/>
          <w:szCs w:val="20"/>
        </w:rPr>
        <w:t xml:space="preserve"> (see second footnote) are compiled from, such as bibliographic databases, social media platforms, and Web sites.</w:t>
      </w:r>
    </w:p>
    <w:p w14:paraId="00E7A065" w14:textId="77777777" w:rsidR="00844A1B" w:rsidRPr="00B34E16" w:rsidRDefault="00844A1B" w:rsidP="00844A1B">
      <w:pPr>
        <w:spacing w:after="0" w:line="240" w:lineRule="auto"/>
        <w:rPr>
          <w:rFonts w:ascii="Arial" w:hAnsi="Arial" w:cs="Arial"/>
          <w:sz w:val="18"/>
          <w:szCs w:val="20"/>
        </w:rPr>
      </w:pPr>
      <w:r w:rsidRPr="00B34E16">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B34E16">
        <w:rPr>
          <w:rFonts w:ascii="Arial" w:hAnsi="Arial" w:cs="Arial"/>
          <w:i/>
          <w:sz w:val="18"/>
          <w:szCs w:val="20"/>
        </w:rPr>
        <w:t>information sources</w:t>
      </w:r>
      <w:r w:rsidRPr="00B34E16">
        <w:rPr>
          <w:rFonts w:ascii="Arial" w:hAnsi="Arial" w:cs="Arial"/>
          <w:sz w:val="18"/>
          <w:szCs w:val="20"/>
        </w:rPr>
        <w:t xml:space="preserve"> (see first footnote).</w:t>
      </w:r>
    </w:p>
    <w:p w14:paraId="5100EBD4" w14:textId="77777777" w:rsidR="00844A1B" w:rsidRPr="00B34E16" w:rsidRDefault="00844A1B" w:rsidP="00844A1B">
      <w:pPr>
        <w:spacing w:after="0" w:line="240" w:lineRule="auto"/>
        <w:rPr>
          <w:rFonts w:ascii="Arial" w:hAnsi="Arial" w:cs="Arial"/>
          <w:sz w:val="18"/>
          <w:szCs w:val="20"/>
        </w:rPr>
      </w:pPr>
      <w:r w:rsidRPr="00B34E16">
        <w:rPr>
          <w:rFonts w:ascii="Arial" w:hAnsi="Arial" w:cs="Arial"/>
          <w:sz w:val="18"/>
          <w:szCs w:val="20"/>
        </w:rPr>
        <w:t>‡ The frameworks by Arksey and O’Malley (6) and Levac and colleagues (7) and the JBI guidance (4, 5) refer to the process of data extraction in a scoping review as data charting</w:t>
      </w:r>
      <w:r w:rsidRPr="00B34E16">
        <w:rPr>
          <w:rFonts w:ascii="Arial" w:hAnsi="Arial" w:cs="Arial"/>
          <w:i/>
          <w:sz w:val="18"/>
          <w:szCs w:val="20"/>
        </w:rPr>
        <w:t>.</w:t>
      </w:r>
    </w:p>
    <w:p w14:paraId="2B63F325" w14:textId="77777777" w:rsidR="00844A1B" w:rsidRPr="00B34E16" w:rsidRDefault="00844A1B" w:rsidP="00844A1B">
      <w:pPr>
        <w:spacing w:after="0" w:line="240" w:lineRule="auto"/>
        <w:rPr>
          <w:rFonts w:ascii="Arial" w:hAnsi="Arial" w:cs="Arial"/>
          <w:sz w:val="18"/>
          <w:szCs w:val="20"/>
        </w:rPr>
      </w:pPr>
      <w:r w:rsidRPr="00B34E16">
        <w:rPr>
          <w:rFonts w:ascii="Arial" w:hAnsi="Arial" w:cs="Arial"/>
          <w:sz w:val="18"/>
          <w:szCs w:val="20"/>
        </w:rPr>
        <w:t>§</w:t>
      </w:r>
      <w:r w:rsidRPr="00B34E16">
        <w:rPr>
          <w:rFonts w:ascii="Arial" w:hAnsi="Arial" w:cs="Arial"/>
          <w:i/>
          <w:sz w:val="18"/>
          <w:szCs w:val="20"/>
        </w:rPr>
        <w:t xml:space="preserve"> </w:t>
      </w:r>
      <w:r w:rsidRPr="00B34E16">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34738A30" w14:textId="77777777" w:rsidR="00844A1B" w:rsidRPr="00B34E16" w:rsidRDefault="00844A1B" w:rsidP="00844A1B">
      <w:pPr>
        <w:spacing w:after="0" w:line="240" w:lineRule="auto"/>
        <w:rPr>
          <w:rFonts w:ascii="Arial" w:hAnsi="Arial" w:cs="Arial"/>
          <w:sz w:val="18"/>
          <w:szCs w:val="20"/>
        </w:rPr>
      </w:pPr>
    </w:p>
    <w:p w14:paraId="4F8932AC" w14:textId="77777777" w:rsidR="00844A1B" w:rsidRPr="00B34E16" w:rsidRDefault="00844A1B" w:rsidP="00844A1B">
      <w:pPr>
        <w:spacing w:after="0" w:line="240" w:lineRule="auto"/>
        <w:rPr>
          <w:rFonts w:ascii="Arial" w:hAnsi="Arial" w:cs="Arial"/>
          <w:sz w:val="18"/>
          <w:szCs w:val="20"/>
        </w:rPr>
      </w:pPr>
    </w:p>
    <w:p w14:paraId="5D69C527" w14:textId="77777777" w:rsidR="00844A1B" w:rsidRPr="00B34E16" w:rsidRDefault="00844A1B" w:rsidP="00844A1B">
      <w:pPr>
        <w:spacing w:before="240" w:line="240" w:lineRule="auto"/>
        <w:rPr>
          <w:sz w:val="16"/>
          <w:szCs w:val="16"/>
        </w:rPr>
      </w:pPr>
      <w:r w:rsidRPr="00B34E16">
        <w:rPr>
          <w:i/>
          <w:sz w:val="16"/>
          <w:szCs w:val="16"/>
        </w:rPr>
        <w:t>From:</w:t>
      </w:r>
      <w:r w:rsidRPr="00B34E16">
        <w:rPr>
          <w:sz w:val="16"/>
          <w:szCs w:val="16"/>
        </w:rPr>
        <w:t xml:space="preserve"> </w:t>
      </w:r>
      <w:proofErr w:type="spellStart"/>
      <w:r w:rsidRPr="00B34E16">
        <w:rPr>
          <w:sz w:val="16"/>
          <w:szCs w:val="16"/>
        </w:rPr>
        <w:t>Tricco</w:t>
      </w:r>
      <w:proofErr w:type="spellEnd"/>
      <w:r w:rsidRPr="00B34E16">
        <w:rPr>
          <w:sz w:val="16"/>
          <w:szCs w:val="16"/>
        </w:rPr>
        <w:t xml:space="preserve"> AC, Lillie E, Zarin W, O'Brien KK, Colquhoun H, Levac D, et al. PRISMA Extension for Scoping Reviews (</w:t>
      </w:r>
      <w:proofErr w:type="spellStart"/>
      <w:r w:rsidRPr="00B34E16">
        <w:rPr>
          <w:sz w:val="16"/>
          <w:szCs w:val="16"/>
        </w:rPr>
        <w:t>PRISMAScR</w:t>
      </w:r>
      <w:proofErr w:type="spellEnd"/>
      <w:r w:rsidRPr="00B34E16">
        <w:rPr>
          <w:sz w:val="16"/>
          <w:szCs w:val="16"/>
        </w:rPr>
        <w:t xml:space="preserve">): Checklist and Explanation. Ann Intern Med. 2018;169:467–473. </w:t>
      </w:r>
      <w:hyperlink r:id="rId8" w:history="1">
        <w:proofErr w:type="spellStart"/>
        <w:r w:rsidRPr="00B34E16">
          <w:rPr>
            <w:color w:val="467886" w:themeColor="hyperlink"/>
            <w:sz w:val="16"/>
            <w:szCs w:val="16"/>
            <w:u w:val="single"/>
          </w:rPr>
          <w:t>doi</w:t>
        </w:r>
        <w:proofErr w:type="spellEnd"/>
        <w:r w:rsidRPr="00B34E16">
          <w:rPr>
            <w:color w:val="467886" w:themeColor="hyperlink"/>
            <w:sz w:val="16"/>
            <w:szCs w:val="16"/>
            <w:u w:val="single"/>
          </w:rPr>
          <w:t>: 10.7326/M18-0850</w:t>
        </w:r>
      </w:hyperlink>
      <w:r w:rsidRPr="00B34E16">
        <w:rPr>
          <w:sz w:val="16"/>
          <w:szCs w:val="16"/>
        </w:rPr>
        <w:t>.</w:t>
      </w:r>
    </w:p>
    <w:p w14:paraId="3DBD4CC0" w14:textId="77777777" w:rsidR="00844A1B" w:rsidRPr="00B34E16" w:rsidRDefault="00844A1B" w:rsidP="00844A1B">
      <w:pPr>
        <w:spacing w:line="276" w:lineRule="auto"/>
        <w:rPr>
          <w:rFonts w:ascii="Calibri" w:hAnsi="Calibri" w:cs="Calibri"/>
          <w:sz w:val="20"/>
          <w:szCs w:val="20"/>
          <w:lang w:val="en-US"/>
        </w:rPr>
      </w:pPr>
    </w:p>
    <w:p w14:paraId="0FF042C4" w14:textId="77777777" w:rsidR="00844A1B" w:rsidRDefault="00844A1B" w:rsidP="00B34E16">
      <w:pPr>
        <w:spacing w:line="360" w:lineRule="auto"/>
        <w:rPr>
          <w:rFonts w:ascii="Roboto" w:hAnsi="Roboto"/>
          <w:color w:val="00759C"/>
          <w:shd w:val="clear" w:color="auto" w:fill="FFFFFF"/>
        </w:rPr>
      </w:pPr>
    </w:p>
    <w:p w14:paraId="584CC542" w14:textId="77777777" w:rsidR="00F34D67" w:rsidRDefault="00F34D67" w:rsidP="00B34E16">
      <w:pPr>
        <w:spacing w:line="360" w:lineRule="auto"/>
        <w:rPr>
          <w:rFonts w:ascii="Calibri" w:hAnsi="Calibri" w:cs="Calibri"/>
          <w:b/>
          <w:bCs/>
          <w:sz w:val="24"/>
          <w:szCs w:val="24"/>
          <w:highlight w:val="yellow"/>
          <w:lang w:val="en-US"/>
        </w:rPr>
        <w:sectPr w:rsidR="00F34D67" w:rsidSect="00F34D67">
          <w:footerReference w:type="default" r:id="rId9"/>
          <w:pgSz w:w="11906" w:h="16838"/>
          <w:pgMar w:top="1440" w:right="1440" w:bottom="1440" w:left="1440" w:header="709" w:footer="709" w:gutter="0"/>
          <w:cols w:space="708"/>
          <w:docGrid w:linePitch="360"/>
        </w:sectPr>
      </w:pPr>
    </w:p>
    <w:p w14:paraId="2A44A9BC" w14:textId="0158A4E1" w:rsidR="00B34E16" w:rsidRPr="000C4522" w:rsidRDefault="00B34E16" w:rsidP="00B34E16">
      <w:pPr>
        <w:spacing w:line="360" w:lineRule="auto"/>
        <w:rPr>
          <w:rFonts w:ascii="Calibri" w:hAnsi="Calibri" w:cs="Calibri"/>
          <w:b/>
          <w:bCs/>
          <w:color w:val="FF0000"/>
          <w:sz w:val="24"/>
          <w:szCs w:val="24"/>
          <w:lang w:val="en-US"/>
        </w:rPr>
      </w:pPr>
      <w:r w:rsidRPr="00374044">
        <w:rPr>
          <w:rFonts w:ascii="Calibri" w:hAnsi="Calibri" w:cs="Calibri"/>
          <w:b/>
          <w:bCs/>
          <w:sz w:val="24"/>
          <w:szCs w:val="24"/>
          <w:lang w:val="en-US"/>
        </w:rPr>
        <w:lastRenderedPageBreak/>
        <w:t xml:space="preserve">Supplementary File </w:t>
      </w:r>
      <w:r w:rsidR="00374044" w:rsidRPr="00374044">
        <w:rPr>
          <w:rFonts w:ascii="Calibri" w:hAnsi="Calibri" w:cs="Calibri"/>
          <w:b/>
          <w:bCs/>
          <w:sz w:val="24"/>
          <w:szCs w:val="24"/>
          <w:lang w:val="en-US"/>
        </w:rPr>
        <w:t>2</w:t>
      </w:r>
      <w:r w:rsidRPr="00374044">
        <w:rPr>
          <w:rFonts w:ascii="Calibri" w:hAnsi="Calibri" w:cs="Calibri"/>
          <w:b/>
          <w:bCs/>
          <w:sz w:val="24"/>
          <w:szCs w:val="24"/>
          <w:lang w:val="en-US"/>
        </w:rPr>
        <w:t xml:space="preserve">: Scoping Review Search </w:t>
      </w:r>
      <w:r w:rsidR="003F4891" w:rsidRPr="00374044">
        <w:rPr>
          <w:rFonts w:ascii="Calibri" w:hAnsi="Calibri" w:cs="Calibri"/>
          <w:b/>
          <w:bCs/>
          <w:sz w:val="24"/>
          <w:szCs w:val="24"/>
          <w:lang w:val="en-US"/>
        </w:rPr>
        <w:t>Strategy</w:t>
      </w:r>
      <w:r w:rsidR="000C4522">
        <w:rPr>
          <w:rFonts w:ascii="Calibri" w:hAnsi="Calibri" w:cs="Calibri"/>
          <w:b/>
          <w:bCs/>
          <w:sz w:val="24"/>
          <w:szCs w:val="24"/>
          <w:lang w:val="en-US"/>
        </w:rPr>
        <w:t xml:space="preserve">                                                                                      </w:t>
      </w:r>
    </w:p>
    <w:tbl>
      <w:tblPr>
        <w:tblStyle w:val="TableGrid"/>
        <w:tblW w:w="0" w:type="auto"/>
        <w:tblLook w:val="04A0" w:firstRow="1" w:lastRow="0" w:firstColumn="1" w:lastColumn="0" w:noHBand="0" w:noVBand="1"/>
      </w:tblPr>
      <w:tblGrid>
        <w:gridCol w:w="1708"/>
        <w:gridCol w:w="1502"/>
        <w:gridCol w:w="8125"/>
        <w:gridCol w:w="1276"/>
        <w:gridCol w:w="1276"/>
      </w:tblGrid>
      <w:tr w:rsidR="00B34E16" w:rsidRPr="009B561A" w14:paraId="6E4F2453" w14:textId="77777777" w:rsidTr="00786A41">
        <w:tc>
          <w:tcPr>
            <w:tcW w:w="1708" w:type="dxa"/>
          </w:tcPr>
          <w:p w14:paraId="27306332" w14:textId="77777777" w:rsidR="00B34E16" w:rsidRPr="009B561A" w:rsidRDefault="00B34E16" w:rsidP="009B561A">
            <w:pPr>
              <w:spacing w:line="276" w:lineRule="auto"/>
              <w:rPr>
                <w:rFonts w:ascii="Calibri" w:hAnsi="Calibri" w:cs="Calibri"/>
                <w:b/>
                <w:bCs/>
                <w:sz w:val="20"/>
                <w:szCs w:val="20"/>
                <w:lang w:val="en-US"/>
              </w:rPr>
            </w:pPr>
            <w:r w:rsidRPr="009B561A">
              <w:rPr>
                <w:rFonts w:ascii="Calibri" w:hAnsi="Calibri" w:cs="Calibri"/>
                <w:b/>
                <w:bCs/>
                <w:sz w:val="20"/>
                <w:szCs w:val="20"/>
                <w:lang w:val="en-US"/>
              </w:rPr>
              <w:t>Date</w:t>
            </w:r>
          </w:p>
        </w:tc>
        <w:tc>
          <w:tcPr>
            <w:tcW w:w="1502" w:type="dxa"/>
          </w:tcPr>
          <w:p w14:paraId="065A3D19" w14:textId="77777777" w:rsidR="00B34E16" w:rsidRPr="009B561A" w:rsidRDefault="00B34E16" w:rsidP="009B561A">
            <w:pPr>
              <w:spacing w:line="276" w:lineRule="auto"/>
              <w:rPr>
                <w:rFonts w:ascii="Calibri" w:hAnsi="Calibri" w:cs="Calibri"/>
                <w:b/>
                <w:bCs/>
                <w:sz w:val="20"/>
                <w:szCs w:val="20"/>
                <w:lang w:val="en-US"/>
              </w:rPr>
            </w:pPr>
            <w:r w:rsidRPr="009B561A">
              <w:rPr>
                <w:rFonts w:ascii="Calibri" w:hAnsi="Calibri" w:cs="Calibri"/>
                <w:b/>
                <w:bCs/>
                <w:sz w:val="20"/>
                <w:szCs w:val="20"/>
                <w:lang w:val="en-US"/>
              </w:rPr>
              <w:t>Database</w:t>
            </w:r>
          </w:p>
        </w:tc>
        <w:tc>
          <w:tcPr>
            <w:tcW w:w="8125" w:type="dxa"/>
          </w:tcPr>
          <w:p w14:paraId="4EE6A9F2" w14:textId="77777777" w:rsidR="00B34E16" w:rsidRPr="009B561A" w:rsidRDefault="00B34E16" w:rsidP="009B561A">
            <w:pPr>
              <w:spacing w:line="276" w:lineRule="auto"/>
              <w:rPr>
                <w:rFonts w:ascii="Calibri" w:hAnsi="Calibri" w:cs="Calibri"/>
                <w:b/>
                <w:bCs/>
                <w:sz w:val="20"/>
                <w:szCs w:val="20"/>
                <w:lang w:val="en-US"/>
              </w:rPr>
            </w:pPr>
            <w:r w:rsidRPr="009B561A">
              <w:rPr>
                <w:rFonts w:ascii="Calibri" w:hAnsi="Calibri" w:cs="Calibri"/>
                <w:b/>
                <w:bCs/>
                <w:sz w:val="20"/>
                <w:szCs w:val="20"/>
                <w:lang w:val="en-US"/>
              </w:rPr>
              <w:t>Search Terms</w:t>
            </w:r>
          </w:p>
        </w:tc>
        <w:tc>
          <w:tcPr>
            <w:tcW w:w="1276" w:type="dxa"/>
          </w:tcPr>
          <w:p w14:paraId="021275CB" w14:textId="77777777" w:rsidR="00B34E16" w:rsidRPr="009B561A" w:rsidRDefault="00B34E16" w:rsidP="009B561A">
            <w:pPr>
              <w:spacing w:line="276" w:lineRule="auto"/>
              <w:rPr>
                <w:rFonts w:ascii="Calibri" w:hAnsi="Calibri" w:cs="Calibri"/>
                <w:b/>
                <w:bCs/>
                <w:sz w:val="20"/>
                <w:szCs w:val="20"/>
                <w:lang w:val="en-US"/>
              </w:rPr>
            </w:pPr>
            <w:r w:rsidRPr="009B561A">
              <w:rPr>
                <w:rFonts w:ascii="Calibri" w:hAnsi="Calibri" w:cs="Calibri"/>
                <w:b/>
                <w:bCs/>
                <w:sz w:val="20"/>
                <w:szCs w:val="20"/>
                <w:lang w:val="en-US"/>
              </w:rPr>
              <w:t>Limits Used</w:t>
            </w:r>
          </w:p>
        </w:tc>
        <w:tc>
          <w:tcPr>
            <w:tcW w:w="1276" w:type="dxa"/>
          </w:tcPr>
          <w:p w14:paraId="193DAE29" w14:textId="77777777" w:rsidR="00B34E16" w:rsidRPr="009B561A" w:rsidRDefault="00B34E16" w:rsidP="009B561A">
            <w:pPr>
              <w:spacing w:line="276" w:lineRule="auto"/>
              <w:rPr>
                <w:rFonts w:ascii="Calibri" w:hAnsi="Calibri" w:cs="Calibri"/>
                <w:b/>
                <w:bCs/>
                <w:sz w:val="20"/>
                <w:szCs w:val="20"/>
                <w:lang w:val="en-US"/>
              </w:rPr>
            </w:pPr>
            <w:r w:rsidRPr="009B561A">
              <w:rPr>
                <w:rFonts w:ascii="Calibri" w:hAnsi="Calibri" w:cs="Calibri"/>
                <w:b/>
                <w:bCs/>
                <w:sz w:val="20"/>
                <w:szCs w:val="20"/>
                <w:lang w:val="en-US"/>
              </w:rPr>
              <w:t>Results</w:t>
            </w:r>
          </w:p>
        </w:tc>
      </w:tr>
      <w:tr w:rsidR="00B34E16" w:rsidRPr="009B561A" w14:paraId="1D6DA2E1" w14:textId="77777777" w:rsidTr="00786A41">
        <w:tc>
          <w:tcPr>
            <w:tcW w:w="13887" w:type="dxa"/>
            <w:gridSpan w:val="5"/>
            <w:shd w:val="clear" w:color="auto" w:fill="A5C9EB" w:themeFill="text2" w:themeFillTint="40"/>
          </w:tcPr>
          <w:p w14:paraId="6D31754B" w14:textId="77777777" w:rsidR="00B34E16" w:rsidRPr="009B561A" w:rsidRDefault="00B34E16" w:rsidP="009B561A">
            <w:pPr>
              <w:spacing w:line="276" w:lineRule="auto"/>
              <w:rPr>
                <w:rFonts w:ascii="Calibri" w:hAnsi="Calibri" w:cs="Calibri"/>
                <w:b/>
                <w:bCs/>
                <w:sz w:val="20"/>
                <w:szCs w:val="20"/>
                <w:lang w:val="en-US"/>
              </w:rPr>
            </w:pPr>
            <w:r w:rsidRPr="009B561A">
              <w:rPr>
                <w:rFonts w:ascii="Calibri" w:hAnsi="Calibri" w:cs="Calibri"/>
                <w:b/>
                <w:bCs/>
                <w:sz w:val="20"/>
                <w:szCs w:val="20"/>
                <w:lang w:val="en-US"/>
              </w:rPr>
              <w:t>Database: PubMed</w:t>
            </w:r>
          </w:p>
        </w:tc>
      </w:tr>
      <w:tr w:rsidR="00B34E16" w:rsidRPr="009B561A" w14:paraId="26991B8B" w14:textId="77777777" w:rsidTr="00786A41">
        <w:tc>
          <w:tcPr>
            <w:tcW w:w="1708" w:type="dxa"/>
          </w:tcPr>
          <w:p w14:paraId="120E431F"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15/09/21</w:t>
            </w:r>
          </w:p>
        </w:tc>
        <w:tc>
          <w:tcPr>
            <w:tcW w:w="1502" w:type="dxa"/>
          </w:tcPr>
          <w:p w14:paraId="4831A446"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PubMed</w:t>
            </w:r>
          </w:p>
        </w:tc>
        <w:tc>
          <w:tcPr>
            <w:tcW w:w="8125" w:type="dxa"/>
          </w:tcPr>
          <w:p w14:paraId="3377EB1F"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rPr>
              <w:t>"antibiotic management" OR "antibiotic stewardship" OR "antimicrobial management" OR "antimicrobial stewardship" AND Ireland</w:t>
            </w:r>
          </w:p>
        </w:tc>
        <w:tc>
          <w:tcPr>
            <w:tcW w:w="1276" w:type="dxa"/>
          </w:tcPr>
          <w:p w14:paraId="1A83C800"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4C9C6345"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136</w:t>
            </w:r>
          </w:p>
        </w:tc>
      </w:tr>
      <w:tr w:rsidR="00B34E16" w:rsidRPr="009B561A" w14:paraId="16A2FE4F" w14:textId="77777777" w:rsidTr="00786A41">
        <w:tc>
          <w:tcPr>
            <w:tcW w:w="1708" w:type="dxa"/>
          </w:tcPr>
          <w:p w14:paraId="5AC2764A"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09/09/21</w:t>
            </w:r>
          </w:p>
        </w:tc>
        <w:tc>
          <w:tcPr>
            <w:tcW w:w="1502" w:type="dxa"/>
          </w:tcPr>
          <w:p w14:paraId="7140EA11"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PubMed</w:t>
            </w:r>
          </w:p>
        </w:tc>
        <w:tc>
          <w:tcPr>
            <w:tcW w:w="8125" w:type="dxa"/>
          </w:tcPr>
          <w:p w14:paraId="626091AC" w14:textId="77777777" w:rsidR="00B34E16" w:rsidRPr="009B561A" w:rsidRDefault="00B34E16" w:rsidP="009B561A">
            <w:pPr>
              <w:spacing w:line="276" w:lineRule="auto"/>
              <w:rPr>
                <w:rFonts w:ascii="Calibri" w:hAnsi="Calibri" w:cs="Calibri"/>
                <w:sz w:val="20"/>
                <w:szCs w:val="20"/>
                <w:lang w:val="en-US"/>
              </w:rPr>
            </w:pPr>
            <w:r w:rsidRPr="009B561A">
              <w:rPr>
                <w:rFonts w:ascii="Calibri" w:eastAsia="Times New Roman" w:hAnsi="Calibri" w:cs="Calibri"/>
                <w:sz w:val="20"/>
                <w:szCs w:val="20"/>
                <w:lang w:val="en-GB" w:eastAsia="en-GB"/>
              </w:rPr>
              <w:t>("antibiotic management") OR ("antibiotic stewardship") OR ("antimicrobial management") OR ("antimicrobial stewardship") AND Ireland</w:t>
            </w:r>
          </w:p>
        </w:tc>
        <w:tc>
          <w:tcPr>
            <w:tcW w:w="1276" w:type="dxa"/>
          </w:tcPr>
          <w:p w14:paraId="2DC16B4C"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703E0717"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137</w:t>
            </w:r>
          </w:p>
        </w:tc>
      </w:tr>
      <w:tr w:rsidR="00B34E16" w:rsidRPr="009B561A" w14:paraId="1642BFAA" w14:textId="77777777" w:rsidTr="00786A41">
        <w:tc>
          <w:tcPr>
            <w:tcW w:w="1708" w:type="dxa"/>
          </w:tcPr>
          <w:p w14:paraId="0602E768"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24/08/21</w:t>
            </w:r>
          </w:p>
        </w:tc>
        <w:tc>
          <w:tcPr>
            <w:tcW w:w="1502" w:type="dxa"/>
          </w:tcPr>
          <w:p w14:paraId="387437EE"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PubMed</w:t>
            </w:r>
          </w:p>
        </w:tc>
        <w:tc>
          <w:tcPr>
            <w:tcW w:w="8125" w:type="dxa"/>
          </w:tcPr>
          <w:p w14:paraId="5D92734F"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("antimicrobial management" OR "antimicrobial stewardship") AND Ireland</w:t>
            </w:r>
          </w:p>
        </w:tc>
        <w:tc>
          <w:tcPr>
            <w:tcW w:w="1276" w:type="dxa"/>
          </w:tcPr>
          <w:p w14:paraId="565E9356"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05472AD4"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102</w:t>
            </w:r>
          </w:p>
        </w:tc>
      </w:tr>
      <w:tr w:rsidR="00B34E16" w:rsidRPr="009B561A" w14:paraId="07EB6936" w14:textId="77777777" w:rsidTr="00786A41">
        <w:tc>
          <w:tcPr>
            <w:tcW w:w="1708" w:type="dxa"/>
          </w:tcPr>
          <w:p w14:paraId="19BF9C86"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21/07/21</w:t>
            </w:r>
          </w:p>
        </w:tc>
        <w:tc>
          <w:tcPr>
            <w:tcW w:w="1502" w:type="dxa"/>
          </w:tcPr>
          <w:p w14:paraId="66E48A42"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PubMed</w:t>
            </w:r>
          </w:p>
        </w:tc>
        <w:tc>
          <w:tcPr>
            <w:tcW w:w="8125" w:type="dxa"/>
          </w:tcPr>
          <w:p w14:paraId="6898EE0D" w14:textId="77777777" w:rsidR="00B34E16" w:rsidRPr="009B561A" w:rsidRDefault="00B34E16" w:rsidP="009B561A">
            <w:pPr>
              <w:spacing w:line="276" w:lineRule="auto"/>
              <w:rPr>
                <w:rFonts w:ascii="Calibri" w:eastAsia="Calibri" w:hAnsi="Calibri" w:cs="Calibri"/>
                <w:sz w:val="20"/>
                <w:szCs w:val="20"/>
              </w:rPr>
            </w:pPr>
            <w:r w:rsidRPr="009B561A">
              <w:rPr>
                <w:rFonts w:ascii="Calibri" w:eastAsia="Calibri" w:hAnsi="Calibri" w:cs="Calibri"/>
                <w:sz w:val="20"/>
                <w:szCs w:val="20"/>
              </w:rPr>
              <w:t xml:space="preserve">“Antimicrobial stewardship” OR </w:t>
            </w:r>
            <w:r w:rsidRPr="009B561A">
              <w:rPr>
                <w:rFonts w:ascii="Calibri" w:eastAsia="Calibri" w:hAnsi="Calibri" w:cs="Calibri"/>
                <w:color w:val="FF0000"/>
                <w:sz w:val="20"/>
                <w:szCs w:val="20"/>
              </w:rPr>
              <w:t xml:space="preserve">“antibiotic management” </w:t>
            </w:r>
            <w:r w:rsidRPr="009B561A">
              <w:rPr>
                <w:rFonts w:ascii="Calibri" w:eastAsia="Calibri" w:hAnsi="Calibri" w:cs="Calibri"/>
                <w:sz w:val="20"/>
                <w:szCs w:val="20"/>
              </w:rPr>
              <w:t>AND Ireland</w:t>
            </w:r>
          </w:p>
        </w:tc>
        <w:tc>
          <w:tcPr>
            <w:tcW w:w="1276" w:type="dxa"/>
          </w:tcPr>
          <w:p w14:paraId="4DF14E06"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3D4B2C33"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83</w:t>
            </w:r>
          </w:p>
        </w:tc>
      </w:tr>
      <w:tr w:rsidR="00B34E16" w:rsidRPr="009B561A" w14:paraId="2684780E" w14:textId="77777777" w:rsidTr="00786A41">
        <w:tc>
          <w:tcPr>
            <w:tcW w:w="1708" w:type="dxa"/>
          </w:tcPr>
          <w:p w14:paraId="6D2FF76F"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21/07/21</w:t>
            </w:r>
          </w:p>
        </w:tc>
        <w:tc>
          <w:tcPr>
            <w:tcW w:w="1502" w:type="dxa"/>
          </w:tcPr>
          <w:p w14:paraId="64344DB7"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PubMed</w:t>
            </w:r>
          </w:p>
        </w:tc>
        <w:tc>
          <w:tcPr>
            <w:tcW w:w="8125" w:type="dxa"/>
          </w:tcPr>
          <w:p w14:paraId="45965101" w14:textId="77777777" w:rsidR="00B34E16" w:rsidRPr="009B561A" w:rsidRDefault="00B34E16" w:rsidP="009B561A">
            <w:pPr>
              <w:spacing w:line="276" w:lineRule="auto"/>
              <w:rPr>
                <w:rFonts w:ascii="Calibri" w:eastAsia="Calibri" w:hAnsi="Calibri" w:cs="Calibri"/>
                <w:sz w:val="20"/>
                <w:szCs w:val="20"/>
                <w:lang w:val="en-GB" w:eastAsia="en-GB"/>
              </w:rPr>
            </w:pPr>
            <w:r w:rsidRPr="009B561A">
              <w:rPr>
                <w:rFonts w:ascii="Calibri" w:eastAsia="Calibri" w:hAnsi="Calibri" w:cs="Calibri"/>
                <w:sz w:val="20"/>
                <w:szCs w:val="20"/>
                <w:lang w:val="en-GB" w:eastAsia="en-GB"/>
              </w:rPr>
              <w:t>“Antimicrobial stewardship” OR “</w:t>
            </w:r>
            <w:r w:rsidRPr="009B561A">
              <w:rPr>
                <w:rFonts w:ascii="Calibri" w:eastAsia="Calibri" w:hAnsi="Calibri" w:cs="Calibri"/>
                <w:color w:val="FF0000"/>
                <w:sz w:val="20"/>
                <w:szCs w:val="20"/>
                <w:lang w:val="en-GB" w:eastAsia="en-GB"/>
              </w:rPr>
              <w:t>antimicrobial management</w:t>
            </w:r>
            <w:r w:rsidRPr="009B561A">
              <w:rPr>
                <w:rFonts w:ascii="Calibri" w:eastAsia="Calibri" w:hAnsi="Calibri" w:cs="Calibri"/>
                <w:sz w:val="20"/>
                <w:szCs w:val="20"/>
                <w:lang w:val="en-GB" w:eastAsia="en-GB"/>
              </w:rPr>
              <w:t>” AND Ireland</w:t>
            </w:r>
          </w:p>
        </w:tc>
        <w:tc>
          <w:tcPr>
            <w:tcW w:w="1276" w:type="dxa"/>
          </w:tcPr>
          <w:p w14:paraId="32AE5FF1"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66A36C73"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88</w:t>
            </w:r>
          </w:p>
        </w:tc>
      </w:tr>
      <w:tr w:rsidR="00B34E16" w:rsidRPr="009B561A" w14:paraId="39F679D7" w14:textId="77777777" w:rsidTr="00786A41">
        <w:tc>
          <w:tcPr>
            <w:tcW w:w="13887" w:type="dxa"/>
            <w:gridSpan w:val="5"/>
            <w:shd w:val="clear" w:color="auto" w:fill="A5C9EB" w:themeFill="text2" w:themeFillTint="40"/>
          </w:tcPr>
          <w:p w14:paraId="42FE89BA" w14:textId="77777777" w:rsidR="00B34E16" w:rsidRPr="009B561A" w:rsidRDefault="00B34E16" w:rsidP="00D35767">
            <w:pPr>
              <w:spacing w:line="276" w:lineRule="auto"/>
              <w:rPr>
                <w:rFonts w:ascii="Calibri" w:hAnsi="Calibri" w:cs="Calibri"/>
                <w:sz w:val="20"/>
                <w:szCs w:val="20"/>
                <w:lang w:val="en-US"/>
              </w:rPr>
            </w:pPr>
            <w:r w:rsidRPr="009B561A">
              <w:rPr>
                <w:rFonts w:ascii="Calibri" w:hAnsi="Calibri" w:cs="Calibri"/>
                <w:b/>
                <w:bCs/>
                <w:sz w:val="20"/>
                <w:szCs w:val="20"/>
                <w:lang w:val="en-US"/>
              </w:rPr>
              <w:t>Database: CINHAL</w:t>
            </w:r>
          </w:p>
        </w:tc>
      </w:tr>
      <w:tr w:rsidR="00B34E16" w:rsidRPr="009B561A" w14:paraId="2035E714" w14:textId="77777777" w:rsidTr="00786A41">
        <w:tc>
          <w:tcPr>
            <w:tcW w:w="1708" w:type="dxa"/>
          </w:tcPr>
          <w:p w14:paraId="3FACFBB5"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15/09/21</w:t>
            </w:r>
          </w:p>
        </w:tc>
        <w:tc>
          <w:tcPr>
            <w:tcW w:w="1502" w:type="dxa"/>
          </w:tcPr>
          <w:p w14:paraId="6A4116FC"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CINHAL</w:t>
            </w:r>
          </w:p>
        </w:tc>
        <w:tc>
          <w:tcPr>
            <w:tcW w:w="8125" w:type="dxa"/>
          </w:tcPr>
          <w:p w14:paraId="5E1B9F48"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rPr>
              <w:t>"antibiotic management" OR "antibiotic stewardship" OR "antimicrobial management" OR "antimicrobial stewardship" AND Ireland</w:t>
            </w:r>
          </w:p>
        </w:tc>
        <w:tc>
          <w:tcPr>
            <w:tcW w:w="1276" w:type="dxa"/>
          </w:tcPr>
          <w:p w14:paraId="64BA6FE9"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5F6426EB"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18</w:t>
            </w:r>
          </w:p>
        </w:tc>
      </w:tr>
      <w:tr w:rsidR="00B34E16" w:rsidRPr="009B561A" w14:paraId="110284BD" w14:textId="77777777" w:rsidTr="00786A41">
        <w:tc>
          <w:tcPr>
            <w:tcW w:w="1708" w:type="dxa"/>
          </w:tcPr>
          <w:p w14:paraId="4EEEBEB6"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09/09/21</w:t>
            </w:r>
          </w:p>
        </w:tc>
        <w:tc>
          <w:tcPr>
            <w:tcW w:w="1502" w:type="dxa"/>
          </w:tcPr>
          <w:p w14:paraId="38171ACB"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CINHAL</w:t>
            </w:r>
          </w:p>
        </w:tc>
        <w:tc>
          <w:tcPr>
            <w:tcW w:w="8125" w:type="dxa"/>
          </w:tcPr>
          <w:p w14:paraId="696BACF1" w14:textId="77777777" w:rsidR="00B34E16" w:rsidRPr="009B561A" w:rsidRDefault="00B34E16" w:rsidP="009B561A">
            <w:pPr>
              <w:spacing w:line="276" w:lineRule="auto"/>
              <w:rPr>
                <w:rFonts w:ascii="Calibri" w:hAnsi="Calibri" w:cs="Calibri"/>
                <w:sz w:val="20"/>
                <w:szCs w:val="20"/>
                <w:lang w:val="en-US"/>
              </w:rPr>
            </w:pPr>
            <w:r w:rsidRPr="009B561A">
              <w:rPr>
                <w:rFonts w:ascii="Calibri" w:eastAsia="Times New Roman" w:hAnsi="Calibri" w:cs="Calibri"/>
                <w:sz w:val="20"/>
                <w:szCs w:val="20"/>
                <w:lang w:val="en-GB" w:eastAsia="en-GB"/>
              </w:rPr>
              <w:t>("antibiotic management") OR ("antibiotic stewardship") OR ("antimicrobial management") OR ("antimicrobial stewardship") AND Ireland</w:t>
            </w:r>
          </w:p>
        </w:tc>
        <w:tc>
          <w:tcPr>
            <w:tcW w:w="1276" w:type="dxa"/>
          </w:tcPr>
          <w:p w14:paraId="62D69987"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5DCCB32C"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1324</w:t>
            </w:r>
          </w:p>
        </w:tc>
      </w:tr>
      <w:tr w:rsidR="00B34E16" w:rsidRPr="009B561A" w14:paraId="32BE9D7C" w14:textId="77777777" w:rsidTr="00786A41">
        <w:tc>
          <w:tcPr>
            <w:tcW w:w="1708" w:type="dxa"/>
          </w:tcPr>
          <w:p w14:paraId="28AB13C3"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24/08/21</w:t>
            </w:r>
          </w:p>
        </w:tc>
        <w:tc>
          <w:tcPr>
            <w:tcW w:w="1502" w:type="dxa"/>
          </w:tcPr>
          <w:p w14:paraId="4621F628"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CINHAL</w:t>
            </w:r>
          </w:p>
        </w:tc>
        <w:tc>
          <w:tcPr>
            <w:tcW w:w="8125" w:type="dxa"/>
          </w:tcPr>
          <w:p w14:paraId="1FED3FF7"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("antimicrobial management" OR "antimicrobial stewardship") AND Ireland</w:t>
            </w:r>
          </w:p>
        </w:tc>
        <w:tc>
          <w:tcPr>
            <w:tcW w:w="1276" w:type="dxa"/>
          </w:tcPr>
          <w:p w14:paraId="6BBB9BA1"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174E5279"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16</w:t>
            </w:r>
          </w:p>
        </w:tc>
      </w:tr>
      <w:tr w:rsidR="00B34E16" w:rsidRPr="009B561A" w14:paraId="4A8A4612" w14:textId="77777777" w:rsidTr="00786A41">
        <w:tc>
          <w:tcPr>
            <w:tcW w:w="1708" w:type="dxa"/>
          </w:tcPr>
          <w:p w14:paraId="55AC7A5C"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21/07/21</w:t>
            </w:r>
          </w:p>
        </w:tc>
        <w:tc>
          <w:tcPr>
            <w:tcW w:w="1502" w:type="dxa"/>
          </w:tcPr>
          <w:p w14:paraId="54DEECDE"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CINHAL</w:t>
            </w:r>
          </w:p>
        </w:tc>
        <w:tc>
          <w:tcPr>
            <w:tcW w:w="8125" w:type="dxa"/>
          </w:tcPr>
          <w:p w14:paraId="0731EB80" w14:textId="77777777" w:rsidR="00B34E16" w:rsidRPr="009B561A" w:rsidRDefault="00B34E16" w:rsidP="009B561A">
            <w:pPr>
              <w:spacing w:line="276" w:lineRule="auto"/>
              <w:rPr>
                <w:rFonts w:ascii="Calibri" w:hAnsi="Calibri" w:cs="Calibri"/>
                <w:sz w:val="20"/>
                <w:szCs w:val="20"/>
                <w:lang w:val="en-US"/>
              </w:rPr>
            </w:pPr>
            <w:r w:rsidRPr="009B561A">
              <w:rPr>
                <w:rFonts w:ascii="Calibri" w:eastAsia="Calibri" w:hAnsi="Calibri" w:cs="Calibri"/>
                <w:sz w:val="20"/>
                <w:szCs w:val="20"/>
              </w:rPr>
              <w:t xml:space="preserve">“Antimicrobial stewardship” OR </w:t>
            </w:r>
            <w:r w:rsidRPr="009B561A">
              <w:rPr>
                <w:rFonts w:ascii="Calibri" w:eastAsia="Calibri" w:hAnsi="Calibri" w:cs="Calibri"/>
                <w:color w:val="FF0000"/>
                <w:sz w:val="20"/>
                <w:szCs w:val="20"/>
              </w:rPr>
              <w:t xml:space="preserve">“antibiotic management” </w:t>
            </w:r>
            <w:r w:rsidRPr="009B561A">
              <w:rPr>
                <w:rFonts w:ascii="Calibri" w:eastAsia="Calibri" w:hAnsi="Calibri" w:cs="Calibri"/>
                <w:sz w:val="20"/>
                <w:szCs w:val="20"/>
              </w:rPr>
              <w:t>AND Ireland</w:t>
            </w:r>
          </w:p>
        </w:tc>
        <w:tc>
          <w:tcPr>
            <w:tcW w:w="1276" w:type="dxa"/>
          </w:tcPr>
          <w:p w14:paraId="212441BA"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06FA4734"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2487</w:t>
            </w:r>
          </w:p>
        </w:tc>
      </w:tr>
      <w:tr w:rsidR="00B34E16" w:rsidRPr="009B561A" w14:paraId="2D358BA1" w14:textId="77777777" w:rsidTr="00786A41">
        <w:tc>
          <w:tcPr>
            <w:tcW w:w="1708" w:type="dxa"/>
          </w:tcPr>
          <w:p w14:paraId="35AEF283"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21/07/21</w:t>
            </w:r>
          </w:p>
        </w:tc>
        <w:tc>
          <w:tcPr>
            <w:tcW w:w="1502" w:type="dxa"/>
          </w:tcPr>
          <w:p w14:paraId="139A5A7E"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CINHAL</w:t>
            </w:r>
          </w:p>
        </w:tc>
        <w:tc>
          <w:tcPr>
            <w:tcW w:w="8125" w:type="dxa"/>
          </w:tcPr>
          <w:p w14:paraId="238E5184" w14:textId="77777777" w:rsidR="00B34E16" w:rsidRPr="009B561A" w:rsidRDefault="00B34E16" w:rsidP="009B561A">
            <w:pPr>
              <w:spacing w:line="276" w:lineRule="auto"/>
              <w:rPr>
                <w:rFonts w:ascii="Calibri" w:hAnsi="Calibri" w:cs="Calibri"/>
                <w:sz w:val="20"/>
                <w:szCs w:val="20"/>
                <w:lang w:val="en-US"/>
              </w:rPr>
            </w:pPr>
            <w:r w:rsidRPr="009B561A">
              <w:rPr>
                <w:rFonts w:ascii="Calibri" w:eastAsia="Calibri" w:hAnsi="Calibri" w:cs="Calibri"/>
                <w:sz w:val="20"/>
                <w:szCs w:val="20"/>
                <w:lang w:val="en-GB" w:eastAsia="en-GB"/>
              </w:rPr>
              <w:t>“Antimicrobial stewardship” OR “</w:t>
            </w:r>
            <w:r w:rsidRPr="009B561A">
              <w:rPr>
                <w:rFonts w:ascii="Calibri" w:eastAsia="Calibri" w:hAnsi="Calibri" w:cs="Calibri"/>
                <w:color w:val="FF0000"/>
                <w:sz w:val="20"/>
                <w:szCs w:val="20"/>
                <w:lang w:val="en-GB" w:eastAsia="en-GB"/>
              </w:rPr>
              <w:t>antimicrobial management</w:t>
            </w:r>
            <w:r w:rsidRPr="009B561A">
              <w:rPr>
                <w:rFonts w:ascii="Calibri" w:eastAsia="Calibri" w:hAnsi="Calibri" w:cs="Calibri"/>
                <w:sz w:val="20"/>
                <w:szCs w:val="20"/>
                <w:lang w:val="en-GB" w:eastAsia="en-GB"/>
              </w:rPr>
              <w:t>” AND Ireland</w:t>
            </w:r>
          </w:p>
        </w:tc>
        <w:tc>
          <w:tcPr>
            <w:tcW w:w="1276" w:type="dxa"/>
          </w:tcPr>
          <w:p w14:paraId="25DA0235"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37936925"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2497</w:t>
            </w:r>
          </w:p>
        </w:tc>
      </w:tr>
      <w:tr w:rsidR="00B34E16" w:rsidRPr="009B561A" w14:paraId="30A0B970" w14:textId="77777777" w:rsidTr="00786A41">
        <w:tc>
          <w:tcPr>
            <w:tcW w:w="13887" w:type="dxa"/>
            <w:gridSpan w:val="5"/>
            <w:shd w:val="clear" w:color="auto" w:fill="A5C9EB" w:themeFill="text2" w:themeFillTint="40"/>
          </w:tcPr>
          <w:p w14:paraId="7A3A7B7F" w14:textId="77777777" w:rsidR="00B34E16" w:rsidRPr="009B561A" w:rsidRDefault="00B34E16" w:rsidP="009B561A">
            <w:pPr>
              <w:spacing w:line="276" w:lineRule="auto"/>
              <w:rPr>
                <w:rFonts w:ascii="Calibri" w:hAnsi="Calibri" w:cs="Calibri"/>
                <w:b/>
                <w:bCs/>
                <w:sz w:val="20"/>
                <w:szCs w:val="20"/>
                <w:lang w:val="en-US"/>
              </w:rPr>
            </w:pPr>
            <w:r w:rsidRPr="009B561A">
              <w:rPr>
                <w:rFonts w:ascii="Calibri" w:hAnsi="Calibri" w:cs="Calibri"/>
                <w:b/>
                <w:bCs/>
                <w:sz w:val="20"/>
                <w:szCs w:val="20"/>
                <w:lang w:val="en-US"/>
              </w:rPr>
              <w:t>Database: Web of Science</w:t>
            </w:r>
          </w:p>
        </w:tc>
      </w:tr>
      <w:tr w:rsidR="00B34E16" w:rsidRPr="009B561A" w14:paraId="5359E70C" w14:textId="77777777" w:rsidTr="00786A41">
        <w:tc>
          <w:tcPr>
            <w:tcW w:w="1708" w:type="dxa"/>
          </w:tcPr>
          <w:p w14:paraId="20F6D2BC"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15/09/21</w:t>
            </w:r>
          </w:p>
        </w:tc>
        <w:tc>
          <w:tcPr>
            <w:tcW w:w="1502" w:type="dxa"/>
          </w:tcPr>
          <w:p w14:paraId="37FF2FFE"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Web of Science</w:t>
            </w:r>
          </w:p>
        </w:tc>
        <w:tc>
          <w:tcPr>
            <w:tcW w:w="8125" w:type="dxa"/>
          </w:tcPr>
          <w:p w14:paraId="53E0F7DE"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rPr>
              <w:t>"antibiotic management" OR "antibiotic stewardship" OR "antimicrobial management" OR "antimicrobial stewardship" AND Ireland</w:t>
            </w:r>
          </w:p>
        </w:tc>
        <w:tc>
          <w:tcPr>
            <w:tcW w:w="1276" w:type="dxa"/>
          </w:tcPr>
          <w:p w14:paraId="7891DC42"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0EBBBD4D"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147</w:t>
            </w:r>
          </w:p>
        </w:tc>
      </w:tr>
      <w:tr w:rsidR="00B34E16" w:rsidRPr="009B561A" w14:paraId="113CFAB7" w14:textId="77777777" w:rsidTr="00786A41">
        <w:tc>
          <w:tcPr>
            <w:tcW w:w="1708" w:type="dxa"/>
          </w:tcPr>
          <w:p w14:paraId="3B019A6A"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09/09/21</w:t>
            </w:r>
          </w:p>
        </w:tc>
        <w:tc>
          <w:tcPr>
            <w:tcW w:w="1502" w:type="dxa"/>
          </w:tcPr>
          <w:p w14:paraId="478DB34B"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Web of Science</w:t>
            </w:r>
          </w:p>
        </w:tc>
        <w:tc>
          <w:tcPr>
            <w:tcW w:w="8125" w:type="dxa"/>
          </w:tcPr>
          <w:p w14:paraId="22241578" w14:textId="77777777" w:rsidR="00B34E16" w:rsidRPr="009B561A" w:rsidRDefault="00B34E16" w:rsidP="009B561A">
            <w:pPr>
              <w:spacing w:line="276" w:lineRule="auto"/>
              <w:rPr>
                <w:rFonts w:ascii="Calibri" w:hAnsi="Calibri" w:cs="Calibri"/>
                <w:sz w:val="20"/>
                <w:szCs w:val="20"/>
                <w:lang w:val="en-US"/>
              </w:rPr>
            </w:pPr>
            <w:r w:rsidRPr="009B561A">
              <w:rPr>
                <w:rFonts w:ascii="Calibri" w:eastAsia="Times New Roman" w:hAnsi="Calibri" w:cs="Calibri"/>
                <w:sz w:val="20"/>
                <w:szCs w:val="20"/>
                <w:lang w:val="en-GB" w:eastAsia="en-GB"/>
              </w:rPr>
              <w:t>("antibiotic management") OR ("antibiotic stewardship") OR ("antimicrobial management") OR ("antimicrobial stewardship") AND Ireland</w:t>
            </w:r>
          </w:p>
        </w:tc>
        <w:tc>
          <w:tcPr>
            <w:tcW w:w="1276" w:type="dxa"/>
          </w:tcPr>
          <w:p w14:paraId="5D587289"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252ED8B9"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3766</w:t>
            </w:r>
          </w:p>
        </w:tc>
      </w:tr>
      <w:tr w:rsidR="00B34E16" w:rsidRPr="009B561A" w14:paraId="7812033E" w14:textId="77777777" w:rsidTr="00786A41">
        <w:tc>
          <w:tcPr>
            <w:tcW w:w="1708" w:type="dxa"/>
          </w:tcPr>
          <w:p w14:paraId="6B6AF939"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24/08/21</w:t>
            </w:r>
          </w:p>
        </w:tc>
        <w:tc>
          <w:tcPr>
            <w:tcW w:w="1502" w:type="dxa"/>
          </w:tcPr>
          <w:p w14:paraId="01E7E923"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Web of Science</w:t>
            </w:r>
          </w:p>
        </w:tc>
        <w:tc>
          <w:tcPr>
            <w:tcW w:w="8125" w:type="dxa"/>
          </w:tcPr>
          <w:p w14:paraId="38E786B5"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("antimicrobial management" OR "antimicrobial stewardship") AND Ireland</w:t>
            </w:r>
          </w:p>
        </w:tc>
        <w:tc>
          <w:tcPr>
            <w:tcW w:w="1276" w:type="dxa"/>
          </w:tcPr>
          <w:p w14:paraId="2527A0EE"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7C558666"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97</w:t>
            </w:r>
          </w:p>
        </w:tc>
      </w:tr>
      <w:tr w:rsidR="00B34E16" w:rsidRPr="009B561A" w14:paraId="47C300AE" w14:textId="77777777" w:rsidTr="00786A41">
        <w:tc>
          <w:tcPr>
            <w:tcW w:w="1708" w:type="dxa"/>
          </w:tcPr>
          <w:p w14:paraId="66135C07"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21/07/21</w:t>
            </w:r>
          </w:p>
        </w:tc>
        <w:tc>
          <w:tcPr>
            <w:tcW w:w="1502" w:type="dxa"/>
          </w:tcPr>
          <w:p w14:paraId="0FBE7826"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Web of Science</w:t>
            </w:r>
          </w:p>
        </w:tc>
        <w:tc>
          <w:tcPr>
            <w:tcW w:w="8125" w:type="dxa"/>
          </w:tcPr>
          <w:p w14:paraId="19140A19" w14:textId="77777777" w:rsidR="00B34E16" w:rsidRPr="009B561A" w:rsidRDefault="00B34E16" w:rsidP="009B561A">
            <w:pPr>
              <w:spacing w:line="276" w:lineRule="auto"/>
              <w:rPr>
                <w:rFonts w:ascii="Calibri" w:hAnsi="Calibri" w:cs="Calibri"/>
                <w:sz w:val="20"/>
                <w:szCs w:val="20"/>
                <w:lang w:val="en-US"/>
              </w:rPr>
            </w:pPr>
            <w:r w:rsidRPr="009B561A">
              <w:rPr>
                <w:rFonts w:ascii="Calibri" w:eastAsia="Calibri" w:hAnsi="Calibri" w:cs="Calibri"/>
                <w:sz w:val="20"/>
                <w:szCs w:val="20"/>
              </w:rPr>
              <w:t xml:space="preserve">“Antimicrobial stewardship” OR </w:t>
            </w:r>
            <w:r w:rsidRPr="009B561A">
              <w:rPr>
                <w:rFonts w:ascii="Calibri" w:eastAsia="Calibri" w:hAnsi="Calibri" w:cs="Calibri"/>
                <w:color w:val="FF0000"/>
                <w:sz w:val="20"/>
                <w:szCs w:val="20"/>
              </w:rPr>
              <w:t xml:space="preserve">“antibiotic management” </w:t>
            </w:r>
            <w:r w:rsidRPr="009B561A">
              <w:rPr>
                <w:rFonts w:ascii="Calibri" w:eastAsia="Calibri" w:hAnsi="Calibri" w:cs="Calibri"/>
                <w:sz w:val="20"/>
                <w:szCs w:val="20"/>
              </w:rPr>
              <w:t>AND Ireland</w:t>
            </w:r>
          </w:p>
        </w:tc>
        <w:tc>
          <w:tcPr>
            <w:tcW w:w="1276" w:type="dxa"/>
          </w:tcPr>
          <w:p w14:paraId="30D40EB7"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52454DB5"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5025</w:t>
            </w:r>
          </w:p>
        </w:tc>
      </w:tr>
      <w:tr w:rsidR="00B34E16" w:rsidRPr="009B561A" w14:paraId="1F2D5621" w14:textId="77777777" w:rsidTr="00786A41">
        <w:tc>
          <w:tcPr>
            <w:tcW w:w="1708" w:type="dxa"/>
          </w:tcPr>
          <w:p w14:paraId="1EFDEA94"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21/07/21</w:t>
            </w:r>
          </w:p>
        </w:tc>
        <w:tc>
          <w:tcPr>
            <w:tcW w:w="1502" w:type="dxa"/>
          </w:tcPr>
          <w:p w14:paraId="0E1D01AA"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Web of Science</w:t>
            </w:r>
          </w:p>
        </w:tc>
        <w:tc>
          <w:tcPr>
            <w:tcW w:w="8125" w:type="dxa"/>
          </w:tcPr>
          <w:p w14:paraId="09D59EB1" w14:textId="77777777" w:rsidR="00B34E16" w:rsidRPr="009B561A" w:rsidRDefault="00B34E16" w:rsidP="009B561A">
            <w:pPr>
              <w:spacing w:line="276" w:lineRule="auto"/>
              <w:rPr>
                <w:rFonts w:ascii="Calibri" w:hAnsi="Calibri" w:cs="Calibri"/>
                <w:sz w:val="20"/>
                <w:szCs w:val="20"/>
                <w:lang w:val="en-US"/>
              </w:rPr>
            </w:pPr>
            <w:r w:rsidRPr="009B561A">
              <w:rPr>
                <w:rFonts w:ascii="Calibri" w:eastAsia="Calibri" w:hAnsi="Calibri" w:cs="Calibri"/>
                <w:sz w:val="20"/>
                <w:szCs w:val="20"/>
                <w:lang w:val="en-GB" w:eastAsia="en-GB"/>
              </w:rPr>
              <w:t>“Antimicrobial stewardship” OR “</w:t>
            </w:r>
            <w:r w:rsidRPr="009B561A">
              <w:rPr>
                <w:rFonts w:ascii="Calibri" w:eastAsia="Calibri" w:hAnsi="Calibri" w:cs="Calibri"/>
                <w:color w:val="FF0000"/>
                <w:sz w:val="20"/>
                <w:szCs w:val="20"/>
                <w:lang w:val="en-GB" w:eastAsia="en-GB"/>
              </w:rPr>
              <w:t>antimicrobial management</w:t>
            </w:r>
            <w:r w:rsidRPr="009B561A">
              <w:rPr>
                <w:rFonts w:ascii="Calibri" w:eastAsia="Calibri" w:hAnsi="Calibri" w:cs="Calibri"/>
                <w:sz w:val="20"/>
                <w:szCs w:val="20"/>
                <w:lang w:val="en-GB" w:eastAsia="en-GB"/>
              </w:rPr>
              <w:t>” AND Ireland</w:t>
            </w:r>
          </w:p>
        </w:tc>
        <w:tc>
          <w:tcPr>
            <w:tcW w:w="1276" w:type="dxa"/>
          </w:tcPr>
          <w:p w14:paraId="6335AE29"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1D674E23"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5055</w:t>
            </w:r>
          </w:p>
        </w:tc>
      </w:tr>
      <w:tr w:rsidR="00B34E16" w:rsidRPr="009B561A" w14:paraId="2F665803" w14:textId="77777777" w:rsidTr="00786A41">
        <w:tc>
          <w:tcPr>
            <w:tcW w:w="13887" w:type="dxa"/>
            <w:gridSpan w:val="5"/>
            <w:shd w:val="clear" w:color="auto" w:fill="A5C9EB" w:themeFill="text2" w:themeFillTint="40"/>
          </w:tcPr>
          <w:p w14:paraId="294DF96B" w14:textId="77777777" w:rsidR="00B34E16" w:rsidRPr="009B561A" w:rsidRDefault="00B34E16" w:rsidP="009B561A">
            <w:pPr>
              <w:spacing w:line="276" w:lineRule="auto"/>
              <w:rPr>
                <w:rFonts w:ascii="Calibri" w:hAnsi="Calibri" w:cs="Calibri"/>
                <w:b/>
                <w:bCs/>
                <w:sz w:val="20"/>
                <w:szCs w:val="20"/>
                <w:lang w:val="en-US"/>
              </w:rPr>
            </w:pPr>
            <w:r w:rsidRPr="009B561A">
              <w:rPr>
                <w:rFonts w:ascii="Calibri" w:hAnsi="Calibri" w:cs="Calibri"/>
                <w:b/>
                <w:bCs/>
                <w:sz w:val="20"/>
                <w:szCs w:val="20"/>
                <w:lang w:val="en-US"/>
              </w:rPr>
              <w:t>Database: EMBASE</w:t>
            </w:r>
          </w:p>
        </w:tc>
      </w:tr>
      <w:tr w:rsidR="00B34E16" w:rsidRPr="009B561A" w14:paraId="79F679C9" w14:textId="77777777" w:rsidTr="00786A41">
        <w:tc>
          <w:tcPr>
            <w:tcW w:w="1708" w:type="dxa"/>
          </w:tcPr>
          <w:p w14:paraId="044B3247"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15/09/21</w:t>
            </w:r>
          </w:p>
        </w:tc>
        <w:tc>
          <w:tcPr>
            <w:tcW w:w="1502" w:type="dxa"/>
          </w:tcPr>
          <w:p w14:paraId="53D47056"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lang w:val="en-US"/>
              </w:rPr>
              <w:t>EMBASE</w:t>
            </w:r>
          </w:p>
        </w:tc>
        <w:tc>
          <w:tcPr>
            <w:tcW w:w="8125" w:type="dxa"/>
          </w:tcPr>
          <w:p w14:paraId="17E662F8"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b/>
                <w:bCs/>
                <w:sz w:val="20"/>
                <w:szCs w:val="20"/>
              </w:rPr>
              <w:t>"antibiotic management" OR "antibiotic stewardship" OR "antimicrobial management" OR "antimicrobial stewardship" AND Ireland</w:t>
            </w:r>
          </w:p>
        </w:tc>
        <w:tc>
          <w:tcPr>
            <w:tcW w:w="1276" w:type="dxa"/>
          </w:tcPr>
          <w:p w14:paraId="7C6F81C2"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5CD1DC1F"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244</w:t>
            </w:r>
          </w:p>
        </w:tc>
      </w:tr>
      <w:tr w:rsidR="00B34E16" w:rsidRPr="009B561A" w14:paraId="74DBBAFF" w14:textId="77777777" w:rsidTr="00786A41">
        <w:tc>
          <w:tcPr>
            <w:tcW w:w="1708" w:type="dxa"/>
          </w:tcPr>
          <w:p w14:paraId="7FAAFCC4" w14:textId="77777777" w:rsidR="00B34E16" w:rsidRPr="00360801" w:rsidRDefault="00B34E16" w:rsidP="009B561A">
            <w:pPr>
              <w:spacing w:line="276" w:lineRule="auto"/>
              <w:rPr>
                <w:rFonts w:ascii="Calibri" w:hAnsi="Calibri" w:cs="Calibri"/>
                <w:sz w:val="20"/>
                <w:szCs w:val="20"/>
                <w:lang w:val="en-US"/>
              </w:rPr>
            </w:pPr>
            <w:r w:rsidRPr="00360801">
              <w:rPr>
                <w:rFonts w:ascii="Calibri" w:hAnsi="Calibri" w:cs="Calibri"/>
                <w:sz w:val="20"/>
                <w:szCs w:val="20"/>
                <w:lang w:val="en-US"/>
              </w:rPr>
              <w:lastRenderedPageBreak/>
              <w:t>09/09/21</w:t>
            </w:r>
          </w:p>
        </w:tc>
        <w:tc>
          <w:tcPr>
            <w:tcW w:w="1502" w:type="dxa"/>
          </w:tcPr>
          <w:p w14:paraId="5DAFE902" w14:textId="77777777" w:rsidR="00B34E16" w:rsidRPr="00360801" w:rsidRDefault="00B34E16" w:rsidP="009B561A">
            <w:pPr>
              <w:spacing w:line="276" w:lineRule="auto"/>
              <w:rPr>
                <w:rFonts w:ascii="Calibri" w:hAnsi="Calibri" w:cs="Calibri"/>
                <w:sz w:val="20"/>
                <w:szCs w:val="20"/>
                <w:lang w:val="en-US"/>
              </w:rPr>
            </w:pPr>
            <w:r w:rsidRPr="00360801">
              <w:rPr>
                <w:rFonts w:ascii="Calibri" w:hAnsi="Calibri" w:cs="Calibri"/>
                <w:b/>
                <w:bCs/>
                <w:sz w:val="20"/>
                <w:szCs w:val="20"/>
                <w:lang w:val="en-US"/>
              </w:rPr>
              <w:t>EMBASE</w:t>
            </w:r>
          </w:p>
        </w:tc>
        <w:tc>
          <w:tcPr>
            <w:tcW w:w="8125" w:type="dxa"/>
          </w:tcPr>
          <w:p w14:paraId="408ACAAB" w14:textId="77777777" w:rsidR="00B34E16" w:rsidRPr="00360801" w:rsidRDefault="00B34E16" w:rsidP="009B561A">
            <w:pPr>
              <w:spacing w:line="276" w:lineRule="auto"/>
              <w:rPr>
                <w:rFonts w:ascii="Calibri" w:hAnsi="Calibri" w:cs="Calibri"/>
                <w:sz w:val="20"/>
                <w:szCs w:val="20"/>
                <w:lang w:val="en-US"/>
              </w:rPr>
            </w:pPr>
            <w:r w:rsidRPr="00360801">
              <w:rPr>
                <w:rFonts w:ascii="Calibri" w:eastAsia="Times New Roman" w:hAnsi="Calibri" w:cs="Calibri"/>
                <w:sz w:val="20"/>
                <w:szCs w:val="20"/>
                <w:lang w:val="en-GB" w:eastAsia="en-GB"/>
              </w:rPr>
              <w:t>("antibiotic management") OR ("antibiotic stewardship") OR ("antimicrobial management") OR ("antimicrobial stewardship") AND Ireland</w:t>
            </w:r>
          </w:p>
        </w:tc>
        <w:tc>
          <w:tcPr>
            <w:tcW w:w="1276" w:type="dxa"/>
          </w:tcPr>
          <w:p w14:paraId="278DCCE7"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05FA780A"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245</w:t>
            </w:r>
          </w:p>
        </w:tc>
      </w:tr>
      <w:tr w:rsidR="00B34E16" w:rsidRPr="009B561A" w14:paraId="28101424" w14:textId="77777777" w:rsidTr="00786A41">
        <w:tc>
          <w:tcPr>
            <w:tcW w:w="1708" w:type="dxa"/>
          </w:tcPr>
          <w:p w14:paraId="2CA1BEA6" w14:textId="77777777" w:rsidR="00B34E16" w:rsidRPr="00360801" w:rsidRDefault="00B34E16" w:rsidP="009B561A">
            <w:pPr>
              <w:spacing w:line="276" w:lineRule="auto"/>
              <w:rPr>
                <w:rFonts w:ascii="Calibri" w:hAnsi="Calibri" w:cs="Calibri"/>
                <w:sz w:val="20"/>
                <w:szCs w:val="20"/>
                <w:lang w:val="en-US"/>
              </w:rPr>
            </w:pPr>
            <w:r w:rsidRPr="00360801">
              <w:rPr>
                <w:rFonts w:ascii="Calibri" w:hAnsi="Calibri" w:cs="Calibri"/>
                <w:sz w:val="20"/>
                <w:szCs w:val="20"/>
                <w:lang w:val="en-US"/>
              </w:rPr>
              <w:t>24/08/21</w:t>
            </w:r>
          </w:p>
        </w:tc>
        <w:tc>
          <w:tcPr>
            <w:tcW w:w="1502" w:type="dxa"/>
          </w:tcPr>
          <w:p w14:paraId="541BC371" w14:textId="77777777" w:rsidR="00B34E16" w:rsidRPr="00360801" w:rsidRDefault="00B34E16" w:rsidP="009B561A">
            <w:pPr>
              <w:spacing w:line="276" w:lineRule="auto"/>
              <w:rPr>
                <w:rFonts w:ascii="Calibri" w:hAnsi="Calibri" w:cs="Calibri"/>
                <w:sz w:val="20"/>
                <w:szCs w:val="20"/>
                <w:lang w:val="en-US"/>
              </w:rPr>
            </w:pPr>
            <w:r w:rsidRPr="00360801">
              <w:rPr>
                <w:rFonts w:ascii="Calibri" w:hAnsi="Calibri" w:cs="Calibri"/>
                <w:b/>
                <w:bCs/>
                <w:sz w:val="20"/>
                <w:szCs w:val="20"/>
                <w:lang w:val="en-US"/>
              </w:rPr>
              <w:t>EMBASE</w:t>
            </w:r>
          </w:p>
        </w:tc>
        <w:tc>
          <w:tcPr>
            <w:tcW w:w="8125" w:type="dxa"/>
          </w:tcPr>
          <w:p w14:paraId="4825976C" w14:textId="77777777" w:rsidR="00B34E16" w:rsidRPr="00360801" w:rsidRDefault="00B34E16" w:rsidP="009B561A">
            <w:pPr>
              <w:spacing w:line="276" w:lineRule="auto"/>
              <w:rPr>
                <w:rFonts w:ascii="Calibri" w:hAnsi="Calibri" w:cs="Calibri"/>
                <w:sz w:val="20"/>
                <w:szCs w:val="20"/>
                <w:lang w:val="en-US"/>
              </w:rPr>
            </w:pPr>
            <w:r w:rsidRPr="00360801">
              <w:rPr>
                <w:rFonts w:ascii="Calibri" w:hAnsi="Calibri" w:cs="Calibri"/>
                <w:sz w:val="20"/>
                <w:szCs w:val="20"/>
                <w:lang w:val="en-US"/>
              </w:rPr>
              <w:t>("antimicrobial management" OR "antimicrobial stewardship") AND Ireland</w:t>
            </w:r>
          </w:p>
        </w:tc>
        <w:tc>
          <w:tcPr>
            <w:tcW w:w="1276" w:type="dxa"/>
          </w:tcPr>
          <w:p w14:paraId="652EEE1D"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5471AD3E"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195</w:t>
            </w:r>
          </w:p>
        </w:tc>
      </w:tr>
      <w:tr w:rsidR="00B34E16" w:rsidRPr="009B561A" w14:paraId="79338548" w14:textId="77777777" w:rsidTr="00786A41">
        <w:tc>
          <w:tcPr>
            <w:tcW w:w="1708" w:type="dxa"/>
          </w:tcPr>
          <w:p w14:paraId="0BE18325" w14:textId="77777777" w:rsidR="00B34E16" w:rsidRPr="00360801" w:rsidRDefault="00B34E16" w:rsidP="009B561A">
            <w:pPr>
              <w:spacing w:line="276" w:lineRule="auto"/>
              <w:rPr>
                <w:rFonts w:ascii="Calibri" w:hAnsi="Calibri" w:cs="Calibri"/>
                <w:sz w:val="20"/>
                <w:szCs w:val="20"/>
                <w:lang w:val="en-US"/>
              </w:rPr>
            </w:pPr>
            <w:r w:rsidRPr="00360801">
              <w:rPr>
                <w:rFonts w:ascii="Calibri" w:hAnsi="Calibri" w:cs="Calibri"/>
                <w:sz w:val="20"/>
                <w:szCs w:val="20"/>
                <w:lang w:val="en-US"/>
              </w:rPr>
              <w:t>21/07/21</w:t>
            </w:r>
          </w:p>
        </w:tc>
        <w:tc>
          <w:tcPr>
            <w:tcW w:w="1502" w:type="dxa"/>
          </w:tcPr>
          <w:p w14:paraId="6570E2A7" w14:textId="77777777" w:rsidR="00B34E16" w:rsidRPr="00360801" w:rsidRDefault="00B34E16" w:rsidP="009B561A">
            <w:pPr>
              <w:spacing w:line="276" w:lineRule="auto"/>
              <w:rPr>
                <w:rFonts w:ascii="Calibri" w:hAnsi="Calibri" w:cs="Calibri"/>
                <w:sz w:val="20"/>
                <w:szCs w:val="20"/>
                <w:lang w:val="en-US"/>
              </w:rPr>
            </w:pPr>
            <w:r w:rsidRPr="00360801">
              <w:rPr>
                <w:rFonts w:ascii="Calibri" w:hAnsi="Calibri" w:cs="Calibri"/>
                <w:b/>
                <w:bCs/>
                <w:sz w:val="20"/>
                <w:szCs w:val="20"/>
                <w:lang w:val="en-US"/>
              </w:rPr>
              <w:t>EMBASE</w:t>
            </w:r>
          </w:p>
        </w:tc>
        <w:tc>
          <w:tcPr>
            <w:tcW w:w="8125" w:type="dxa"/>
          </w:tcPr>
          <w:p w14:paraId="36B4140F" w14:textId="77777777" w:rsidR="00B34E16" w:rsidRPr="00360801" w:rsidRDefault="00B34E16" w:rsidP="009B561A">
            <w:pPr>
              <w:spacing w:line="276" w:lineRule="auto"/>
              <w:rPr>
                <w:rFonts w:ascii="Calibri" w:hAnsi="Calibri" w:cs="Calibri"/>
                <w:sz w:val="20"/>
                <w:szCs w:val="20"/>
                <w:lang w:val="en-US"/>
              </w:rPr>
            </w:pPr>
            <w:r w:rsidRPr="00360801">
              <w:rPr>
                <w:rFonts w:ascii="Calibri" w:eastAsia="Calibri" w:hAnsi="Calibri" w:cs="Calibri"/>
                <w:sz w:val="20"/>
                <w:szCs w:val="20"/>
              </w:rPr>
              <w:t xml:space="preserve">“Antimicrobial stewardship” OR </w:t>
            </w:r>
            <w:r w:rsidRPr="00360801">
              <w:rPr>
                <w:rFonts w:ascii="Calibri" w:eastAsia="Calibri" w:hAnsi="Calibri" w:cs="Calibri"/>
                <w:color w:val="FF0000"/>
                <w:sz w:val="20"/>
                <w:szCs w:val="20"/>
              </w:rPr>
              <w:t xml:space="preserve">“antibiotic management” </w:t>
            </w:r>
            <w:r w:rsidRPr="00360801">
              <w:rPr>
                <w:rFonts w:ascii="Calibri" w:eastAsia="Calibri" w:hAnsi="Calibri" w:cs="Calibri"/>
                <w:sz w:val="20"/>
                <w:szCs w:val="20"/>
              </w:rPr>
              <w:t>AND Ireland</w:t>
            </w:r>
          </w:p>
        </w:tc>
        <w:tc>
          <w:tcPr>
            <w:tcW w:w="1276" w:type="dxa"/>
          </w:tcPr>
          <w:p w14:paraId="357252CD"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7DDF43A8"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163</w:t>
            </w:r>
          </w:p>
        </w:tc>
      </w:tr>
      <w:tr w:rsidR="00B34E16" w:rsidRPr="009B561A" w14:paraId="6AA14E8A" w14:textId="77777777" w:rsidTr="00786A41">
        <w:tc>
          <w:tcPr>
            <w:tcW w:w="1708" w:type="dxa"/>
          </w:tcPr>
          <w:p w14:paraId="488D01BC" w14:textId="77777777" w:rsidR="00B34E16" w:rsidRPr="00360801" w:rsidRDefault="00B34E16" w:rsidP="009B561A">
            <w:pPr>
              <w:spacing w:line="276" w:lineRule="auto"/>
              <w:rPr>
                <w:rFonts w:ascii="Calibri" w:hAnsi="Calibri" w:cs="Calibri"/>
                <w:sz w:val="20"/>
                <w:szCs w:val="20"/>
                <w:lang w:val="en-US"/>
              </w:rPr>
            </w:pPr>
            <w:r w:rsidRPr="00360801">
              <w:rPr>
                <w:rFonts w:ascii="Calibri" w:hAnsi="Calibri" w:cs="Calibri"/>
                <w:sz w:val="20"/>
                <w:szCs w:val="20"/>
                <w:lang w:val="en-US"/>
              </w:rPr>
              <w:t>21/07/21</w:t>
            </w:r>
          </w:p>
        </w:tc>
        <w:tc>
          <w:tcPr>
            <w:tcW w:w="1502" w:type="dxa"/>
          </w:tcPr>
          <w:p w14:paraId="64885665" w14:textId="77777777" w:rsidR="00B34E16" w:rsidRPr="00360801" w:rsidRDefault="00B34E16" w:rsidP="009B561A">
            <w:pPr>
              <w:spacing w:line="276" w:lineRule="auto"/>
              <w:rPr>
                <w:rFonts w:ascii="Calibri" w:hAnsi="Calibri" w:cs="Calibri"/>
                <w:sz w:val="20"/>
                <w:szCs w:val="20"/>
                <w:lang w:val="en-US"/>
              </w:rPr>
            </w:pPr>
            <w:r w:rsidRPr="00360801">
              <w:rPr>
                <w:rFonts w:ascii="Calibri" w:hAnsi="Calibri" w:cs="Calibri"/>
                <w:b/>
                <w:bCs/>
                <w:sz w:val="20"/>
                <w:szCs w:val="20"/>
                <w:lang w:val="en-US"/>
              </w:rPr>
              <w:t>EMBASE</w:t>
            </w:r>
          </w:p>
        </w:tc>
        <w:tc>
          <w:tcPr>
            <w:tcW w:w="8125" w:type="dxa"/>
          </w:tcPr>
          <w:p w14:paraId="5D675D5F" w14:textId="77777777" w:rsidR="00B34E16" w:rsidRPr="00360801" w:rsidRDefault="00B34E16" w:rsidP="009B561A">
            <w:pPr>
              <w:spacing w:line="276" w:lineRule="auto"/>
              <w:rPr>
                <w:rFonts w:ascii="Calibri" w:hAnsi="Calibri" w:cs="Calibri"/>
                <w:sz w:val="20"/>
                <w:szCs w:val="20"/>
                <w:lang w:val="en-US"/>
              </w:rPr>
            </w:pPr>
            <w:r w:rsidRPr="00360801">
              <w:rPr>
                <w:rFonts w:ascii="Calibri" w:eastAsia="Calibri" w:hAnsi="Calibri" w:cs="Calibri"/>
                <w:sz w:val="20"/>
                <w:szCs w:val="20"/>
                <w:lang w:val="en-GB" w:eastAsia="en-GB"/>
              </w:rPr>
              <w:t>“Antimicrobial stewardship” OR “</w:t>
            </w:r>
            <w:r w:rsidRPr="00360801">
              <w:rPr>
                <w:rFonts w:ascii="Calibri" w:eastAsia="Calibri" w:hAnsi="Calibri" w:cs="Calibri"/>
                <w:color w:val="FF0000"/>
                <w:sz w:val="20"/>
                <w:szCs w:val="20"/>
                <w:lang w:val="en-GB" w:eastAsia="en-GB"/>
              </w:rPr>
              <w:t>antimicrobial management</w:t>
            </w:r>
            <w:r w:rsidRPr="00360801">
              <w:rPr>
                <w:rFonts w:ascii="Calibri" w:eastAsia="Calibri" w:hAnsi="Calibri" w:cs="Calibri"/>
                <w:sz w:val="20"/>
                <w:szCs w:val="20"/>
                <w:lang w:val="en-GB" w:eastAsia="en-GB"/>
              </w:rPr>
              <w:t>” AND Ireland</w:t>
            </w:r>
          </w:p>
        </w:tc>
        <w:tc>
          <w:tcPr>
            <w:tcW w:w="1276" w:type="dxa"/>
          </w:tcPr>
          <w:p w14:paraId="6175E8F1"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None</w:t>
            </w:r>
          </w:p>
        </w:tc>
        <w:tc>
          <w:tcPr>
            <w:tcW w:w="1276" w:type="dxa"/>
          </w:tcPr>
          <w:p w14:paraId="037640D1" w14:textId="77777777" w:rsidR="00B34E16" w:rsidRPr="009B561A" w:rsidRDefault="00B34E16" w:rsidP="009B561A">
            <w:pPr>
              <w:spacing w:line="276" w:lineRule="auto"/>
              <w:rPr>
                <w:rFonts w:ascii="Calibri" w:hAnsi="Calibri" w:cs="Calibri"/>
                <w:sz w:val="20"/>
                <w:szCs w:val="20"/>
                <w:lang w:val="en-US"/>
              </w:rPr>
            </w:pPr>
            <w:r w:rsidRPr="009B561A">
              <w:rPr>
                <w:rFonts w:ascii="Calibri" w:hAnsi="Calibri" w:cs="Calibri"/>
                <w:sz w:val="20"/>
                <w:szCs w:val="20"/>
                <w:lang w:val="en-US"/>
              </w:rPr>
              <w:t>168</w:t>
            </w:r>
          </w:p>
        </w:tc>
      </w:tr>
    </w:tbl>
    <w:p w14:paraId="494F0250" w14:textId="77777777" w:rsidR="00B34E16" w:rsidRPr="009B561A" w:rsidRDefault="00B34E16" w:rsidP="009B561A">
      <w:pPr>
        <w:spacing w:line="276" w:lineRule="auto"/>
        <w:rPr>
          <w:rFonts w:ascii="Calibri" w:hAnsi="Calibri" w:cs="Calibri"/>
          <w:sz w:val="20"/>
          <w:szCs w:val="20"/>
          <w:lang w:val="en-US"/>
        </w:rPr>
      </w:pPr>
    </w:p>
    <w:p w14:paraId="77188C67" w14:textId="77777777" w:rsidR="00B34E16" w:rsidRPr="009B561A" w:rsidRDefault="00B34E16" w:rsidP="009B561A">
      <w:pPr>
        <w:spacing w:line="276" w:lineRule="auto"/>
        <w:rPr>
          <w:rFonts w:ascii="Calibri" w:hAnsi="Calibri" w:cs="Calibri"/>
          <w:sz w:val="20"/>
          <w:szCs w:val="20"/>
          <w:lang w:val="en-US"/>
        </w:rPr>
      </w:pPr>
    </w:p>
    <w:p w14:paraId="03CF475A" w14:textId="77777777" w:rsidR="00B34E16" w:rsidRPr="009B561A" w:rsidRDefault="00B34E16" w:rsidP="009B561A">
      <w:pPr>
        <w:spacing w:line="276" w:lineRule="auto"/>
        <w:rPr>
          <w:rFonts w:ascii="Calibri" w:hAnsi="Calibri" w:cs="Calibri"/>
          <w:sz w:val="20"/>
          <w:szCs w:val="20"/>
          <w:lang w:val="en-US"/>
        </w:rPr>
      </w:pPr>
    </w:p>
    <w:p w14:paraId="41F10BF5" w14:textId="77777777" w:rsidR="00B34E16" w:rsidRPr="009B561A" w:rsidRDefault="00B34E16" w:rsidP="009B561A">
      <w:pPr>
        <w:spacing w:line="276" w:lineRule="auto"/>
        <w:rPr>
          <w:rFonts w:ascii="Calibri" w:hAnsi="Calibri" w:cs="Calibri"/>
          <w:sz w:val="20"/>
          <w:szCs w:val="20"/>
          <w:lang w:val="en-US"/>
        </w:rPr>
      </w:pPr>
    </w:p>
    <w:p w14:paraId="57647BB0" w14:textId="77777777" w:rsidR="00B34E16" w:rsidRPr="009B561A" w:rsidRDefault="00B34E16" w:rsidP="009B561A">
      <w:pPr>
        <w:spacing w:line="276" w:lineRule="auto"/>
        <w:rPr>
          <w:rFonts w:ascii="Calibri" w:hAnsi="Calibri" w:cs="Calibri"/>
          <w:sz w:val="20"/>
          <w:szCs w:val="20"/>
          <w:lang w:val="en-US"/>
        </w:rPr>
      </w:pPr>
    </w:p>
    <w:p w14:paraId="44E9E5EE" w14:textId="77777777" w:rsidR="00B34E16" w:rsidRPr="009B561A" w:rsidRDefault="00B34E16" w:rsidP="009B561A">
      <w:pPr>
        <w:spacing w:line="276" w:lineRule="auto"/>
        <w:rPr>
          <w:rFonts w:ascii="Calibri" w:hAnsi="Calibri" w:cs="Calibri"/>
          <w:sz w:val="20"/>
          <w:szCs w:val="20"/>
          <w:lang w:val="en-US"/>
        </w:rPr>
      </w:pPr>
    </w:p>
    <w:p w14:paraId="5C26B0E1" w14:textId="77777777" w:rsidR="00B34E16" w:rsidRPr="009B561A" w:rsidRDefault="00B34E16" w:rsidP="009B561A">
      <w:pPr>
        <w:spacing w:line="276" w:lineRule="auto"/>
        <w:rPr>
          <w:rFonts w:ascii="Calibri" w:hAnsi="Calibri" w:cs="Calibri"/>
          <w:sz w:val="20"/>
          <w:szCs w:val="20"/>
          <w:lang w:val="en-US"/>
        </w:rPr>
      </w:pPr>
    </w:p>
    <w:p w14:paraId="535C8446" w14:textId="77777777" w:rsidR="00B34E16" w:rsidRPr="00B34E16" w:rsidRDefault="00B34E16" w:rsidP="00B34E16">
      <w:pPr>
        <w:spacing w:line="276" w:lineRule="auto"/>
        <w:rPr>
          <w:rFonts w:ascii="Calibri" w:hAnsi="Calibri" w:cs="Calibri"/>
          <w:sz w:val="20"/>
          <w:szCs w:val="20"/>
          <w:lang w:val="en-US"/>
        </w:rPr>
      </w:pPr>
    </w:p>
    <w:p w14:paraId="1F4B57C9" w14:textId="77777777" w:rsidR="00B34E16" w:rsidRPr="00B34E16" w:rsidRDefault="00B34E16" w:rsidP="00B34E16">
      <w:pPr>
        <w:spacing w:line="276" w:lineRule="auto"/>
        <w:rPr>
          <w:rFonts w:ascii="Calibri" w:hAnsi="Calibri" w:cs="Calibri"/>
          <w:sz w:val="20"/>
          <w:szCs w:val="20"/>
          <w:lang w:val="en-US"/>
        </w:rPr>
      </w:pPr>
    </w:p>
    <w:p w14:paraId="28737225" w14:textId="77777777" w:rsidR="00B34E16" w:rsidRPr="00B34E16" w:rsidRDefault="00B34E16" w:rsidP="00B34E16">
      <w:pPr>
        <w:spacing w:line="276" w:lineRule="auto"/>
        <w:rPr>
          <w:rFonts w:ascii="Calibri" w:hAnsi="Calibri" w:cs="Calibri"/>
          <w:sz w:val="20"/>
          <w:szCs w:val="20"/>
          <w:lang w:val="en-US"/>
        </w:rPr>
      </w:pPr>
    </w:p>
    <w:p w14:paraId="6FEEAACA" w14:textId="77777777" w:rsidR="00B34E16" w:rsidRPr="00B34E16" w:rsidRDefault="00B34E16" w:rsidP="00B34E16">
      <w:pPr>
        <w:spacing w:line="276" w:lineRule="auto"/>
        <w:rPr>
          <w:rFonts w:ascii="Calibri" w:hAnsi="Calibri" w:cs="Calibri"/>
          <w:sz w:val="20"/>
          <w:szCs w:val="20"/>
          <w:lang w:val="en-US"/>
        </w:rPr>
      </w:pPr>
    </w:p>
    <w:p w14:paraId="321AEDD0" w14:textId="77777777" w:rsidR="00B34E16" w:rsidRPr="00B34E16" w:rsidRDefault="00B34E16" w:rsidP="00B34E16">
      <w:pPr>
        <w:spacing w:line="276" w:lineRule="auto"/>
        <w:rPr>
          <w:rFonts w:ascii="Calibri" w:hAnsi="Calibri" w:cs="Calibri"/>
          <w:sz w:val="20"/>
          <w:szCs w:val="20"/>
          <w:lang w:val="en-US"/>
        </w:rPr>
      </w:pPr>
    </w:p>
    <w:p w14:paraId="4E2203BA" w14:textId="77777777" w:rsidR="00B34E16" w:rsidRPr="00B34E16" w:rsidRDefault="00B34E16" w:rsidP="00B34E16">
      <w:pPr>
        <w:spacing w:line="276" w:lineRule="auto"/>
        <w:rPr>
          <w:rFonts w:ascii="Calibri" w:hAnsi="Calibri" w:cs="Calibri"/>
          <w:sz w:val="20"/>
          <w:szCs w:val="20"/>
          <w:lang w:val="en-US"/>
        </w:rPr>
      </w:pPr>
    </w:p>
    <w:p w14:paraId="09F5D522" w14:textId="77777777" w:rsidR="00B34E16" w:rsidRPr="00B34E16" w:rsidRDefault="00B34E16" w:rsidP="00B34E16">
      <w:pPr>
        <w:spacing w:line="276" w:lineRule="auto"/>
        <w:rPr>
          <w:rFonts w:ascii="Calibri" w:hAnsi="Calibri" w:cs="Calibri"/>
          <w:sz w:val="20"/>
          <w:szCs w:val="20"/>
          <w:lang w:val="en-US"/>
        </w:rPr>
      </w:pPr>
    </w:p>
    <w:p w14:paraId="36FE35AB" w14:textId="77777777" w:rsidR="00B34E16" w:rsidRPr="00B34E16" w:rsidRDefault="00B34E16" w:rsidP="00B34E16">
      <w:pPr>
        <w:spacing w:line="276" w:lineRule="auto"/>
        <w:rPr>
          <w:rFonts w:ascii="Calibri" w:hAnsi="Calibri" w:cs="Calibri"/>
          <w:sz w:val="20"/>
          <w:szCs w:val="20"/>
          <w:lang w:val="en-US"/>
        </w:rPr>
      </w:pPr>
    </w:p>
    <w:p w14:paraId="6412B3AA" w14:textId="77777777" w:rsidR="00B34E16" w:rsidRPr="00B34E16" w:rsidRDefault="00B34E16" w:rsidP="00B34E16">
      <w:pPr>
        <w:spacing w:line="276" w:lineRule="auto"/>
        <w:rPr>
          <w:rFonts w:ascii="Calibri" w:hAnsi="Calibri" w:cs="Calibri"/>
          <w:sz w:val="20"/>
          <w:szCs w:val="20"/>
          <w:lang w:val="en-US"/>
        </w:rPr>
        <w:sectPr w:rsidR="00B34E16" w:rsidRPr="00B34E16" w:rsidSect="00B34E16">
          <w:pgSz w:w="16838" w:h="11906" w:orient="landscape"/>
          <w:pgMar w:top="1440" w:right="1440" w:bottom="1440" w:left="1440" w:header="708" w:footer="708" w:gutter="0"/>
          <w:cols w:space="708"/>
          <w:docGrid w:linePitch="360"/>
        </w:sectPr>
      </w:pPr>
    </w:p>
    <w:p w14:paraId="5E686AE9" w14:textId="276F74E3" w:rsidR="00A70D06" w:rsidRPr="00832DA3" w:rsidRDefault="00A70D06" w:rsidP="00A70D06">
      <w:pPr>
        <w:spacing w:line="360" w:lineRule="auto"/>
        <w:rPr>
          <w:rFonts w:ascii="Calibri" w:hAnsi="Calibri" w:cs="Calibri"/>
          <w:b/>
          <w:bCs/>
          <w:sz w:val="24"/>
          <w:szCs w:val="24"/>
        </w:rPr>
      </w:pPr>
      <w:r w:rsidRPr="00374044">
        <w:rPr>
          <w:rFonts w:ascii="Calibri" w:hAnsi="Calibri" w:cs="Calibri"/>
          <w:b/>
          <w:bCs/>
          <w:sz w:val="24"/>
          <w:szCs w:val="24"/>
        </w:rPr>
        <w:lastRenderedPageBreak/>
        <w:t xml:space="preserve">Supplementary </w:t>
      </w:r>
      <w:r w:rsidR="00077FFC" w:rsidRPr="00374044">
        <w:rPr>
          <w:rFonts w:ascii="Calibri" w:hAnsi="Calibri" w:cs="Calibri"/>
          <w:b/>
          <w:bCs/>
          <w:sz w:val="24"/>
          <w:szCs w:val="24"/>
        </w:rPr>
        <w:t>F</w:t>
      </w:r>
      <w:r w:rsidRPr="00374044">
        <w:rPr>
          <w:rFonts w:ascii="Calibri" w:hAnsi="Calibri" w:cs="Calibri"/>
          <w:b/>
          <w:bCs/>
          <w:sz w:val="24"/>
          <w:szCs w:val="24"/>
        </w:rPr>
        <w:t xml:space="preserve">ile </w:t>
      </w:r>
      <w:r w:rsidR="00AF030F" w:rsidRPr="00374044">
        <w:rPr>
          <w:rFonts w:ascii="Calibri" w:hAnsi="Calibri" w:cs="Calibri"/>
          <w:b/>
          <w:bCs/>
          <w:sz w:val="24"/>
          <w:szCs w:val="24"/>
        </w:rPr>
        <w:t>3</w:t>
      </w:r>
      <w:r w:rsidRPr="00374044">
        <w:rPr>
          <w:rFonts w:ascii="Calibri" w:hAnsi="Calibri" w:cs="Calibri"/>
          <w:b/>
          <w:bCs/>
          <w:sz w:val="24"/>
          <w:szCs w:val="24"/>
        </w:rPr>
        <w:t>a</w:t>
      </w:r>
      <w:r w:rsidRPr="00077FFC">
        <w:rPr>
          <w:rFonts w:ascii="Calibri" w:hAnsi="Calibri" w:cs="Calibri"/>
          <w:sz w:val="24"/>
          <w:szCs w:val="24"/>
        </w:rPr>
        <w:t xml:space="preserve">: </w:t>
      </w:r>
      <w:r w:rsidRPr="00AD772A">
        <w:rPr>
          <w:rFonts w:ascii="Calibri" w:hAnsi="Calibri" w:cs="Calibri"/>
          <w:sz w:val="24"/>
          <w:szCs w:val="24"/>
        </w:rPr>
        <w:t xml:space="preserve">53 publications in total mapped to SARI Hospital Antimicrobial Stewardship Working Group </w:t>
      </w:r>
      <w:r w:rsidR="00832DA3" w:rsidRPr="00832DA3">
        <w:rPr>
          <w:rFonts w:ascii="Calibri" w:hAnsi="Calibri" w:cs="Calibri"/>
          <w:b/>
          <w:bCs/>
          <w:sz w:val="24"/>
          <w:szCs w:val="24"/>
        </w:rPr>
        <w:t>(29 Peer reviewed studies and 24 grey reports)</w:t>
      </w:r>
    </w:p>
    <w:p w14:paraId="4435DCC9" w14:textId="77777777" w:rsidR="00374044" w:rsidRDefault="00A70D06" w:rsidP="00374044">
      <w:pPr>
        <w:spacing w:line="360" w:lineRule="auto"/>
        <w:rPr>
          <w:rFonts w:ascii="Calibri" w:hAnsi="Calibri" w:cs="Calibri"/>
          <w:b/>
          <w:bCs/>
          <w:color w:val="000000" w:themeColor="text1"/>
          <w:sz w:val="24"/>
          <w:szCs w:val="24"/>
        </w:rPr>
      </w:pPr>
      <w:r w:rsidRPr="0008420D">
        <w:rPr>
          <w:rFonts w:ascii="Calibri" w:hAnsi="Calibri" w:cs="Calibri"/>
          <w:b/>
          <w:bCs/>
          <w:color w:val="000000" w:themeColor="text1"/>
          <w:sz w:val="24"/>
          <w:szCs w:val="24"/>
        </w:rPr>
        <w:t xml:space="preserve">29 </w:t>
      </w:r>
      <w:r w:rsidRPr="0008420D">
        <w:rPr>
          <w:rFonts w:ascii="Calibri" w:hAnsi="Calibri" w:cs="Calibri"/>
          <w:b/>
          <w:bCs/>
          <w:sz w:val="24"/>
          <w:szCs w:val="24"/>
        </w:rPr>
        <w:t>Peer reviewed studies</w:t>
      </w:r>
      <w:r w:rsidRPr="0008420D">
        <w:rPr>
          <w:rFonts w:ascii="Calibri" w:hAnsi="Calibri" w:cs="Calibri"/>
          <w:sz w:val="24"/>
          <w:szCs w:val="24"/>
        </w:rPr>
        <w:t xml:space="preserve"> mapped </w:t>
      </w:r>
      <w:r w:rsidRPr="0008420D">
        <w:rPr>
          <w:rFonts w:ascii="Calibri" w:eastAsia="Times New Roman" w:hAnsi="Calibri" w:cs="Calibri"/>
          <w:sz w:val="24"/>
          <w:szCs w:val="24"/>
          <w:lang w:val="en-GB" w:eastAsia="en-GB"/>
        </w:rPr>
        <w:t xml:space="preserve">to </w:t>
      </w:r>
      <w:r w:rsidRPr="0008420D">
        <w:rPr>
          <w:rFonts w:ascii="Calibri" w:hAnsi="Calibri" w:cs="Calibri"/>
          <w:sz w:val="24"/>
          <w:szCs w:val="24"/>
        </w:rPr>
        <w:t xml:space="preserve">SARI Hospital Antimicrobial Stewardship Working Group. A Strategy for the Control of Antimicrobial Resistance in Ireland (SARI) – </w:t>
      </w:r>
      <w:r w:rsidRPr="0008420D">
        <w:rPr>
          <w:rFonts w:ascii="Calibri" w:hAnsi="Calibri" w:cs="Calibri"/>
          <w:color w:val="000000" w:themeColor="text1"/>
          <w:sz w:val="24"/>
          <w:szCs w:val="24"/>
        </w:rPr>
        <w:t>Guidelines for Antimicrobial Stewardship in Hospitals in Ireland, 2009</w:t>
      </w:r>
      <w:r w:rsidR="00B26031" w:rsidRPr="0008420D">
        <w:rPr>
          <w:rFonts w:ascii="Calibri" w:hAnsi="Calibri" w:cs="Calibri"/>
          <w:color w:val="000000" w:themeColor="text1"/>
          <w:sz w:val="24"/>
          <w:szCs w:val="24"/>
        </w:rPr>
        <w:t xml:space="preserve"> </w:t>
      </w:r>
      <w:r w:rsidR="00B26031" w:rsidRPr="0008420D">
        <w:rPr>
          <w:rFonts w:ascii="Calibri" w:hAnsi="Calibri" w:cs="Calibri"/>
          <w:color w:val="000000" w:themeColor="text1"/>
          <w:sz w:val="24"/>
          <w:szCs w:val="24"/>
        </w:rPr>
        <w:fldChar w:fldCharType="begin" w:fldLock="1"/>
      </w:r>
      <w:r w:rsidR="00B26031" w:rsidRPr="0008420D">
        <w:rPr>
          <w:rFonts w:ascii="Calibri" w:hAnsi="Calibri" w:cs="Calibri"/>
          <w:color w:val="000000" w:themeColor="text1"/>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08420D">
        <w:rPr>
          <w:rFonts w:ascii="Calibri" w:hAnsi="Calibri" w:cs="Calibri"/>
          <w:color w:val="000000" w:themeColor="text1"/>
          <w:sz w:val="24"/>
          <w:szCs w:val="24"/>
        </w:rPr>
        <w:fldChar w:fldCharType="separate"/>
      </w:r>
      <w:r w:rsidR="00B17730" w:rsidRPr="0008420D">
        <w:rPr>
          <w:rFonts w:ascii="Calibri" w:hAnsi="Calibri" w:cs="Calibri"/>
          <w:noProof/>
          <w:color w:val="000000" w:themeColor="text1"/>
          <w:sz w:val="24"/>
          <w:szCs w:val="24"/>
        </w:rPr>
        <w:t>[</w:t>
      </w:r>
      <w:r w:rsidR="00B26031" w:rsidRPr="0008420D">
        <w:rPr>
          <w:rFonts w:ascii="Calibri" w:hAnsi="Calibri" w:cs="Calibri"/>
          <w:noProof/>
          <w:color w:val="000000" w:themeColor="text1"/>
          <w:sz w:val="24"/>
          <w:szCs w:val="24"/>
        </w:rPr>
        <w:t>1</w:t>
      </w:r>
      <w:r w:rsidR="00B17730" w:rsidRPr="0008420D">
        <w:rPr>
          <w:rFonts w:ascii="Calibri" w:hAnsi="Calibri" w:cs="Calibri"/>
          <w:noProof/>
          <w:color w:val="000000" w:themeColor="text1"/>
          <w:sz w:val="24"/>
          <w:szCs w:val="24"/>
        </w:rPr>
        <w:t>]</w:t>
      </w:r>
      <w:r w:rsidR="00B26031" w:rsidRPr="0008420D">
        <w:rPr>
          <w:rFonts w:ascii="Calibri" w:hAnsi="Calibri" w:cs="Calibri"/>
          <w:color w:val="000000" w:themeColor="text1"/>
          <w:sz w:val="24"/>
          <w:szCs w:val="24"/>
        </w:rPr>
        <w:fldChar w:fldCharType="end"/>
      </w:r>
      <w:r w:rsidRPr="00AD772A">
        <w:rPr>
          <w:rFonts w:ascii="Calibri" w:hAnsi="Calibri" w:cs="Calibri"/>
          <w:color w:val="000000" w:themeColor="text1"/>
          <w:sz w:val="24"/>
          <w:szCs w:val="24"/>
        </w:rPr>
        <w:t xml:space="preserve"> </w:t>
      </w:r>
      <w:r w:rsidRPr="00AD772A">
        <w:rPr>
          <w:rFonts w:ascii="Calibri" w:hAnsi="Calibri" w:cs="Calibri"/>
          <w:b/>
          <w:bCs/>
          <w:color w:val="000000" w:themeColor="text1"/>
          <w:sz w:val="24"/>
          <w:szCs w:val="24"/>
          <w:vertAlign w:val="superscript"/>
        </w:rPr>
        <w:t xml:space="preserve"> </w:t>
      </w:r>
      <w:r w:rsidRPr="00AD772A">
        <w:rPr>
          <w:rFonts w:ascii="Calibri" w:hAnsi="Calibri" w:cs="Calibri"/>
          <w:b/>
          <w:bCs/>
          <w:color w:val="000000" w:themeColor="text1"/>
          <w:sz w:val="24"/>
          <w:szCs w:val="24"/>
        </w:rPr>
        <w:t xml:space="preserve">     </w:t>
      </w:r>
    </w:p>
    <w:p w14:paraId="5F952BCB" w14:textId="30C83D2A" w:rsidR="00A70D06" w:rsidRPr="00374044" w:rsidRDefault="00A70D06" w:rsidP="00374044">
      <w:pPr>
        <w:pStyle w:val="ListParagraph"/>
        <w:numPr>
          <w:ilvl w:val="0"/>
          <w:numId w:val="18"/>
        </w:numPr>
        <w:spacing w:line="360" w:lineRule="auto"/>
        <w:rPr>
          <w:rFonts w:ascii="Calibri" w:hAnsi="Calibri" w:cs="Calibri"/>
          <w:sz w:val="24"/>
          <w:szCs w:val="24"/>
        </w:rPr>
      </w:pPr>
      <w:r w:rsidRPr="00374044">
        <w:rPr>
          <w:rFonts w:ascii="Calibri" w:hAnsi="Calibri" w:cs="Calibri"/>
          <w:sz w:val="24"/>
          <w:szCs w:val="24"/>
        </w:rPr>
        <w:t>A: Structure and Organisation of Antimicrobial Stewardship</w:t>
      </w:r>
    </w:p>
    <w:p w14:paraId="78BDFAB0" w14:textId="77777777" w:rsidR="00A70D06" w:rsidRPr="00AD772A" w:rsidRDefault="00A70D06" w:rsidP="00374044">
      <w:pPr>
        <w:pStyle w:val="ListParagraph"/>
        <w:numPr>
          <w:ilvl w:val="0"/>
          <w:numId w:val="18"/>
        </w:numPr>
        <w:spacing w:line="360" w:lineRule="auto"/>
        <w:rPr>
          <w:rFonts w:ascii="Calibri" w:hAnsi="Calibri" w:cs="Calibri"/>
          <w:sz w:val="24"/>
          <w:szCs w:val="24"/>
        </w:rPr>
      </w:pPr>
      <w:r w:rsidRPr="00AD772A">
        <w:rPr>
          <w:rFonts w:ascii="Calibri" w:hAnsi="Calibri" w:cs="Calibri"/>
          <w:sz w:val="24"/>
          <w:szCs w:val="24"/>
        </w:rPr>
        <w:t>B: Roles and Responsibilities for Prescribers</w:t>
      </w:r>
    </w:p>
    <w:p w14:paraId="2B471A04" w14:textId="77777777" w:rsidR="00A70D06" w:rsidRPr="00AD772A" w:rsidRDefault="00A70D06" w:rsidP="00374044">
      <w:pPr>
        <w:pStyle w:val="ListParagraph"/>
        <w:numPr>
          <w:ilvl w:val="0"/>
          <w:numId w:val="18"/>
        </w:numPr>
        <w:spacing w:line="360" w:lineRule="auto"/>
        <w:rPr>
          <w:rFonts w:ascii="Calibri" w:hAnsi="Calibri" w:cs="Calibri"/>
          <w:sz w:val="24"/>
          <w:szCs w:val="24"/>
        </w:rPr>
      </w:pPr>
      <w:r w:rsidRPr="00AD772A">
        <w:rPr>
          <w:rFonts w:ascii="Calibri" w:hAnsi="Calibri" w:cs="Calibri"/>
          <w:sz w:val="24"/>
          <w:szCs w:val="24"/>
        </w:rPr>
        <w:t>C: Antimicrobial Stewardship Interventions</w:t>
      </w:r>
    </w:p>
    <w:p w14:paraId="61BDCA77" w14:textId="77777777" w:rsidR="00A70D06" w:rsidRPr="00AD772A" w:rsidRDefault="00A70D06" w:rsidP="00374044">
      <w:pPr>
        <w:pStyle w:val="ListParagraph"/>
        <w:numPr>
          <w:ilvl w:val="0"/>
          <w:numId w:val="18"/>
        </w:numPr>
        <w:spacing w:line="360" w:lineRule="auto"/>
        <w:rPr>
          <w:rFonts w:ascii="Calibri" w:hAnsi="Calibri" w:cs="Calibri"/>
          <w:sz w:val="24"/>
          <w:szCs w:val="24"/>
        </w:rPr>
      </w:pPr>
      <w:r w:rsidRPr="00AD772A">
        <w:rPr>
          <w:rFonts w:ascii="Calibri" w:hAnsi="Calibri" w:cs="Calibri"/>
          <w:sz w:val="24"/>
          <w:szCs w:val="24"/>
        </w:rPr>
        <w:t>D: Recommendations for Non-Acute Residential Healthcare Institutions</w:t>
      </w:r>
    </w:p>
    <w:tbl>
      <w:tblPr>
        <w:tblStyle w:val="TableGrid"/>
        <w:tblW w:w="0" w:type="auto"/>
        <w:tblLook w:val="04A0" w:firstRow="1" w:lastRow="0" w:firstColumn="1" w:lastColumn="0" w:noHBand="0" w:noVBand="1"/>
      </w:tblPr>
      <w:tblGrid>
        <w:gridCol w:w="454"/>
        <w:gridCol w:w="5353"/>
        <w:gridCol w:w="710"/>
        <w:gridCol w:w="775"/>
        <w:gridCol w:w="895"/>
        <w:gridCol w:w="829"/>
      </w:tblGrid>
      <w:tr w:rsidR="00A70D06" w:rsidRPr="009B561A" w14:paraId="1720B8FB" w14:textId="77777777" w:rsidTr="001B2A18">
        <w:trPr>
          <w:cantSplit/>
          <w:tblHeader/>
        </w:trPr>
        <w:tc>
          <w:tcPr>
            <w:tcW w:w="454" w:type="dxa"/>
          </w:tcPr>
          <w:p w14:paraId="490D2E37" w14:textId="77777777" w:rsidR="00A70D06" w:rsidRPr="009B561A" w:rsidRDefault="00A70D06" w:rsidP="00A70D06">
            <w:pPr>
              <w:pStyle w:val="ListParagraph"/>
              <w:numPr>
                <w:ilvl w:val="0"/>
                <w:numId w:val="1"/>
              </w:numPr>
              <w:jc w:val="center"/>
              <w:rPr>
                <w:rFonts w:ascii="Calibri" w:hAnsi="Calibri" w:cs="Calibri"/>
                <w:sz w:val="20"/>
                <w:szCs w:val="20"/>
              </w:rPr>
            </w:pPr>
          </w:p>
        </w:tc>
        <w:tc>
          <w:tcPr>
            <w:tcW w:w="5353" w:type="dxa"/>
          </w:tcPr>
          <w:p w14:paraId="19B2DEE8"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Author, Year and Title</w:t>
            </w:r>
          </w:p>
        </w:tc>
        <w:tc>
          <w:tcPr>
            <w:tcW w:w="710" w:type="dxa"/>
          </w:tcPr>
          <w:p w14:paraId="7E1E2579"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A</w:t>
            </w:r>
          </w:p>
        </w:tc>
        <w:tc>
          <w:tcPr>
            <w:tcW w:w="775" w:type="dxa"/>
          </w:tcPr>
          <w:p w14:paraId="65907FD3"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B</w:t>
            </w:r>
          </w:p>
        </w:tc>
        <w:tc>
          <w:tcPr>
            <w:tcW w:w="895" w:type="dxa"/>
          </w:tcPr>
          <w:p w14:paraId="7384BF01"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C</w:t>
            </w:r>
          </w:p>
        </w:tc>
        <w:tc>
          <w:tcPr>
            <w:tcW w:w="829" w:type="dxa"/>
          </w:tcPr>
          <w:p w14:paraId="46A08525"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D</w:t>
            </w:r>
          </w:p>
        </w:tc>
      </w:tr>
      <w:tr w:rsidR="00A70D06" w:rsidRPr="009B561A" w14:paraId="1ACEC8A2" w14:textId="77777777" w:rsidTr="001B2A18">
        <w:tc>
          <w:tcPr>
            <w:tcW w:w="454" w:type="dxa"/>
          </w:tcPr>
          <w:p w14:paraId="5D65352C"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1</w:t>
            </w:r>
          </w:p>
        </w:tc>
        <w:tc>
          <w:tcPr>
            <w:tcW w:w="5353" w:type="dxa"/>
          </w:tcPr>
          <w:p w14:paraId="0EB5B779"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Burns et al (2015)</w:t>
            </w:r>
          </w:p>
          <w:p w14:paraId="6C4C524E" w14:textId="77777777" w:rsidR="00A70D06" w:rsidRPr="009B561A" w:rsidRDefault="00A70D06" w:rsidP="00A70D06">
            <w:pPr>
              <w:rPr>
                <w:rFonts w:ascii="Calibri" w:hAnsi="Calibri" w:cs="Calibri"/>
                <w:b/>
                <w:bCs/>
                <w:sz w:val="20"/>
                <w:szCs w:val="20"/>
              </w:rPr>
            </w:pPr>
            <w:r w:rsidRPr="009B561A">
              <w:rPr>
                <w:rFonts w:ascii="Calibri" w:hAnsi="Calibri" w:cs="Calibri"/>
                <w:sz w:val="20"/>
                <w:szCs w:val="20"/>
              </w:rPr>
              <w:t>Healthcare-associated infections and antimicrobial use in long-term care facilities: the Irish experience with the HALT surveys</w:t>
            </w:r>
          </w:p>
        </w:tc>
        <w:tc>
          <w:tcPr>
            <w:tcW w:w="710" w:type="dxa"/>
          </w:tcPr>
          <w:p w14:paraId="46FE60C3" w14:textId="77777777" w:rsidR="00A70D06" w:rsidRPr="009B561A" w:rsidRDefault="00A70D06" w:rsidP="00A70D06">
            <w:pPr>
              <w:jc w:val="center"/>
              <w:rPr>
                <w:rFonts w:ascii="Calibri" w:hAnsi="Calibri" w:cs="Calibri"/>
                <w:b/>
                <w:bCs/>
                <w:sz w:val="20"/>
                <w:szCs w:val="20"/>
              </w:rPr>
            </w:pPr>
          </w:p>
        </w:tc>
        <w:tc>
          <w:tcPr>
            <w:tcW w:w="775" w:type="dxa"/>
          </w:tcPr>
          <w:p w14:paraId="27D2FE5F" w14:textId="77777777" w:rsidR="00A70D06" w:rsidRPr="009B561A" w:rsidRDefault="00A70D06" w:rsidP="00A70D06">
            <w:pPr>
              <w:jc w:val="center"/>
              <w:rPr>
                <w:rFonts w:ascii="Calibri" w:hAnsi="Calibri" w:cs="Calibri"/>
                <w:b/>
                <w:bCs/>
                <w:sz w:val="20"/>
                <w:szCs w:val="20"/>
              </w:rPr>
            </w:pPr>
          </w:p>
        </w:tc>
        <w:tc>
          <w:tcPr>
            <w:tcW w:w="895" w:type="dxa"/>
          </w:tcPr>
          <w:p w14:paraId="64753AB5"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005A1470"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r>
      <w:tr w:rsidR="00A70D06" w:rsidRPr="009B561A" w14:paraId="31609BA6" w14:textId="77777777" w:rsidTr="001B2A18">
        <w:tc>
          <w:tcPr>
            <w:tcW w:w="454" w:type="dxa"/>
          </w:tcPr>
          <w:p w14:paraId="09F3AE52"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2</w:t>
            </w:r>
          </w:p>
        </w:tc>
        <w:tc>
          <w:tcPr>
            <w:tcW w:w="5353" w:type="dxa"/>
          </w:tcPr>
          <w:p w14:paraId="64733BE1" w14:textId="77777777" w:rsidR="00A70D06" w:rsidRPr="009B561A" w:rsidRDefault="00A70D06" w:rsidP="00A70D06">
            <w:pPr>
              <w:rPr>
                <w:rFonts w:ascii="Calibri" w:hAnsi="Calibri" w:cs="Calibri"/>
                <w:b/>
                <w:bCs/>
                <w:sz w:val="20"/>
                <w:szCs w:val="20"/>
              </w:rPr>
            </w:pPr>
            <w:proofErr w:type="spellStart"/>
            <w:r w:rsidRPr="009B561A">
              <w:rPr>
                <w:rFonts w:ascii="Calibri" w:hAnsi="Calibri" w:cs="Calibri"/>
                <w:b/>
                <w:bCs/>
                <w:sz w:val="20"/>
                <w:szCs w:val="20"/>
              </w:rPr>
              <w:t>Cunney</w:t>
            </w:r>
            <w:proofErr w:type="spellEnd"/>
            <w:r w:rsidRPr="009B561A">
              <w:rPr>
                <w:rFonts w:ascii="Calibri" w:hAnsi="Calibri" w:cs="Calibri"/>
                <w:b/>
                <w:bCs/>
                <w:sz w:val="20"/>
                <w:szCs w:val="20"/>
              </w:rPr>
              <w:t xml:space="preserve"> et al 2019</w:t>
            </w:r>
          </w:p>
          <w:p w14:paraId="33CD1A81" w14:textId="77777777" w:rsidR="00A70D06" w:rsidRPr="009B561A" w:rsidRDefault="00A70D06" w:rsidP="00A70D06">
            <w:pPr>
              <w:rPr>
                <w:rFonts w:ascii="Calibri" w:hAnsi="Calibri" w:cs="Calibri"/>
                <w:b/>
                <w:bCs/>
                <w:sz w:val="20"/>
                <w:szCs w:val="20"/>
              </w:rPr>
            </w:pPr>
            <w:r w:rsidRPr="009B561A">
              <w:rPr>
                <w:rFonts w:ascii="Calibri" w:hAnsi="Calibri" w:cs="Calibri"/>
                <w:sz w:val="20"/>
                <w:szCs w:val="20"/>
              </w:rPr>
              <w:t xml:space="preserve">Start smart’: using front-line ownership to improve the quality of empiric antibiotic prescribing in a paediatric </w:t>
            </w:r>
            <w:proofErr w:type="spellStart"/>
            <w:r w:rsidRPr="009B561A">
              <w:rPr>
                <w:rFonts w:ascii="Calibri" w:hAnsi="Calibri" w:cs="Calibri"/>
                <w:sz w:val="20"/>
                <w:szCs w:val="20"/>
              </w:rPr>
              <w:t>hospitaL</w:t>
            </w:r>
            <w:proofErr w:type="spellEnd"/>
          </w:p>
        </w:tc>
        <w:tc>
          <w:tcPr>
            <w:tcW w:w="710" w:type="dxa"/>
          </w:tcPr>
          <w:p w14:paraId="5E7E92B0" w14:textId="77777777" w:rsidR="00A70D06" w:rsidRPr="009B561A" w:rsidRDefault="00A70D06" w:rsidP="00A70D06">
            <w:pPr>
              <w:jc w:val="center"/>
              <w:rPr>
                <w:rFonts w:ascii="Calibri" w:hAnsi="Calibri" w:cs="Calibri"/>
                <w:b/>
                <w:bCs/>
                <w:sz w:val="20"/>
                <w:szCs w:val="20"/>
              </w:rPr>
            </w:pPr>
          </w:p>
        </w:tc>
        <w:tc>
          <w:tcPr>
            <w:tcW w:w="775" w:type="dxa"/>
          </w:tcPr>
          <w:p w14:paraId="38CE633F"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95" w:type="dxa"/>
          </w:tcPr>
          <w:p w14:paraId="60C244A5"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17D06934" w14:textId="77777777" w:rsidR="00A70D06" w:rsidRPr="009B561A" w:rsidRDefault="00A70D06" w:rsidP="00A70D06">
            <w:pPr>
              <w:jc w:val="center"/>
              <w:rPr>
                <w:rFonts w:ascii="Calibri" w:hAnsi="Calibri" w:cs="Calibri"/>
                <w:b/>
                <w:bCs/>
                <w:sz w:val="20"/>
                <w:szCs w:val="20"/>
              </w:rPr>
            </w:pPr>
          </w:p>
        </w:tc>
      </w:tr>
      <w:tr w:rsidR="00A70D06" w:rsidRPr="009B561A" w14:paraId="65F65D5D" w14:textId="77777777" w:rsidTr="001B2A18">
        <w:tc>
          <w:tcPr>
            <w:tcW w:w="454" w:type="dxa"/>
          </w:tcPr>
          <w:p w14:paraId="62400C24"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3</w:t>
            </w:r>
          </w:p>
        </w:tc>
        <w:tc>
          <w:tcPr>
            <w:tcW w:w="5353" w:type="dxa"/>
          </w:tcPr>
          <w:p w14:paraId="4E1E9CF1"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Donlon et al (2013)</w:t>
            </w:r>
          </w:p>
          <w:p w14:paraId="0777978E" w14:textId="77777777" w:rsidR="00A70D06" w:rsidRPr="009B561A" w:rsidRDefault="00A70D06" w:rsidP="00A70D06">
            <w:pPr>
              <w:rPr>
                <w:rFonts w:ascii="Calibri" w:hAnsi="Calibri" w:cs="Calibri"/>
                <w:b/>
                <w:bCs/>
                <w:sz w:val="20"/>
                <w:szCs w:val="20"/>
              </w:rPr>
            </w:pPr>
            <w:r w:rsidRPr="009B561A">
              <w:rPr>
                <w:rFonts w:ascii="Calibri" w:hAnsi="Calibri" w:cs="Calibri"/>
                <w:sz w:val="20"/>
                <w:szCs w:val="20"/>
              </w:rPr>
              <w:t>A national survey of infection control and antimicrobial stewardship structures in Irish long-term care facilities</w:t>
            </w:r>
          </w:p>
        </w:tc>
        <w:tc>
          <w:tcPr>
            <w:tcW w:w="710" w:type="dxa"/>
          </w:tcPr>
          <w:p w14:paraId="11FDD970" w14:textId="77777777" w:rsidR="00A70D06" w:rsidRPr="009B561A" w:rsidRDefault="00A70D06" w:rsidP="00A70D06">
            <w:pPr>
              <w:jc w:val="center"/>
              <w:rPr>
                <w:rFonts w:ascii="Calibri" w:hAnsi="Calibri" w:cs="Calibri"/>
                <w:b/>
                <w:bCs/>
                <w:sz w:val="20"/>
                <w:szCs w:val="20"/>
              </w:rPr>
            </w:pPr>
          </w:p>
        </w:tc>
        <w:tc>
          <w:tcPr>
            <w:tcW w:w="775" w:type="dxa"/>
          </w:tcPr>
          <w:p w14:paraId="528B4FAA" w14:textId="77777777" w:rsidR="00A70D06" w:rsidRPr="009B561A" w:rsidRDefault="00A70D06" w:rsidP="00A70D06">
            <w:pPr>
              <w:jc w:val="center"/>
              <w:rPr>
                <w:rFonts w:ascii="Calibri" w:hAnsi="Calibri" w:cs="Calibri"/>
                <w:b/>
                <w:bCs/>
                <w:sz w:val="20"/>
                <w:szCs w:val="20"/>
              </w:rPr>
            </w:pPr>
          </w:p>
        </w:tc>
        <w:tc>
          <w:tcPr>
            <w:tcW w:w="895" w:type="dxa"/>
          </w:tcPr>
          <w:p w14:paraId="457C0C84" w14:textId="77777777" w:rsidR="00A70D06" w:rsidRPr="009B561A" w:rsidRDefault="00A70D06" w:rsidP="00A70D06">
            <w:pPr>
              <w:jc w:val="center"/>
              <w:rPr>
                <w:rFonts w:ascii="Calibri" w:hAnsi="Calibri" w:cs="Calibri"/>
                <w:b/>
                <w:bCs/>
                <w:sz w:val="20"/>
                <w:szCs w:val="20"/>
              </w:rPr>
            </w:pPr>
          </w:p>
        </w:tc>
        <w:tc>
          <w:tcPr>
            <w:tcW w:w="829" w:type="dxa"/>
          </w:tcPr>
          <w:p w14:paraId="42F9030A"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r>
      <w:tr w:rsidR="00A70D06" w:rsidRPr="009B561A" w14:paraId="7975B213" w14:textId="77777777" w:rsidTr="001B2A18">
        <w:tc>
          <w:tcPr>
            <w:tcW w:w="454" w:type="dxa"/>
          </w:tcPr>
          <w:p w14:paraId="3768A49C"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4</w:t>
            </w:r>
          </w:p>
        </w:tc>
        <w:tc>
          <w:tcPr>
            <w:tcW w:w="5353" w:type="dxa"/>
          </w:tcPr>
          <w:p w14:paraId="447FB6C2"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Dunn et al (2009)</w:t>
            </w:r>
          </w:p>
          <w:p w14:paraId="72931241"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Implementing a pharmacist-led sequential antimicrobial therapy strategy: a controlled before-and-after study</w:t>
            </w:r>
          </w:p>
        </w:tc>
        <w:tc>
          <w:tcPr>
            <w:tcW w:w="710" w:type="dxa"/>
          </w:tcPr>
          <w:p w14:paraId="0F304964" w14:textId="77777777" w:rsidR="00A70D06" w:rsidRPr="009B561A" w:rsidRDefault="00A70D06" w:rsidP="00A70D06">
            <w:pPr>
              <w:jc w:val="center"/>
              <w:rPr>
                <w:rFonts w:ascii="Calibri" w:hAnsi="Calibri" w:cs="Calibri"/>
                <w:b/>
                <w:bCs/>
                <w:sz w:val="20"/>
                <w:szCs w:val="20"/>
              </w:rPr>
            </w:pPr>
          </w:p>
        </w:tc>
        <w:tc>
          <w:tcPr>
            <w:tcW w:w="775" w:type="dxa"/>
          </w:tcPr>
          <w:p w14:paraId="4A7C4BE2" w14:textId="77777777" w:rsidR="00A70D06" w:rsidRPr="009B561A" w:rsidRDefault="00A70D06" w:rsidP="00A70D06">
            <w:pPr>
              <w:jc w:val="center"/>
              <w:rPr>
                <w:rFonts w:ascii="Calibri" w:hAnsi="Calibri" w:cs="Calibri"/>
                <w:b/>
                <w:bCs/>
                <w:sz w:val="20"/>
                <w:szCs w:val="20"/>
              </w:rPr>
            </w:pPr>
          </w:p>
        </w:tc>
        <w:tc>
          <w:tcPr>
            <w:tcW w:w="895" w:type="dxa"/>
          </w:tcPr>
          <w:p w14:paraId="1D77ECAE"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1CBF7EF1" w14:textId="77777777" w:rsidR="00A70D06" w:rsidRPr="009B561A" w:rsidRDefault="00A70D06" w:rsidP="00A70D06">
            <w:pPr>
              <w:jc w:val="center"/>
              <w:rPr>
                <w:rFonts w:ascii="Calibri" w:hAnsi="Calibri" w:cs="Calibri"/>
                <w:b/>
                <w:bCs/>
                <w:sz w:val="20"/>
                <w:szCs w:val="20"/>
              </w:rPr>
            </w:pPr>
          </w:p>
        </w:tc>
      </w:tr>
      <w:tr w:rsidR="00A70D06" w:rsidRPr="009B561A" w14:paraId="38F074FF" w14:textId="77777777" w:rsidTr="001B2A18">
        <w:trPr>
          <w:trHeight w:val="838"/>
        </w:trPr>
        <w:tc>
          <w:tcPr>
            <w:tcW w:w="454" w:type="dxa"/>
          </w:tcPr>
          <w:p w14:paraId="333D6A87"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5</w:t>
            </w:r>
          </w:p>
        </w:tc>
        <w:tc>
          <w:tcPr>
            <w:tcW w:w="5353" w:type="dxa"/>
          </w:tcPr>
          <w:p w14:paraId="562C9EF9"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Fitzgerald et al (2018)</w:t>
            </w:r>
          </w:p>
          <w:p w14:paraId="08DB9FCF" w14:textId="77777777" w:rsidR="00A70D06" w:rsidRPr="009B561A" w:rsidRDefault="00A70D06" w:rsidP="00A70D06">
            <w:pPr>
              <w:rPr>
                <w:rFonts w:ascii="Calibri" w:hAnsi="Calibri" w:cs="Calibri"/>
                <w:b/>
                <w:bCs/>
                <w:sz w:val="20"/>
                <w:szCs w:val="20"/>
              </w:rPr>
            </w:pPr>
            <w:r w:rsidRPr="009B561A">
              <w:rPr>
                <w:rFonts w:ascii="Calibri" w:hAnsi="Calibri" w:cs="Calibri"/>
                <w:sz w:val="20"/>
                <w:szCs w:val="20"/>
              </w:rPr>
              <w:t>Examining the infectious aetiology and diagnostic criteria of maternal pyrexia in labour to improve antibiotic stewardship</w:t>
            </w:r>
          </w:p>
        </w:tc>
        <w:tc>
          <w:tcPr>
            <w:tcW w:w="710" w:type="dxa"/>
          </w:tcPr>
          <w:p w14:paraId="6C8E8A82" w14:textId="77777777" w:rsidR="00A70D06" w:rsidRPr="009B561A" w:rsidRDefault="00A70D06" w:rsidP="00A70D06">
            <w:pPr>
              <w:jc w:val="center"/>
              <w:rPr>
                <w:rFonts w:ascii="Calibri" w:hAnsi="Calibri" w:cs="Calibri"/>
                <w:b/>
                <w:bCs/>
                <w:sz w:val="20"/>
                <w:szCs w:val="20"/>
              </w:rPr>
            </w:pPr>
          </w:p>
        </w:tc>
        <w:tc>
          <w:tcPr>
            <w:tcW w:w="775" w:type="dxa"/>
          </w:tcPr>
          <w:p w14:paraId="336493EA" w14:textId="77777777" w:rsidR="00A70D06" w:rsidRPr="009B561A" w:rsidRDefault="00A70D06" w:rsidP="00A70D06">
            <w:pPr>
              <w:jc w:val="center"/>
              <w:rPr>
                <w:rFonts w:ascii="Calibri" w:hAnsi="Calibri" w:cs="Calibri"/>
                <w:b/>
                <w:bCs/>
                <w:sz w:val="20"/>
                <w:szCs w:val="20"/>
              </w:rPr>
            </w:pPr>
          </w:p>
        </w:tc>
        <w:tc>
          <w:tcPr>
            <w:tcW w:w="895" w:type="dxa"/>
          </w:tcPr>
          <w:p w14:paraId="348B470F"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5E31D620" w14:textId="77777777" w:rsidR="00A70D06" w:rsidRPr="009B561A" w:rsidRDefault="00A70D06" w:rsidP="00A70D06">
            <w:pPr>
              <w:jc w:val="center"/>
              <w:rPr>
                <w:rFonts w:ascii="Calibri" w:hAnsi="Calibri" w:cs="Calibri"/>
                <w:b/>
                <w:bCs/>
                <w:sz w:val="20"/>
                <w:szCs w:val="20"/>
              </w:rPr>
            </w:pPr>
          </w:p>
        </w:tc>
      </w:tr>
      <w:tr w:rsidR="00A70D06" w:rsidRPr="009B561A" w14:paraId="56E8352E" w14:textId="77777777" w:rsidTr="001B2A18">
        <w:tc>
          <w:tcPr>
            <w:tcW w:w="454" w:type="dxa"/>
          </w:tcPr>
          <w:p w14:paraId="7BC53FA3"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6</w:t>
            </w:r>
          </w:p>
        </w:tc>
        <w:tc>
          <w:tcPr>
            <w:tcW w:w="5353" w:type="dxa"/>
          </w:tcPr>
          <w:p w14:paraId="59274AB9"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Fleming et al (2013)</w:t>
            </w:r>
          </w:p>
          <w:p w14:paraId="536A7472" w14:textId="77777777" w:rsidR="00A70D06" w:rsidRPr="009B561A" w:rsidRDefault="00A70D06" w:rsidP="00A70D06">
            <w:pPr>
              <w:rPr>
                <w:rFonts w:ascii="Calibri" w:hAnsi="Calibri" w:cs="Calibri"/>
                <w:b/>
                <w:bCs/>
                <w:sz w:val="20"/>
                <w:szCs w:val="20"/>
              </w:rPr>
            </w:pPr>
            <w:r w:rsidRPr="009B561A">
              <w:rPr>
                <w:rFonts w:ascii="Calibri" w:hAnsi="Calibri" w:cs="Calibri"/>
                <w:sz w:val="20"/>
                <w:szCs w:val="20"/>
              </w:rPr>
              <w:t>A cross-sectional survey of the profile and activities of Antimicrobial Management Teams in Irish Hospitals</w:t>
            </w:r>
          </w:p>
        </w:tc>
        <w:tc>
          <w:tcPr>
            <w:tcW w:w="710" w:type="dxa"/>
          </w:tcPr>
          <w:p w14:paraId="36022011"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p w14:paraId="0A95002D" w14:textId="77777777" w:rsidR="00A70D06" w:rsidRPr="009B561A" w:rsidRDefault="00A70D06" w:rsidP="00A70D06">
            <w:pPr>
              <w:jc w:val="center"/>
              <w:rPr>
                <w:rFonts w:ascii="Calibri" w:hAnsi="Calibri" w:cs="Calibri"/>
                <w:b/>
                <w:bCs/>
                <w:sz w:val="20"/>
                <w:szCs w:val="20"/>
              </w:rPr>
            </w:pPr>
          </w:p>
        </w:tc>
        <w:tc>
          <w:tcPr>
            <w:tcW w:w="775" w:type="dxa"/>
          </w:tcPr>
          <w:p w14:paraId="11346337" w14:textId="77777777" w:rsidR="00A70D06" w:rsidRPr="009B561A" w:rsidRDefault="00A70D06" w:rsidP="00A70D06">
            <w:pPr>
              <w:jc w:val="center"/>
              <w:rPr>
                <w:rFonts w:ascii="Calibri" w:hAnsi="Calibri" w:cs="Calibri"/>
                <w:b/>
                <w:bCs/>
                <w:sz w:val="20"/>
                <w:szCs w:val="20"/>
              </w:rPr>
            </w:pPr>
          </w:p>
        </w:tc>
        <w:tc>
          <w:tcPr>
            <w:tcW w:w="895" w:type="dxa"/>
          </w:tcPr>
          <w:p w14:paraId="21CEF68B" w14:textId="77777777" w:rsidR="00A70D06" w:rsidRPr="009B561A" w:rsidRDefault="00A70D06" w:rsidP="00A70D06">
            <w:pPr>
              <w:jc w:val="center"/>
              <w:rPr>
                <w:rFonts w:ascii="Calibri" w:hAnsi="Calibri" w:cs="Calibri"/>
                <w:b/>
                <w:bCs/>
                <w:sz w:val="20"/>
                <w:szCs w:val="20"/>
              </w:rPr>
            </w:pPr>
          </w:p>
        </w:tc>
        <w:tc>
          <w:tcPr>
            <w:tcW w:w="829" w:type="dxa"/>
          </w:tcPr>
          <w:p w14:paraId="1BD509DD"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r>
      <w:tr w:rsidR="00A70D06" w:rsidRPr="009B561A" w14:paraId="04E7C914" w14:textId="77777777" w:rsidTr="001B2A18">
        <w:tc>
          <w:tcPr>
            <w:tcW w:w="454" w:type="dxa"/>
            <w:shd w:val="clear" w:color="auto" w:fill="auto"/>
          </w:tcPr>
          <w:p w14:paraId="254D1402"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7</w:t>
            </w:r>
          </w:p>
        </w:tc>
        <w:tc>
          <w:tcPr>
            <w:tcW w:w="5353" w:type="dxa"/>
            <w:shd w:val="clear" w:color="auto" w:fill="auto"/>
          </w:tcPr>
          <w:p w14:paraId="19055297"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Fleming et al 2014</w:t>
            </w:r>
          </w:p>
          <w:p w14:paraId="628ABD24"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Antibiotic prescribing in long-term care facilities: a qualitative, multidisciplinary investigation</w:t>
            </w:r>
          </w:p>
          <w:p w14:paraId="7C3E37BB" w14:textId="77777777" w:rsidR="00A70D06" w:rsidRPr="009B561A" w:rsidRDefault="00A70D06" w:rsidP="00A70D06">
            <w:pPr>
              <w:rPr>
                <w:rFonts w:ascii="Calibri" w:hAnsi="Calibri" w:cs="Calibri"/>
                <w:sz w:val="20"/>
                <w:szCs w:val="20"/>
              </w:rPr>
            </w:pPr>
          </w:p>
        </w:tc>
        <w:tc>
          <w:tcPr>
            <w:tcW w:w="710" w:type="dxa"/>
          </w:tcPr>
          <w:p w14:paraId="79ECE8B5" w14:textId="77777777" w:rsidR="00A70D06" w:rsidRPr="009B561A" w:rsidRDefault="00A70D06" w:rsidP="00A70D06">
            <w:pPr>
              <w:jc w:val="center"/>
              <w:rPr>
                <w:rFonts w:ascii="Calibri" w:hAnsi="Calibri" w:cs="Calibri"/>
                <w:b/>
                <w:bCs/>
                <w:sz w:val="20"/>
                <w:szCs w:val="20"/>
              </w:rPr>
            </w:pPr>
          </w:p>
        </w:tc>
        <w:tc>
          <w:tcPr>
            <w:tcW w:w="775" w:type="dxa"/>
          </w:tcPr>
          <w:p w14:paraId="10A857A0" w14:textId="77777777" w:rsidR="00A70D06" w:rsidRPr="009B561A" w:rsidRDefault="00A70D06" w:rsidP="00A70D06">
            <w:pPr>
              <w:jc w:val="center"/>
              <w:rPr>
                <w:rFonts w:ascii="Calibri" w:hAnsi="Calibri" w:cs="Calibri"/>
                <w:b/>
                <w:bCs/>
                <w:sz w:val="20"/>
                <w:szCs w:val="20"/>
              </w:rPr>
            </w:pPr>
          </w:p>
        </w:tc>
        <w:tc>
          <w:tcPr>
            <w:tcW w:w="895" w:type="dxa"/>
          </w:tcPr>
          <w:p w14:paraId="25364FF2" w14:textId="77777777" w:rsidR="00A70D06" w:rsidRPr="009B561A" w:rsidRDefault="00A70D06" w:rsidP="00A70D06">
            <w:pPr>
              <w:jc w:val="center"/>
              <w:rPr>
                <w:rFonts w:ascii="Calibri" w:hAnsi="Calibri" w:cs="Calibri"/>
                <w:b/>
                <w:bCs/>
                <w:sz w:val="20"/>
                <w:szCs w:val="20"/>
              </w:rPr>
            </w:pPr>
          </w:p>
        </w:tc>
        <w:tc>
          <w:tcPr>
            <w:tcW w:w="829" w:type="dxa"/>
          </w:tcPr>
          <w:p w14:paraId="2FA5C0F2"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r>
      <w:tr w:rsidR="00A70D06" w:rsidRPr="009B561A" w14:paraId="36762662" w14:textId="77777777" w:rsidTr="001B2A18">
        <w:tc>
          <w:tcPr>
            <w:tcW w:w="454" w:type="dxa"/>
            <w:shd w:val="clear" w:color="auto" w:fill="auto"/>
          </w:tcPr>
          <w:p w14:paraId="4B19AA7B"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8</w:t>
            </w:r>
          </w:p>
        </w:tc>
        <w:tc>
          <w:tcPr>
            <w:tcW w:w="5353" w:type="dxa"/>
            <w:shd w:val="clear" w:color="auto" w:fill="auto"/>
          </w:tcPr>
          <w:p w14:paraId="32ADFC96"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Fleming et al (2015)</w:t>
            </w:r>
          </w:p>
          <w:p w14:paraId="57BFE068" w14:textId="77777777" w:rsidR="00A70D06" w:rsidRPr="009B561A" w:rsidRDefault="00A70D06" w:rsidP="00A70D06">
            <w:pPr>
              <w:rPr>
                <w:rFonts w:ascii="Calibri" w:hAnsi="Calibri" w:cs="Calibri"/>
                <w:b/>
                <w:bCs/>
                <w:sz w:val="20"/>
                <w:szCs w:val="20"/>
              </w:rPr>
            </w:pPr>
            <w:r w:rsidRPr="009B561A">
              <w:rPr>
                <w:rFonts w:ascii="Calibri" w:hAnsi="Calibri" w:cs="Calibri"/>
                <w:sz w:val="20"/>
                <w:szCs w:val="20"/>
              </w:rPr>
              <w:t>Antimicrobial stewardship activities in hospitals in Ireland and the United Kingdom: a comparison of two national survey</w:t>
            </w:r>
          </w:p>
        </w:tc>
        <w:tc>
          <w:tcPr>
            <w:tcW w:w="710" w:type="dxa"/>
          </w:tcPr>
          <w:p w14:paraId="7710CE6B"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775" w:type="dxa"/>
          </w:tcPr>
          <w:p w14:paraId="5ACBDA80" w14:textId="77777777" w:rsidR="00A70D06" w:rsidRPr="009B561A" w:rsidRDefault="00A70D06" w:rsidP="00A70D06">
            <w:pPr>
              <w:jc w:val="center"/>
              <w:rPr>
                <w:rFonts w:ascii="Calibri" w:hAnsi="Calibri" w:cs="Calibri"/>
                <w:b/>
                <w:bCs/>
                <w:sz w:val="20"/>
                <w:szCs w:val="20"/>
              </w:rPr>
            </w:pPr>
          </w:p>
        </w:tc>
        <w:tc>
          <w:tcPr>
            <w:tcW w:w="895" w:type="dxa"/>
          </w:tcPr>
          <w:p w14:paraId="598A559D" w14:textId="77777777" w:rsidR="00A70D06" w:rsidRPr="009B561A" w:rsidRDefault="00A70D06" w:rsidP="00A70D06">
            <w:pPr>
              <w:jc w:val="center"/>
              <w:rPr>
                <w:rFonts w:ascii="Calibri" w:hAnsi="Calibri" w:cs="Calibri"/>
                <w:b/>
                <w:bCs/>
                <w:sz w:val="20"/>
                <w:szCs w:val="20"/>
              </w:rPr>
            </w:pPr>
          </w:p>
        </w:tc>
        <w:tc>
          <w:tcPr>
            <w:tcW w:w="829" w:type="dxa"/>
          </w:tcPr>
          <w:p w14:paraId="2B033E34" w14:textId="77777777" w:rsidR="00A70D06" w:rsidRPr="009B561A" w:rsidRDefault="00A70D06" w:rsidP="00A70D06">
            <w:pPr>
              <w:jc w:val="center"/>
              <w:rPr>
                <w:rFonts w:ascii="Calibri" w:hAnsi="Calibri" w:cs="Calibri"/>
                <w:b/>
                <w:bCs/>
                <w:sz w:val="20"/>
                <w:szCs w:val="20"/>
              </w:rPr>
            </w:pPr>
          </w:p>
        </w:tc>
      </w:tr>
      <w:tr w:rsidR="00A70D06" w:rsidRPr="009B561A" w14:paraId="2C5F3F12" w14:textId="77777777" w:rsidTr="001B2A18">
        <w:tc>
          <w:tcPr>
            <w:tcW w:w="454" w:type="dxa"/>
            <w:shd w:val="clear" w:color="auto" w:fill="auto"/>
          </w:tcPr>
          <w:p w14:paraId="6DAB611B"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9</w:t>
            </w:r>
          </w:p>
        </w:tc>
        <w:tc>
          <w:tcPr>
            <w:tcW w:w="5353" w:type="dxa"/>
            <w:shd w:val="clear" w:color="auto" w:fill="auto"/>
          </w:tcPr>
          <w:p w14:paraId="62B92B0A"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Fleming et al (2016)</w:t>
            </w:r>
          </w:p>
          <w:p w14:paraId="74B4FD90" w14:textId="77777777" w:rsidR="00A70D06" w:rsidRPr="009B561A" w:rsidRDefault="00A70D06" w:rsidP="00A70D06">
            <w:pPr>
              <w:rPr>
                <w:rFonts w:ascii="Calibri" w:hAnsi="Calibri" w:cs="Calibri"/>
                <w:b/>
                <w:bCs/>
                <w:sz w:val="20"/>
                <w:szCs w:val="20"/>
              </w:rPr>
            </w:pPr>
            <w:r w:rsidRPr="009B561A">
              <w:rPr>
                <w:rFonts w:ascii="Calibri" w:hAnsi="Calibri" w:cs="Calibri"/>
                <w:sz w:val="20"/>
                <w:szCs w:val="20"/>
              </w:rPr>
              <w:t>Antimicrobial susceptibility of long-term care facility and general practice urine samples in patients 65 years and older: an observational study</w:t>
            </w:r>
          </w:p>
        </w:tc>
        <w:tc>
          <w:tcPr>
            <w:tcW w:w="710" w:type="dxa"/>
          </w:tcPr>
          <w:p w14:paraId="5E7082D5" w14:textId="77777777" w:rsidR="00A70D06" w:rsidRPr="009B561A" w:rsidRDefault="00A70D06" w:rsidP="00A70D06">
            <w:pPr>
              <w:jc w:val="center"/>
              <w:rPr>
                <w:rFonts w:ascii="Calibri" w:hAnsi="Calibri" w:cs="Calibri"/>
                <w:b/>
                <w:bCs/>
                <w:sz w:val="20"/>
                <w:szCs w:val="20"/>
              </w:rPr>
            </w:pPr>
          </w:p>
        </w:tc>
        <w:tc>
          <w:tcPr>
            <w:tcW w:w="775" w:type="dxa"/>
          </w:tcPr>
          <w:p w14:paraId="1D581998" w14:textId="77777777" w:rsidR="00A70D06" w:rsidRPr="009B561A" w:rsidRDefault="00A70D06" w:rsidP="00A70D06">
            <w:pPr>
              <w:jc w:val="center"/>
              <w:rPr>
                <w:rFonts w:ascii="Calibri" w:hAnsi="Calibri" w:cs="Calibri"/>
                <w:b/>
                <w:bCs/>
                <w:sz w:val="20"/>
                <w:szCs w:val="20"/>
              </w:rPr>
            </w:pPr>
          </w:p>
        </w:tc>
        <w:tc>
          <w:tcPr>
            <w:tcW w:w="895" w:type="dxa"/>
          </w:tcPr>
          <w:p w14:paraId="57DAAB7E" w14:textId="77777777" w:rsidR="00A70D06" w:rsidRPr="009B561A" w:rsidRDefault="00A70D06" w:rsidP="00A70D06">
            <w:pPr>
              <w:jc w:val="center"/>
              <w:rPr>
                <w:rFonts w:ascii="Calibri" w:hAnsi="Calibri" w:cs="Calibri"/>
                <w:b/>
                <w:bCs/>
                <w:sz w:val="20"/>
                <w:szCs w:val="20"/>
              </w:rPr>
            </w:pPr>
          </w:p>
        </w:tc>
        <w:tc>
          <w:tcPr>
            <w:tcW w:w="829" w:type="dxa"/>
          </w:tcPr>
          <w:p w14:paraId="7AF1E15A"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r>
      <w:tr w:rsidR="00A70D06" w:rsidRPr="009B561A" w14:paraId="3AC82E20" w14:textId="77777777" w:rsidTr="001B2A18">
        <w:tc>
          <w:tcPr>
            <w:tcW w:w="454" w:type="dxa"/>
          </w:tcPr>
          <w:p w14:paraId="5D03554D"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10</w:t>
            </w:r>
          </w:p>
        </w:tc>
        <w:tc>
          <w:tcPr>
            <w:tcW w:w="5353" w:type="dxa"/>
          </w:tcPr>
          <w:p w14:paraId="63EC5AEA"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Hsia et al. (2019)</w:t>
            </w:r>
          </w:p>
          <w:p w14:paraId="7D68AB14"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Use of the WHO Access, Watch, and Reserve classification to define patterns of hospital antibiotic use (</w:t>
            </w:r>
            <w:proofErr w:type="spellStart"/>
            <w:r w:rsidRPr="009B561A">
              <w:rPr>
                <w:rFonts w:ascii="Calibri" w:hAnsi="Calibri" w:cs="Calibri"/>
                <w:sz w:val="20"/>
                <w:szCs w:val="20"/>
              </w:rPr>
              <w:t>AWaRe</w:t>
            </w:r>
            <w:proofErr w:type="spellEnd"/>
            <w:r w:rsidRPr="009B561A">
              <w:rPr>
                <w:rFonts w:ascii="Calibri" w:hAnsi="Calibri" w:cs="Calibri"/>
                <w:sz w:val="20"/>
                <w:szCs w:val="20"/>
              </w:rPr>
              <w:t>): an analysis of paediatric survey data from 56 countries</w:t>
            </w:r>
          </w:p>
        </w:tc>
        <w:tc>
          <w:tcPr>
            <w:tcW w:w="710" w:type="dxa"/>
          </w:tcPr>
          <w:p w14:paraId="337829EF" w14:textId="77777777" w:rsidR="00A70D06" w:rsidRPr="009B561A" w:rsidRDefault="00A70D06" w:rsidP="00A70D06">
            <w:pPr>
              <w:jc w:val="center"/>
              <w:rPr>
                <w:rFonts w:ascii="Calibri" w:hAnsi="Calibri" w:cs="Calibri"/>
                <w:b/>
                <w:bCs/>
                <w:sz w:val="20"/>
                <w:szCs w:val="20"/>
              </w:rPr>
            </w:pPr>
          </w:p>
        </w:tc>
        <w:tc>
          <w:tcPr>
            <w:tcW w:w="775" w:type="dxa"/>
          </w:tcPr>
          <w:p w14:paraId="23ED7F7B" w14:textId="77777777" w:rsidR="00A70D06" w:rsidRPr="009B561A" w:rsidRDefault="00A70D06" w:rsidP="00A70D06">
            <w:pPr>
              <w:jc w:val="center"/>
              <w:rPr>
                <w:rFonts w:ascii="Calibri" w:hAnsi="Calibri" w:cs="Calibri"/>
                <w:b/>
                <w:bCs/>
                <w:sz w:val="20"/>
                <w:szCs w:val="20"/>
              </w:rPr>
            </w:pPr>
          </w:p>
        </w:tc>
        <w:tc>
          <w:tcPr>
            <w:tcW w:w="895" w:type="dxa"/>
          </w:tcPr>
          <w:p w14:paraId="69405A5D"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64D782F7" w14:textId="77777777" w:rsidR="00A70D06" w:rsidRPr="009B561A" w:rsidRDefault="00A70D06" w:rsidP="00A70D06">
            <w:pPr>
              <w:jc w:val="center"/>
              <w:rPr>
                <w:rFonts w:ascii="Calibri" w:hAnsi="Calibri" w:cs="Calibri"/>
                <w:b/>
                <w:bCs/>
                <w:sz w:val="20"/>
                <w:szCs w:val="20"/>
              </w:rPr>
            </w:pPr>
          </w:p>
        </w:tc>
      </w:tr>
      <w:tr w:rsidR="00A70D06" w:rsidRPr="009B561A" w14:paraId="3EC6B822" w14:textId="77777777" w:rsidTr="001B2A18">
        <w:tc>
          <w:tcPr>
            <w:tcW w:w="454" w:type="dxa"/>
          </w:tcPr>
          <w:p w14:paraId="2C9E46C9"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11</w:t>
            </w:r>
          </w:p>
        </w:tc>
        <w:tc>
          <w:tcPr>
            <w:tcW w:w="5353" w:type="dxa"/>
          </w:tcPr>
          <w:p w14:paraId="4F0E5998"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Maguire et al (2018)</w:t>
            </w:r>
          </w:p>
          <w:p w14:paraId="5AD08862" w14:textId="77777777" w:rsidR="00A70D06" w:rsidRDefault="00A70D06" w:rsidP="00A70D06">
            <w:pPr>
              <w:rPr>
                <w:rFonts w:ascii="Calibri" w:hAnsi="Calibri" w:cs="Calibri"/>
                <w:sz w:val="20"/>
                <w:szCs w:val="20"/>
              </w:rPr>
            </w:pPr>
            <w:r w:rsidRPr="009B561A">
              <w:rPr>
                <w:rFonts w:ascii="Calibri" w:hAnsi="Calibri" w:cs="Calibri"/>
                <w:sz w:val="20"/>
                <w:szCs w:val="20"/>
              </w:rPr>
              <w:t>A Cross-Sectional Study of Antibiotic Prescribing for Childhood Upper Respiratory Tract Infections in Irish General Practice</w:t>
            </w:r>
          </w:p>
          <w:p w14:paraId="74900E7B" w14:textId="77777777" w:rsidR="00360801" w:rsidRPr="009B561A" w:rsidRDefault="00360801" w:rsidP="00A70D06">
            <w:pPr>
              <w:rPr>
                <w:rFonts w:ascii="Calibri" w:hAnsi="Calibri" w:cs="Calibri"/>
                <w:sz w:val="20"/>
                <w:szCs w:val="20"/>
              </w:rPr>
            </w:pPr>
          </w:p>
        </w:tc>
        <w:tc>
          <w:tcPr>
            <w:tcW w:w="710" w:type="dxa"/>
          </w:tcPr>
          <w:p w14:paraId="558884F6" w14:textId="77777777" w:rsidR="00A70D06" w:rsidRPr="009B561A" w:rsidRDefault="00A70D06" w:rsidP="00A70D06">
            <w:pPr>
              <w:jc w:val="center"/>
              <w:rPr>
                <w:rFonts w:ascii="Calibri" w:hAnsi="Calibri" w:cs="Calibri"/>
                <w:b/>
                <w:bCs/>
                <w:sz w:val="20"/>
                <w:szCs w:val="20"/>
              </w:rPr>
            </w:pPr>
          </w:p>
        </w:tc>
        <w:tc>
          <w:tcPr>
            <w:tcW w:w="775" w:type="dxa"/>
          </w:tcPr>
          <w:p w14:paraId="7161AA01"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95" w:type="dxa"/>
          </w:tcPr>
          <w:p w14:paraId="4AC3E3FF" w14:textId="77777777" w:rsidR="00A70D06" w:rsidRPr="009B561A" w:rsidRDefault="00A70D06" w:rsidP="00A70D06">
            <w:pPr>
              <w:jc w:val="center"/>
              <w:rPr>
                <w:rFonts w:ascii="Calibri" w:hAnsi="Calibri" w:cs="Calibri"/>
                <w:b/>
                <w:bCs/>
                <w:sz w:val="20"/>
                <w:szCs w:val="20"/>
              </w:rPr>
            </w:pPr>
          </w:p>
        </w:tc>
        <w:tc>
          <w:tcPr>
            <w:tcW w:w="829" w:type="dxa"/>
          </w:tcPr>
          <w:p w14:paraId="580E7C63" w14:textId="77777777" w:rsidR="00A70D06" w:rsidRPr="009B561A" w:rsidRDefault="00A70D06" w:rsidP="00A70D06">
            <w:pPr>
              <w:jc w:val="center"/>
              <w:rPr>
                <w:rFonts w:ascii="Calibri" w:hAnsi="Calibri" w:cs="Calibri"/>
                <w:b/>
                <w:bCs/>
                <w:sz w:val="20"/>
                <w:szCs w:val="20"/>
              </w:rPr>
            </w:pPr>
          </w:p>
        </w:tc>
      </w:tr>
      <w:tr w:rsidR="00A70D06" w:rsidRPr="009B561A" w14:paraId="2A52B4F6" w14:textId="77777777" w:rsidTr="001B2A18">
        <w:tc>
          <w:tcPr>
            <w:tcW w:w="454" w:type="dxa"/>
          </w:tcPr>
          <w:p w14:paraId="6892C5D8"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lastRenderedPageBreak/>
              <w:t>12</w:t>
            </w:r>
          </w:p>
        </w:tc>
        <w:tc>
          <w:tcPr>
            <w:tcW w:w="5353" w:type="dxa"/>
          </w:tcPr>
          <w:p w14:paraId="61BCD2F9"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Martin et al (2021)</w:t>
            </w:r>
          </w:p>
          <w:p w14:paraId="23F67CB1"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Antimicrobial stewardship challenges and innovative initiatives in the acute hospital setting during the COVID-19 pandemic</w:t>
            </w:r>
          </w:p>
        </w:tc>
        <w:tc>
          <w:tcPr>
            <w:tcW w:w="710" w:type="dxa"/>
          </w:tcPr>
          <w:p w14:paraId="421A4ACC"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775" w:type="dxa"/>
          </w:tcPr>
          <w:p w14:paraId="05B44C4E" w14:textId="77777777" w:rsidR="00A70D06" w:rsidRPr="009B561A" w:rsidRDefault="00A70D06" w:rsidP="00A70D06">
            <w:pPr>
              <w:jc w:val="center"/>
              <w:rPr>
                <w:rFonts w:ascii="Calibri" w:hAnsi="Calibri" w:cs="Calibri"/>
                <w:b/>
                <w:bCs/>
                <w:sz w:val="20"/>
                <w:szCs w:val="20"/>
              </w:rPr>
            </w:pPr>
          </w:p>
        </w:tc>
        <w:tc>
          <w:tcPr>
            <w:tcW w:w="895" w:type="dxa"/>
          </w:tcPr>
          <w:p w14:paraId="70DFF7CB"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5B320E12" w14:textId="77777777" w:rsidR="00A70D06" w:rsidRPr="009B561A" w:rsidRDefault="00A70D06" w:rsidP="00A70D06">
            <w:pPr>
              <w:jc w:val="center"/>
              <w:rPr>
                <w:rFonts w:ascii="Calibri" w:hAnsi="Calibri" w:cs="Calibri"/>
                <w:b/>
                <w:bCs/>
                <w:sz w:val="20"/>
                <w:szCs w:val="20"/>
              </w:rPr>
            </w:pPr>
          </w:p>
        </w:tc>
      </w:tr>
      <w:tr w:rsidR="00A70D06" w:rsidRPr="009B561A" w14:paraId="6E492D12" w14:textId="77777777" w:rsidTr="001B2A18">
        <w:tc>
          <w:tcPr>
            <w:tcW w:w="454" w:type="dxa"/>
          </w:tcPr>
          <w:p w14:paraId="41F514D6"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13</w:t>
            </w:r>
          </w:p>
        </w:tc>
        <w:tc>
          <w:tcPr>
            <w:tcW w:w="5353" w:type="dxa"/>
          </w:tcPr>
          <w:p w14:paraId="722D3CEA"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McCarthy et al (2018)</w:t>
            </w:r>
          </w:p>
          <w:p w14:paraId="4C86E1C8"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Antimicrobial stewardship in the neonatal unit reduces antibiotic exposure</w:t>
            </w:r>
          </w:p>
        </w:tc>
        <w:tc>
          <w:tcPr>
            <w:tcW w:w="710" w:type="dxa"/>
          </w:tcPr>
          <w:p w14:paraId="6D908A66" w14:textId="77777777" w:rsidR="00A70D06" w:rsidRPr="009B561A" w:rsidRDefault="00A70D06" w:rsidP="00A70D06">
            <w:pPr>
              <w:jc w:val="center"/>
              <w:rPr>
                <w:rFonts w:ascii="Calibri" w:hAnsi="Calibri" w:cs="Calibri"/>
                <w:b/>
                <w:bCs/>
                <w:sz w:val="20"/>
                <w:szCs w:val="20"/>
              </w:rPr>
            </w:pPr>
          </w:p>
        </w:tc>
        <w:tc>
          <w:tcPr>
            <w:tcW w:w="775" w:type="dxa"/>
          </w:tcPr>
          <w:p w14:paraId="5D1A559A" w14:textId="77777777" w:rsidR="00A70D06" w:rsidRPr="009B561A" w:rsidRDefault="00A70D06" w:rsidP="00A70D06">
            <w:pPr>
              <w:jc w:val="center"/>
              <w:rPr>
                <w:rFonts w:ascii="Calibri" w:hAnsi="Calibri" w:cs="Calibri"/>
                <w:b/>
                <w:bCs/>
                <w:sz w:val="20"/>
                <w:szCs w:val="20"/>
              </w:rPr>
            </w:pPr>
          </w:p>
        </w:tc>
        <w:tc>
          <w:tcPr>
            <w:tcW w:w="895" w:type="dxa"/>
          </w:tcPr>
          <w:p w14:paraId="5652DA2C"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4388B309" w14:textId="77777777" w:rsidR="00A70D06" w:rsidRPr="009B561A" w:rsidRDefault="00A70D06" w:rsidP="00A70D06">
            <w:pPr>
              <w:jc w:val="center"/>
              <w:rPr>
                <w:rFonts w:ascii="Calibri" w:hAnsi="Calibri" w:cs="Calibri"/>
                <w:b/>
                <w:bCs/>
                <w:sz w:val="20"/>
                <w:szCs w:val="20"/>
              </w:rPr>
            </w:pPr>
          </w:p>
        </w:tc>
      </w:tr>
      <w:tr w:rsidR="00A70D06" w:rsidRPr="009B561A" w14:paraId="28F96DF4" w14:textId="77777777" w:rsidTr="001B2A18">
        <w:tc>
          <w:tcPr>
            <w:tcW w:w="454" w:type="dxa"/>
          </w:tcPr>
          <w:p w14:paraId="0852EC5A"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14</w:t>
            </w:r>
          </w:p>
        </w:tc>
        <w:tc>
          <w:tcPr>
            <w:tcW w:w="5353" w:type="dxa"/>
          </w:tcPr>
          <w:p w14:paraId="7041DFE1"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Ni Riain et al (2016)</w:t>
            </w:r>
          </w:p>
          <w:p w14:paraId="2A36BADE"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Targeted de-escalation rounds may effectively and safely reduce meropenem use</w:t>
            </w:r>
          </w:p>
        </w:tc>
        <w:tc>
          <w:tcPr>
            <w:tcW w:w="710" w:type="dxa"/>
          </w:tcPr>
          <w:p w14:paraId="10ABA181" w14:textId="77777777" w:rsidR="00A70D06" w:rsidRPr="009B561A" w:rsidRDefault="00A70D06" w:rsidP="00A70D06">
            <w:pPr>
              <w:jc w:val="center"/>
              <w:rPr>
                <w:rFonts w:ascii="Calibri" w:hAnsi="Calibri" w:cs="Calibri"/>
                <w:b/>
                <w:bCs/>
                <w:sz w:val="20"/>
                <w:szCs w:val="20"/>
              </w:rPr>
            </w:pPr>
          </w:p>
        </w:tc>
        <w:tc>
          <w:tcPr>
            <w:tcW w:w="775" w:type="dxa"/>
          </w:tcPr>
          <w:p w14:paraId="235F96F3"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95" w:type="dxa"/>
          </w:tcPr>
          <w:p w14:paraId="252EADE3"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0AD1AD7E" w14:textId="77777777" w:rsidR="00A70D06" w:rsidRPr="009B561A" w:rsidRDefault="00A70D06" w:rsidP="00A70D06">
            <w:pPr>
              <w:jc w:val="center"/>
              <w:rPr>
                <w:rFonts w:ascii="Calibri" w:hAnsi="Calibri" w:cs="Calibri"/>
                <w:b/>
                <w:bCs/>
                <w:sz w:val="20"/>
                <w:szCs w:val="20"/>
              </w:rPr>
            </w:pPr>
          </w:p>
        </w:tc>
      </w:tr>
      <w:tr w:rsidR="00A70D06" w:rsidRPr="009B561A" w14:paraId="5ABB837B" w14:textId="77777777" w:rsidTr="001B2A18">
        <w:tc>
          <w:tcPr>
            <w:tcW w:w="454" w:type="dxa"/>
          </w:tcPr>
          <w:p w14:paraId="03FBDF71"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15</w:t>
            </w:r>
          </w:p>
        </w:tc>
        <w:tc>
          <w:tcPr>
            <w:tcW w:w="5353" w:type="dxa"/>
          </w:tcPr>
          <w:p w14:paraId="70B7B58F"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O’Connor et al (2020)</w:t>
            </w:r>
          </w:p>
          <w:p w14:paraId="52BD220A" w14:textId="77777777" w:rsidR="00A70D06" w:rsidRPr="009B561A" w:rsidRDefault="00A70D06" w:rsidP="00A70D06">
            <w:pPr>
              <w:rPr>
                <w:rFonts w:ascii="Calibri" w:hAnsi="Calibri" w:cs="Calibri"/>
                <w:b/>
                <w:bCs/>
                <w:sz w:val="20"/>
                <w:szCs w:val="20"/>
              </w:rPr>
            </w:pPr>
            <w:r w:rsidRPr="009B561A">
              <w:rPr>
                <w:rFonts w:ascii="Calibri" w:hAnsi="Calibri" w:cs="Calibri"/>
                <w:sz w:val="20"/>
                <w:szCs w:val="20"/>
              </w:rPr>
              <w:t>Improving the quality of antibiotic prescribing through an educational intervention delivered through the out-of-hours general practice service in Ireland</w:t>
            </w:r>
          </w:p>
        </w:tc>
        <w:tc>
          <w:tcPr>
            <w:tcW w:w="710" w:type="dxa"/>
          </w:tcPr>
          <w:p w14:paraId="3CCFB379" w14:textId="77777777" w:rsidR="00A70D06" w:rsidRPr="009B561A" w:rsidRDefault="00A70D06" w:rsidP="00A70D06">
            <w:pPr>
              <w:jc w:val="center"/>
              <w:rPr>
                <w:rFonts w:ascii="Calibri" w:hAnsi="Calibri" w:cs="Calibri"/>
                <w:b/>
                <w:bCs/>
                <w:sz w:val="20"/>
                <w:szCs w:val="20"/>
              </w:rPr>
            </w:pPr>
          </w:p>
        </w:tc>
        <w:tc>
          <w:tcPr>
            <w:tcW w:w="775" w:type="dxa"/>
          </w:tcPr>
          <w:p w14:paraId="0724FAA2"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95" w:type="dxa"/>
          </w:tcPr>
          <w:p w14:paraId="30AFCBE1"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632D44F6" w14:textId="77777777" w:rsidR="00A70D06" w:rsidRPr="009B561A" w:rsidRDefault="00A70D06" w:rsidP="00A70D06">
            <w:pPr>
              <w:jc w:val="center"/>
              <w:rPr>
                <w:rFonts w:ascii="Calibri" w:hAnsi="Calibri" w:cs="Calibri"/>
                <w:b/>
                <w:bCs/>
                <w:sz w:val="20"/>
                <w:szCs w:val="20"/>
              </w:rPr>
            </w:pPr>
          </w:p>
        </w:tc>
      </w:tr>
      <w:tr w:rsidR="00A70D06" w:rsidRPr="009B561A" w14:paraId="02ED72E9" w14:textId="77777777" w:rsidTr="001B2A18">
        <w:tc>
          <w:tcPr>
            <w:tcW w:w="454" w:type="dxa"/>
          </w:tcPr>
          <w:p w14:paraId="66AFF806"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16</w:t>
            </w:r>
          </w:p>
        </w:tc>
        <w:tc>
          <w:tcPr>
            <w:tcW w:w="5353" w:type="dxa"/>
          </w:tcPr>
          <w:p w14:paraId="07CADF11"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O’Doherty (2019)</w:t>
            </w:r>
          </w:p>
          <w:p w14:paraId="0CDC3D56"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Over prescribing of antibiotics for acute respiratory tract infections; a qualitative study to explore Irish general practitioners’ perspectives</w:t>
            </w:r>
          </w:p>
        </w:tc>
        <w:tc>
          <w:tcPr>
            <w:tcW w:w="710" w:type="dxa"/>
          </w:tcPr>
          <w:p w14:paraId="7829BB85" w14:textId="77777777" w:rsidR="00A70D06" w:rsidRPr="009B561A" w:rsidRDefault="00A70D06" w:rsidP="00A70D06">
            <w:pPr>
              <w:jc w:val="center"/>
              <w:rPr>
                <w:rFonts w:ascii="Calibri" w:hAnsi="Calibri" w:cs="Calibri"/>
                <w:b/>
                <w:bCs/>
                <w:sz w:val="20"/>
                <w:szCs w:val="20"/>
              </w:rPr>
            </w:pPr>
          </w:p>
        </w:tc>
        <w:tc>
          <w:tcPr>
            <w:tcW w:w="775" w:type="dxa"/>
          </w:tcPr>
          <w:p w14:paraId="740BCEC1"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95" w:type="dxa"/>
          </w:tcPr>
          <w:p w14:paraId="0407C29F" w14:textId="77777777" w:rsidR="00A70D06" w:rsidRPr="009B561A" w:rsidRDefault="00A70D06" w:rsidP="00A70D06">
            <w:pPr>
              <w:jc w:val="center"/>
              <w:rPr>
                <w:rFonts w:ascii="Calibri" w:hAnsi="Calibri" w:cs="Calibri"/>
                <w:b/>
                <w:bCs/>
                <w:sz w:val="20"/>
                <w:szCs w:val="20"/>
              </w:rPr>
            </w:pPr>
          </w:p>
        </w:tc>
        <w:tc>
          <w:tcPr>
            <w:tcW w:w="829" w:type="dxa"/>
          </w:tcPr>
          <w:p w14:paraId="38C1EEA8" w14:textId="77777777" w:rsidR="00A70D06" w:rsidRPr="009B561A" w:rsidRDefault="00A70D06" w:rsidP="00A70D06">
            <w:pPr>
              <w:jc w:val="center"/>
              <w:rPr>
                <w:rFonts w:ascii="Calibri" w:hAnsi="Calibri" w:cs="Calibri"/>
                <w:b/>
                <w:bCs/>
                <w:sz w:val="20"/>
                <w:szCs w:val="20"/>
              </w:rPr>
            </w:pPr>
          </w:p>
        </w:tc>
      </w:tr>
      <w:tr w:rsidR="00A70D06" w:rsidRPr="009B561A" w14:paraId="3BA84DD7" w14:textId="77777777" w:rsidTr="001B2A18">
        <w:tc>
          <w:tcPr>
            <w:tcW w:w="454" w:type="dxa"/>
          </w:tcPr>
          <w:p w14:paraId="6A5DF9E2"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17</w:t>
            </w:r>
          </w:p>
        </w:tc>
        <w:tc>
          <w:tcPr>
            <w:tcW w:w="5353" w:type="dxa"/>
          </w:tcPr>
          <w:p w14:paraId="32483782"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O’Kelly et al (2020)</w:t>
            </w:r>
          </w:p>
          <w:p w14:paraId="17864FFE" w14:textId="17CC7905" w:rsidR="00A70D06" w:rsidRPr="00360801" w:rsidRDefault="00A70D06" w:rsidP="00A70D06">
            <w:pPr>
              <w:rPr>
                <w:rFonts w:ascii="Calibri" w:hAnsi="Calibri" w:cs="Calibri"/>
                <w:sz w:val="20"/>
                <w:szCs w:val="20"/>
              </w:rPr>
            </w:pPr>
            <w:r w:rsidRPr="009B561A">
              <w:rPr>
                <w:rFonts w:ascii="Calibri" w:hAnsi="Calibri" w:cs="Calibri"/>
                <w:sz w:val="20"/>
                <w:szCs w:val="20"/>
              </w:rPr>
              <w:t>An audit of community-acquired pneumonia antimicrobial compliance using an intervention bundle in an Irish hospital</w:t>
            </w:r>
          </w:p>
        </w:tc>
        <w:tc>
          <w:tcPr>
            <w:tcW w:w="710" w:type="dxa"/>
          </w:tcPr>
          <w:p w14:paraId="16B78DFB" w14:textId="77777777" w:rsidR="00A70D06" w:rsidRPr="009B561A" w:rsidRDefault="00A70D06" w:rsidP="00A70D06">
            <w:pPr>
              <w:jc w:val="center"/>
              <w:rPr>
                <w:rFonts w:ascii="Calibri" w:hAnsi="Calibri" w:cs="Calibri"/>
                <w:b/>
                <w:bCs/>
                <w:sz w:val="20"/>
                <w:szCs w:val="20"/>
              </w:rPr>
            </w:pPr>
          </w:p>
        </w:tc>
        <w:tc>
          <w:tcPr>
            <w:tcW w:w="775" w:type="dxa"/>
          </w:tcPr>
          <w:p w14:paraId="1ACE8D55" w14:textId="77777777" w:rsidR="00A70D06" w:rsidRPr="009B561A" w:rsidRDefault="00A70D06" w:rsidP="00A70D06">
            <w:pPr>
              <w:jc w:val="center"/>
              <w:rPr>
                <w:rFonts w:ascii="Calibri" w:hAnsi="Calibri" w:cs="Calibri"/>
                <w:b/>
                <w:bCs/>
                <w:sz w:val="20"/>
                <w:szCs w:val="20"/>
              </w:rPr>
            </w:pPr>
          </w:p>
        </w:tc>
        <w:tc>
          <w:tcPr>
            <w:tcW w:w="895" w:type="dxa"/>
          </w:tcPr>
          <w:p w14:paraId="0110C3BC"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7B31AC34" w14:textId="77777777" w:rsidR="00A70D06" w:rsidRPr="009B561A" w:rsidRDefault="00A70D06" w:rsidP="00A70D06">
            <w:pPr>
              <w:jc w:val="center"/>
              <w:rPr>
                <w:rFonts w:ascii="Calibri" w:hAnsi="Calibri" w:cs="Calibri"/>
                <w:b/>
                <w:bCs/>
                <w:sz w:val="20"/>
                <w:szCs w:val="20"/>
              </w:rPr>
            </w:pPr>
          </w:p>
        </w:tc>
      </w:tr>
      <w:tr w:rsidR="00A70D06" w:rsidRPr="009B561A" w14:paraId="115A3768" w14:textId="77777777" w:rsidTr="001B2A18">
        <w:tc>
          <w:tcPr>
            <w:tcW w:w="454" w:type="dxa"/>
          </w:tcPr>
          <w:p w14:paraId="42BEF55E"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18</w:t>
            </w:r>
          </w:p>
        </w:tc>
        <w:tc>
          <w:tcPr>
            <w:tcW w:w="5353" w:type="dxa"/>
          </w:tcPr>
          <w:p w14:paraId="32D7DCD5"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O Riordan et al (2019)</w:t>
            </w:r>
          </w:p>
          <w:p w14:paraId="1E3FAE5F" w14:textId="77777777" w:rsidR="00A70D06" w:rsidRPr="009B561A" w:rsidRDefault="00A70D06" w:rsidP="00A70D06">
            <w:pPr>
              <w:rPr>
                <w:rFonts w:ascii="Calibri" w:hAnsi="Calibri" w:cs="Calibri"/>
                <w:b/>
                <w:bCs/>
                <w:sz w:val="20"/>
                <w:szCs w:val="20"/>
              </w:rPr>
            </w:pPr>
            <w:r w:rsidRPr="009B561A">
              <w:rPr>
                <w:rFonts w:ascii="Calibri" w:hAnsi="Calibri" w:cs="Calibri"/>
                <w:sz w:val="20"/>
                <w:szCs w:val="20"/>
              </w:rPr>
              <w:t>An investigation of the effects of procalcitonin testing on antimicrobial prescribing in respiratory tract infections in an Irish university hospital setting: a feasibility study</w:t>
            </w:r>
          </w:p>
        </w:tc>
        <w:tc>
          <w:tcPr>
            <w:tcW w:w="710" w:type="dxa"/>
          </w:tcPr>
          <w:p w14:paraId="0C1147EF" w14:textId="77777777" w:rsidR="00A70D06" w:rsidRPr="009B561A" w:rsidRDefault="00A70D06" w:rsidP="00A70D06">
            <w:pPr>
              <w:jc w:val="center"/>
              <w:rPr>
                <w:rFonts w:ascii="Calibri" w:hAnsi="Calibri" w:cs="Calibri"/>
                <w:b/>
                <w:bCs/>
                <w:sz w:val="20"/>
                <w:szCs w:val="20"/>
              </w:rPr>
            </w:pPr>
          </w:p>
        </w:tc>
        <w:tc>
          <w:tcPr>
            <w:tcW w:w="775" w:type="dxa"/>
          </w:tcPr>
          <w:p w14:paraId="0E015200" w14:textId="77777777" w:rsidR="00A70D06" w:rsidRPr="009B561A" w:rsidRDefault="00A70D06" w:rsidP="00A70D06">
            <w:pPr>
              <w:jc w:val="center"/>
              <w:rPr>
                <w:rFonts w:ascii="Calibri" w:hAnsi="Calibri" w:cs="Calibri"/>
                <w:b/>
                <w:bCs/>
                <w:sz w:val="20"/>
                <w:szCs w:val="20"/>
              </w:rPr>
            </w:pPr>
          </w:p>
        </w:tc>
        <w:tc>
          <w:tcPr>
            <w:tcW w:w="895" w:type="dxa"/>
          </w:tcPr>
          <w:p w14:paraId="63B389FD"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79C18D64" w14:textId="77777777" w:rsidR="00A70D06" w:rsidRPr="009B561A" w:rsidRDefault="00A70D06" w:rsidP="00A70D06">
            <w:pPr>
              <w:jc w:val="center"/>
              <w:rPr>
                <w:rFonts w:ascii="Calibri" w:hAnsi="Calibri" w:cs="Calibri"/>
                <w:b/>
                <w:bCs/>
                <w:sz w:val="20"/>
                <w:szCs w:val="20"/>
              </w:rPr>
            </w:pPr>
          </w:p>
        </w:tc>
      </w:tr>
      <w:tr w:rsidR="00A70D06" w:rsidRPr="009B561A" w14:paraId="627F315D" w14:textId="77777777" w:rsidTr="001B2A18">
        <w:tc>
          <w:tcPr>
            <w:tcW w:w="454" w:type="dxa"/>
          </w:tcPr>
          <w:p w14:paraId="4D0C50D8"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19</w:t>
            </w:r>
          </w:p>
        </w:tc>
        <w:tc>
          <w:tcPr>
            <w:tcW w:w="5353" w:type="dxa"/>
          </w:tcPr>
          <w:p w14:paraId="6C8653EB"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O Riordan et al (2020)</w:t>
            </w:r>
          </w:p>
          <w:p w14:paraId="784E5C53"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A qualitative process evaluation of the introduction of procalcitonin testing as an antimicrobial stewardship intervention</w:t>
            </w:r>
          </w:p>
        </w:tc>
        <w:tc>
          <w:tcPr>
            <w:tcW w:w="710" w:type="dxa"/>
          </w:tcPr>
          <w:p w14:paraId="7138C307" w14:textId="77777777" w:rsidR="00A70D06" w:rsidRPr="009B561A" w:rsidRDefault="00A70D06" w:rsidP="00A70D06">
            <w:pPr>
              <w:jc w:val="center"/>
              <w:rPr>
                <w:rFonts w:ascii="Calibri" w:hAnsi="Calibri" w:cs="Calibri"/>
                <w:b/>
                <w:bCs/>
                <w:sz w:val="20"/>
                <w:szCs w:val="20"/>
              </w:rPr>
            </w:pPr>
          </w:p>
        </w:tc>
        <w:tc>
          <w:tcPr>
            <w:tcW w:w="775" w:type="dxa"/>
          </w:tcPr>
          <w:p w14:paraId="299ECC85"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95" w:type="dxa"/>
          </w:tcPr>
          <w:p w14:paraId="4C18D039"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6EF9069A" w14:textId="77777777" w:rsidR="00A70D06" w:rsidRPr="009B561A" w:rsidRDefault="00A70D06" w:rsidP="00A70D06">
            <w:pPr>
              <w:jc w:val="center"/>
              <w:rPr>
                <w:rFonts w:ascii="Calibri" w:hAnsi="Calibri" w:cs="Calibri"/>
                <w:b/>
                <w:bCs/>
                <w:sz w:val="20"/>
                <w:szCs w:val="20"/>
              </w:rPr>
            </w:pPr>
          </w:p>
        </w:tc>
      </w:tr>
      <w:tr w:rsidR="00A70D06" w:rsidRPr="009B561A" w14:paraId="52E0089B" w14:textId="77777777" w:rsidTr="001B2A18">
        <w:tc>
          <w:tcPr>
            <w:tcW w:w="454" w:type="dxa"/>
          </w:tcPr>
          <w:p w14:paraId="44959A85"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20</w:t>
            </w:r>
          </w:p>
        </w:tc>
        <w:tc>
          <w:tcPr>
            <w:tcW w:w="5353" w:type="dxa"/>
          </w:tcPr>
          <w:p w14:paraId="3A55C313"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O Sullivan (2020)</w:t>
            </w:r>
          </w:p>
          <w:p w14:paraId="072972D1" w14:textId="77777777" w:rsidR="00A70D06" w:rsidRPr="009B561A" w:rsidRDefault="00A70D06" w:rsidP="00A70D06">
            <w:pPr>
              <w:rPr>
                <w:rFonts w:ascii="Calibri" w:hAnsi="Calibri" w:cs="Calibri"/>
                <w:b/>
                <w:bCs/>
                <w:sz w:val="20"/>
                <w:szCs w:val="20"/>
              </w:rPr>
            </w:pPr>
            <w:r w:rsidRPr="009B561A">
              <w:rPr>
                <w:rFonts w:ascii="Calibri" w:hAnsi="Calibri" w:cs="Calibri"/>
                <w:sz w:val="20"/>
                <w:szCs w:val="20"/>
              </w:rPr>
              <w:t>Antimicrobial stewardship failure: time for a new model</w:t>
            </w:r>
          </w:p>
        </w:tc>
        <w:tc>
          <w:tcPr>
            <w:tcW w:w="710" w:type="dxa"/>
          </w:tcPr>
          <w:p w14:paraId="5C267745"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775" w:type="dxa"/>
          </w:tcPr>
          <w:p w14:paraId="4ABA6683" w14:textId="77777777" w:rsidR="00A70D06" w:rsidRPr="009B561A" w:rsidRDefault="00A70D06" w:rsidP="00A70D06">
            <w:pPr>
              <w:jc w:val="center"/>
              <w:rPr>
                <w:rFonts w:ascii="Calibri" w:hAnsi="Calibri" w:cs="Calibri"/>
                <w:b/>
                <w:bCs/>
                <w:sz w:val="20"/>
                <w:szCs w:val="20"/>
              </w:rPr>
            </w:pPr>
          </w:p>
        </w:tc>
        <w:tc>
          <w:tcPr>
            <w:tcW w:w="895" w:type="dxa"/>
          </w:tcPr>
          <w:p w14:paraId="6BFB7E43"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2A27C5E7" w14:textId="77777777" w:rsidR="00A70D06" w:rsidRPr="009B561A" w:rsidRDefault="00A70D06" w:rsidP="00A70D06">
            <w:pPr>
              <w:jc w:val="center"/>
              <w:rPr>
                <w:rFonts w:ascii="Calibri" w:hAnsi="Calibri" w:cs="Calibri"/>
                <w:b/>
                <w:bCs/>
                <w:sz w:val="20"/>
                <w:szCs w:val="20"/>
              </w:rPr>
            </w:pPr>
          </w:p>
        </w:tc>
      </w:tr>
      <w:tr w:rsidR="00A70D06" w:rsidRPr="009B561A" w14:paraId="35726DD2" w14:textId="77777777" w:rsidTr="001B2A18">
        <w:tc>
          <w:tcPr>
            <w:tcW w:w="454" w:type="dxa"/>
          </w:tcPr>
          <w:p w14:paraId="77B70C67"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21</w:t>
            </w:r>
          </w:p>
        </w:tc>
        <w:tc>
          <w:tcPr>
            <w:tcW w:w="5353" w:type="dxa"/>
          </w:tcPr>
          <w:p w14:paraId="4463D36A" w14:textId="77777777" w:rsidR="00A70D06" w:rsidRPr="009B561A" w:rsidRDefault="00A70D06" w:rsidP="00A70D06">
            <w:pPr>
              <w:rPr>
                <w:rFonts w:ascii="Calibri" w:hAnsi="Calibri" w:cs="Calibri"/>
                <w:b/>
                <w:bCs/>
                <w:sz w:val="20"/>
                <w:szCs w:val="20"/>
              </w:rPr>
            </w:pPr>
            <w:proofErr w:type="spellStart"/>
            <w:r w:rsidRPr="009B561A">
              <w:rPr>
                <w:rFonts w:ascii="Calibri" w:hAnsi="Calibri" w:cs="Calibri"/>
                <w:b/>
                <w:bCs/>
                <w:sz w:val="20"/>
                <w:szCs w:val="20"/>
              </w:rPr>
              <w:t>Plachouras</w:t>
            </w:r>
            <w:proofErr w:type="spellEnd"/>
            <w:r w:rsidRPr="009B561A">
              <w:rPr>
                <w:rFonts w:ascii="Calibri" w:hAnsi="Calibri" w:cs="Calibri"/>
                <w:b/>
                <w:bCs/>
                <w:sz w:val="20"/>
                <w:szCs w:val="20"/>
              </w:rPr>
              <w:t xml:space="preserve"> et al (2018)</w:t>
            </w:r>
          </w:p>
          <w:p w14:paraId="44B2570F"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Antimicrobial use in European acute care hospitals: results from the second point prevalence survey (PPS) of healthcare-associated infections and antimicrobial use, 2016 to 2017</w:t>
            </w:r>
          </w:p>
        </w:tc>
        <w:tc>
          <w:tcPr>
            <w:tcW w:w="710" w:type="dxa"/>
          </w:tcPr>
          <w:p w14:paraId="08C2B438"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775" w:type="dxa"/>
          </w:tcPr>
          <w:p w14:paraId="30886CAF" w14:textId="77777777" w:rsidR="00A70D06" w:rsidRPr="009B561A" w:rsidRDefault="00A70D06" w:rsidP="00A70D06">
            <w:pPr>
              <w:jc w:val="center"/>
              <w:rPr>
                <w:rFonts w:ascii="Calibri" w:hAnsi="Calibri" w:cs="Calibri"/>
                <w:b/>
                <w:bCs/>
                <w:sz w:val="20"/>
                <w:szCs w:val="20"/>
              </w:rPr>
            </w:pPr>
          </w:p>
        </w:tc>
        <w:tc>
          <w:tcPr>
            <w:tcW w:w="895" w:type="dxa"/>
          </w:tcPr>
          <w:p w14:paraId="7CBE5315" w14:textId="77777777" w:rsidR="00A70D06" w:rsidRPr="009B561A" w:rsidRDefault="00A70D06" w:rsidP="00A70D06">
            <w:pPr>
              <w:jc w:val="center"/>
              <w:rPr>
                <w:rFonts w:ascii="Calibri" w:hAnsi="Calibri" w:cs="Calibri"/>
                <w:b/>
                <w:bCs/>
                <w:sz w:val="20"/>
                <w:szCs w:val="20"/>
              </w:rPr>
            </w:pPr>
          </w:p>
        </w:tc>
        <w:tc>
          <w:tcPr>
            <w:tcW w:w="829" w:type="dxa"/>
          </w:tcPr>
          <w:p w14:paraId="2C8640D8" w14:textId="77777777" w:rsidR="00A70D06" w:rsidRPr="009B561A" w:rsidRDefault="00A70D06" w:rsidP="00A70D06">
            <w:pPr>
              <w:jc w:val="center"/>
              <w:rPr>
                <w:rFonts w:ascii="Calibri" w:hAnsi="Calibri" w:cs="Calibri"/>
                <w:b/>
                <w:bCs/>
                <w:sz w:val="20"/>
                <w:szCs w:val="20"/>
              </w:rPr>
            </w:pPr>
          </w:p>
        </w:tc>
      </w:tr>
      <w:tr w:rsidR="00A70D06" w:rsidRPr="009B561A" w14:paraId="2516B0B2" w14:textId="77777777" w:rsidTr="001B2A18">
        <w:tc>
          <w:tcPr>
            <w:tcW w:w="454" w:type="dxa"/>
          </w:tcPr>
          <w:p w14:paraId="01EBD27B"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22</w:t>
            </w:r>
          </w:p>
        </w:tc>
        <w:tc>
          <w:tcPr>
            <w:tcW w:w="5353" w:type="dxa"/>
          </w:tcPr>
          <w:p w14:paraId="4EF66D35"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Pulcini et al (2017)</w:t>
            </w:r>
          </w:p>
          <w:p w14:paraId="5EC870C2" w14:textId="77777777" w:rsidR="00A70D06" w:rsidRPr="009B561A" w:rsidRDefault="00A70D06" w:rsidP="00A70D06">
            <w:pPr>
              <w:rPr>
                <w:rFonts w:ascii="Calibri" w:hAnsi="Calibri" w:cs="Calibri"/>
                <w:b/>
                <w:bCs/>
                <w:sz w:val="20"/>
                <w:szCs w:val="20"/>
              </w:rPr>
            </w:pPr>
            <w:r w:rsidRPr="009B561A">
              <w:rPr>
                <w:rFonts w:ascii="Calibri" w:hAnsi="Calibri" w:cs="Calibri"/>
                <w:sz w:val="20"/>
                <w:szCs w:val="20"/>
              </w:rPr>
              <w:t>Selective reporting of antibiotic susceptibility test results in European countries: an ESCMID cross-sectional survey</w:t>
            </w:r>
          </w:p>
        </w:tc>
        <w:tc>
          <w:tcPr>
            <w:tcW w:w="710" w:type="dxa"/>
          </w:tcPr>
          <w:p w14:paraId="4A9A9F8A" w14:textId="77777777" w:rsidR="00A70D06" w:rsidRPr="009B561A" w:rsidRDefault="00A70D06" w:rsidP="00A70D06">
            <w:pPr>
              <w:jc w:val="center"/>
              <w:rPr>
                <w:rFonts w:ascii="Calibri" w:hAnsi="Calibri" w:cs="Calibri"/>
                <w:b/>
                <w:bCs/>
                <w:sz w:val="20"/>
                <w:szCs w:val="20"/>
              </w:rPr>
            </w:pPr>
          </w:p>
        </w:tc>
        <w:tc>
          <w:tcPr>
            <w:tcW w:w="775" w:type="dxa"/>
          </w:tcPr>
          <w:p w14:paraId="28E73B8A" w14:textId="77777777" w:rsidR="00A70D06" w:rsidRPr="009B561A" w:rsidRDefault="00A70D06" w:rsidP="00A70D06">
            <w:pPr>
              <w:jc w:val="center"/>
              <w:rPr>
                <w:rFonts w:ascii="Calibri" w:hAnsi="Calibri" w:cs="Calibri"/>
                <w:b/>
                <w:bCs/>
                <w:sz w:val="20"/>
                <w:szCs w:val="20"/>
              </w:rPr>
            </w:pPr>
          </w:p>
        </w:tc>
        <w:tc>
          <w:tcPr>
            <w:tcW w:w="895" w:type="dxa"/>
          </w:tcPr>
          <w:p w14:paraId="49E3DEC5"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45E609E7" w14:textId="77777777" w:rsidR="00A70D06" w:rsidRPr="009B561A" w:rsidRDefault="00A70D06" w:rsidP="00A70D06">
            <w:pPr>
              <w:jc w:val="center"/>
              <w:rPr>
                <w:rFonts w:ascii="Calibri" w:hAnsi="Calibri" w:cs="Calibri"/>
                <w:b/>
                <w:bCs/>
                <w:sz w:val="20"/>
                <w:szCs w:val="20"/>
              </w:rPr>
            </w:pPr>
          </w:p>
        </w:tc>
      </w:tr>
      <w:tr w:rsidR="00A70D06" w:rsidRPr="009B561A" w14:paraId="5D10619A" w14:textId="77777777" w:rsidTr="001B2A18">
        <w:tc>
          <w:tcPr>
            <w:tcW w:w="454" w:type="dxa"/>
          </w:tcPr>
          <w:p w14:paraId="728564F8"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23</w:t>
            </w:r>
          </w:p>
        </w:tc>
        <w:tc>
          <w:tcPr>
            <w:tcW w:w="5353" w:type="dxa"/>
          </w:tcPr>
          <w:p w14:paraId="027F62CD" w14:textId="77777777" w:rsidR="00A70D06" w:rsidRPr="009B561A" w:rsidRDefault="00A70D06" w:rsidP="00A70D06">
            <w:pPr>
              <w:rPr>
                <w:rFonts w:ascii="Calibri" w:hAnsi="Calibri" w:cs="Calibri"/>
                <w:b/>
                <w:bCs/>
                <w:sz w:val="20"/>
                <w:szCs w:val="20"/>
              </w:rPr>
            </w:pPr>
            <w:proofErr w:type="spellStart"/>
            <w:r w:rsidRPr="009B561A">
              <w:rPr>
                <w:rFonts w:ascii="Calibri" w:hAnsi="Calibri" w:cs="Calibri"/>
                <w:b/>
                <w:bCs/>
                <w:sz w:val="20"/>
                <w:szCs w:val="20"/>
              </w:rPr>
              <w:t>Ricchizzi</w:t>
            </w:r>
            <w:proofErr w:type="spellEnd"/>
            <w:r w:rsidRPr="009B561A">
              <w:rPr>
                <w:rFonts w:ascii="Calibri" w:hAnsi="Calibri" w:cs="Calibri"/>
                <w:b/>
                <w:bCs/>
                <w:sz w:val="20"/>
                <w:szCs w:val="20"/>
              </w:rPr>
              <w:t xml:space="preserve"> et al. (2018)</w:t>
            </w:r>
          </w:p>
          <w:p w14:paraId="6B932FBF" w14:textId="2DF56FD1" w:rsidR="00A70D06" w:rsidRPr="009B561A" w:rsidRDefault="00A70D06" w:rsidP="00A70D06">
            <w:pPr>
              <w:rPr>
                <w:rFonts w:ascii="Calibri" w:hAnsi="Calibri" w:cs="Calibri"/>
                <w:sz w:val="20"/>
                <w:szCs w:val="20"/>
              </w:rPr>
            </w:pPr>
            <w:r w:rsidRPr="009B561A">
              <w:rPr>
                <w:rFonts w:ascii="Calibri" w:hAnsi="Calibri" w:cs="Calibri"/>
                <w:sz w:val="20"/>
                <w:szCs w:val="20"/>
              </w:rPr>
              <w:t>Antimicrobial use in European long-term care facilities: results from the third point prevalence survey of healthcare-associated infections and antimicrobial use, 2016 to 2017</w:t>
            </w:r>
          </w:p>
        </w:tc>
        <w:tc>
          <w:tcPr>
            <w:tcW w:w="710" w:type="dxa"/>
          </w:tcPr>
          <w:p w14:paraId="089B967F" w14:textId="77777777" w:rsidR="00A70D06" w:rsidRPr="009B561A" w:rsidRDefault="00A70D06" w:rsidP="00A70D06">
            <w:pPr>
              <w:jc w:val="center"/>
              <w:rPr>
                <w:rFonts w:ascii="Calibri" w:hAnsi="Calibri" w:cs="Calibri"/>
                <w:sz w:val="20"/>
                <w:szCs w:val="20"/>
              </w:rPr>
            </w:pPr>
          </w:p>
        </w:tc>
        <w:tc>
          <w:tcPr>
            <w:tcW w:w="775" w:type="dxa"/>
          </w:tcPr>
          <w:p w14:paraId="53E92D06" w14:textId="77777777" w:rsidR="00A70D06" w:rsidRPr="009B561A" w:rsidRDefault="00A70D06" w:rsidP="00A70D06">
            <w:pPr>
              <w:jc w:val="center"/>
              <w:rPr>
                <w:rFonts w:ascii="Calibri" w:hAnsi="Calibri" w:cs="Calibri"/>
                <w:sz w:val="20"/>
                <w:szCs w:val="20"/>
              </w:rPr>
            </w:pPr>
          </w:p>
        </w:tc>
        <w:tc>
          <w:tcPr>
            <w:tcW w:w="895" w:type="dxa"/>
          </w:tcPr>
          <w:p w14:paraId="3371236F" w14:textId="77777777" w:rsidR="00A70D06" w:rsidRPr="009B561A" w:rsidRDefault="00A70D06" w:rsidP="00A70D06">
            <w:pPr>
              <w:jc w:val="center"/>
              <w:rPr>
                <w:rFonts w:ascii="Calibri" w:hAnsi="Calibri" w:cs="Calibri"/>
                <w:b/>
                <w:bCs/>
                <w:sz w:val="20"/>
                <w:szCs w:val="20"/>
              </w:rPr>
            </w:pPr>
          </w:p>
        </w:tc>
        <w:tc>
          <w:tcPr>
            <w:tcW w:w="829" w:type="dxa"/>
          </w:tcPr>
          <w:p w14:paraId="16693484"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r>
      <w:tr w:rsidR="00A70D06" w:rsidRPr="009B561A" w14:paraId="079FA0BF" w14:textId="77777777" w:rsidTr="001B2A18">
        <w:tc>
          <w:tcPr>
            <w:tcW w:w="454" w:type="dxa"/>
          </w:tcPr>
          <w:p w14:paraId="587D2CE2"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24</w:t>
            </w:r>
          </w:p>
        </w:tc>
        <w:tc>
          <w:tcPr>
            <w:tcW w:w="5353" w:type="dxa"/>
          </w:tcPr>
          <w:p w14:paraId="552FAF12"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Stevens et al (2019)</w:t>
            </w:r>
          </w:p>
          <w:p w14:paraId="215C1EA2"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Is online case-based learning effective in helping undergraduate medical students choose the appropriate antibiotics to treat important infections?</w:t>
            </w:r>
          </w:p>
        </w:tc>
        <w:tc>
          <w:tcPr>
            <w:tcW w:w="710" w:type="dxa"/>
          </w:tcPr>
          <w:p w14:paraId="660FDF34"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775" w:type="dxa"/>
          </w:tcPr>
          <w:p w14:paraId="09F2AA22" w14:textId="77777777" w:rsidR="00A70D06" w:rsidRPr="009B561A" w:rsidRDefault="00A70D06" w:rsidP="00A70D06">
            <w:pPr>
              <w:jc w:val="center"/>
              <w:rPr>
                <w:rFonts w:ascii="Calibri" w:hAnsi="Calibri" w:cs="Calibri"/>
                <w:sz w:val="20"/>
                <w:szCs w:val="20"/>
              </w:rPr>
            </w:pPr>
          </w:p>
        </w:tc>
        <w:tc>
          <w:tcPr>
            <w:tcW w:w="895" w:type="dxa"/>
          </w:tcPr>
          <w:p w14:paraId="3D757E78" w14:textId="77777777" w:rsidR="00A70D06" w:rsidRPr="009B561A" w:rsidRDefault="00A70D06" w:rsidP="00A70D06">
            <w:pPr>
              <w:jc w:val="center"/>
              <w:rPr>
                <w:rFonts w:ascii="Calibri" w:hAnsi="Calibri" w:cs="Calibri"/>
                <w:b/>
                <w:bCs/>
                <w:sz w:val="20"/>
                <w:szCs w:val="20"/>
              </w:rPr>
            </w:pPr>
          </w:p>
        </w:tc>
        <w:tc>
          <w:tcPr>
            <w:tcW w:w="829" w:type="dxa"/>
          </w:tcPr>
          <w:p w14:paraId="5F818A33" w14:textId="77777777" w:rsidR="00A70D06" w:rsidRPr="009B561A" w:rsidRDefault="00A70D06" w:rsidP="00A70D06">
            <w:pPr>
              <w:jc w:val="center"/>
              <w:rPr>
                <w:rFonts w:ascii="Calibri" w:hAnsi="Calibri" w:cs="Calibri"/>
                <w:b/>
                <w:bCs/>
                <w:sz w:val="20"/>
                <w:szCs w:val="20"/>
              </w:rPr>
            </w:pPr>
          </w:p>
        </w:tc>
      </w:tr>
      <w:tr w:rsidR="00A70D06" w:rsidRPr="009B561A" w14:paraId="05422C47" w14:textId="77777777" w:rsidTr="001B2A18">
        <w:tc>
          <w:tcPr>
            <w:tcW w:w="454" w:type="dxa"/>
          </w:tcPr>
          <w:p w14:paraId="11E6672D"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25</w:t>
            </w:r>
          </w:p>
        </w:tc>
        <w:tc>
          <w:tcPr>
            <w:tcW w:w="5353" w:type="dxa"/>
          </w:tcPr>
          <w:p w14:paraId="4F10EE22"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Tandan et al (2018)</w:t>
            </w:r>
          </w:p>
          <w:p w14:paraId="578C5E73" w14:textId="54898B4A" w:rsidR="00B26031" w:rsidRPr="009B561A" w:rsidRDefault="00A70D06" w:rsidP="00A70D06">
            <w:pPr>
              <w:rPr>
                <w:rFonts w:ascii="Calibri" w:hAnsi="Calibri" w:cs="Calibri"/>
                <w:sz w:val="20"/>
                <w:szCs w:val="20"/>
              </w:rPr>
            </w:pPr>
            <w:r w:rsidRPr="009B561A">
              <w:rPr>
                <w:rFonts w:ascii="Calibri" w:hAnsi="Calibri" w:cs="Calibri"/>
                <w:sz w:val="20"/>
                <w:szCs w:val="20"/>
              </w:rPr>
              <w:t>Antimicrobial prescribing and infections in long-term care facilities (LTCF): a multilevel analysis of the HALT 2016 study, Ireland, 2017</w:t>
            </w:r>
          </w:p>
        </w:tc>
        <w:tc>
          <w:tcPr>
            <w:tcW w:w="710" w:type="dxa"/>
          </w:tcPr>
          <w:p w14:paraId="3F104249" w14:textId="77777777" w:rsidR="00A70D06" w:rsidRPr="009B561A" w:rsidRDefault="00A70D06" w:rsidP="00A70D06">
            <w:pPr>
              <w:jc w:val="center"/>
              <w:rPr>
                <w:rFonts w:ascii="Calibri" w:hAnsi="Calibri" w:cs="Calibri"/>
                <w:sz w:val="20"/>
                <w:szCs w:val="20"/>
              </w:rPr>
            </w:pPr>
          </w:p>
        </w:tc>
        <w:tc>
          <w:tcPr>
            <w:tcW w:w="775" w:type="dxa"/>
          </w:tcPr>
          <w:p w14:paraId="6DCBC28F" w14:textId="77777777" w:rsidR="00A70D06" w:rsidRPr="009B561A" w:rsidRDefault="00A70D06" w:rsidP="00A70D06">
            <w:pPr>
              <w:jc w:val="center"/>
              <w:rPr>
                <w:rFonts w:ascii="Calibri" w:hAnsi="Calibri" w:cs="Calibri"/>
                <w:sz w:val="20"/>
                <w:szCs w:val="20"/>
              </w:rPr>
            </w:pPr>
          </w:p>
        </w:tc>
        <w:tc>
          <w:tcPr>
            <w:tcW w:w="895" w:type="dxa"/>
          </w:tcPr>
          <w:p w14:paraId="3CF3D233"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70D3B7E1" w14:textId="77777777" w:rsidR="00A70D06" w:rsidRPr="009B561A" w:rsidRDefault="00A70D06" w:rsidP="00A70D06">
            <w:pPr>
              <w:jc w:val="center"/>
              <w:rPr>
                <w:rFonts w:ascii="Calibri" w:hAnsi="Calibri" w:cs="Calibri"/>
                <w:b/>
                <w:bCs/>
                <w:sz w:val="20"/>
                <w:szCs w:val="20"/>
              </w:rPr>
            </w:pPr>
          </w:p>
        </w:tc>
      </w:tr>
      <w:tr w:rsidR="00A70D06" w:rsidRPr="009B561A" w14:paraId="081A9A18" w14:textId="77777777" w:rsidTr="001B2A18">
        <w:tc>
          <w:tcPr>
            <w:tcW w:w="454" w:type="dxa"/>
          </w:tcPr>
          <w:p w14:paraId="56A944E2"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26</w:t>
            </w:r>
          </w:p>
        </w:tc>
        <w:tc>
          <w:tcPr>
            <w:tcW w:w="5353" w:type="dxa"/>
          </w:tcPr>
          <w:p w14:paraId="36C46892"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Tandan et al. (2019)</w:t>
            </w:r>
          </w:p>
          <w:p w14:paraId="0B908630" w14:textId="3BCF7613" w:rsidR="00A70D06" w:rsidRPr="009B561A" w:rsidRDefault="00A70D06" w:rsidP="00A70D06">
            <w:pPr>
              <w:rPr>
                <w:rFonts w:ascii="Calibri" w:hAnsi="Calibri" w:cs="Calibri"/>
                <w:sz w:val="20"/>
                <w:szCs w:val="20"/>
              </w:rPr>
            </w:pPr>
            <w:r w:rsidRPr="009B561A">
              <w:rPr>
                <w:rFonts w:ascii="Calibri" w:hAnsi="Calibri" w:cs="Calibri"/>
                <w:sz w:val="20"/>
                <w:szCs w:val="20"/>
              </w:rPr>
              <w:t>A comparative analysis of prophylactic antimicrobial use in long-term care facilities in Ireland, 2013 and 2016</w:t>
            </w:r>
          </w:p>
        </w:tc>
        <w:tc>
          <w:tcPr>
            <w:tcW w:w="710" w:type="dxa"/>
          </w:tcPr>
          <w:p w14:paraId="427889D9" w14:textId="77777777" w:rsidR="00A70D06" w:rsidRPr="009B561A" w:rsidRDefault="00A70D06" w:rsidP="00A70D06">
            <w:pPr>
              <w:jc w:val="center"/>
              <w:rPr>
                <w:rFonts w:ascii="Calibri" w:hAnsi="Calibri" w:cs="Calibri"/>
                <w:sz w:val="20"/>
                <w:szCs w:val="20"/>
              </w:rPr>
            </w:pPr>
          </w:p>
        </w:tc>
        <w:tc>
          <w:tcPr>
            <w:tcW w:w="775" w:type="dxa"/>
          </w:tcPr>
          <w:p w14:paraId="254D1C54" w14:textId="77777777" w:rsidR="00A70D06" w:rsidRPr="009B561A" w:rsidRDefault="00A70D06" w:rsidP="00A70D06">
            <w:pPr>
              <w:jc w:val="center"/>
              <w:rPr>
                <w:rFonts w:ascii="Calibri" w:hAnsi="Calibri" w:cs="Calibri"/>
                <w:sz w:val="20"/>
                <w:szCs w:val="20"/>
              </w:rPr>
            </w:pPr>
          </w:p>
        </w:tc>
        <w:tc>
          <w:tcPr>
            <w:tcW w:w="895" w:type="dxa"/>
          </w:tcPr>
          <w:p w14:paraId="1A449BD5"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551B01A2"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r>
      <w:tr w:rsidR="00A70D06" w:rsidRPr="009B561A" w14:paraId="16B92694" w14:textId="77777777" w:rsidTr="001B2A18">
        <w:tc>
          <w:tcPr>
            <w:tcW w:w="454" w:type="dxa"/>
          </w:tcPr>
          <w:p w14:paraId="7F962FF4"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27</w:t>
            </w:r>
          </w:p>
        </w:tc>
        <w:tc>
          <w:tcPr>
            <w:tcW w:w="5353" w:type="dxa"/>
          </w:tcPr>
          <w:p w14:paraId="3FBAAE68"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Tandan et al. (2018)</w:t>
            </w:r>
          </w:p>
          <w:p w14:paraId="77C1B4E7"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Improving Antimicrobial Prescribing: A Multinomial Model</w:t>
            </w:r>
          </w:p>
          <w:p w14:paraId="5D45FC0D"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 xml:space="preserve">Identifying Factors Associated With First- and </w:t>
            </w:r>
            <w:proofErr w:type="gramStart"/>
            <w:r w:rsidRPr="009B561A">
              <w:rPr>
                <w:rFonts w:ascii="Calibri" w:hAnsi="Calibri" w:cs="Calibri"/>
                <w:sz w:val="20"/>
                <w:szCs w:val="20"/>
              </w:rPr>
              <w:t>Second-Line</w:t>
            </w:r>
            <w:proofErr w:type="gramEnd"/>
          </w:p>
          <w:p w14:paraId="60E35B8F"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lastRenderedPageBreak/>
              <w:t>Prescribing</w:t>
            </w:r>
          </w:p>
        </w:tc>
        <w:tc>
          <w:tcPr>
            <w:tcW w:w="710" w:type="dxa"/>
          </w:tcPr>
          <w:p w14:paraId="0D3C58D1" w14:textId="77777777" w:rsidR="00A70D06" w:rsidRPr="009B561A" w:rsidRDefault="00A70D06" w:rsidP="00A70D06">
            <w:pPr>
              <w:jc w:val="center"/>
              <w:rPr>
                <w:rFonts w:ascii="Calibri" w:hAnsi="Calibri" w:cs="Calibri"/>
                <w:sz w:val="20"/>
                <w:szCs w:val="20"/>
              </w:rPr>
            </w:pPr>
          </w:p>
        </w:tc>
        <w:tc>
          <w:tcPr>
            <w:tcW w:w="775" w:type="dxa"/>
          </w:tcPr>
          <w:p w14:paraId="5F27F190" w14:textId="77777777" w:rsidR="00A70D06" w:rsidRPr="009B561A" w:rsidRDefault="00A70D06" w:rsidP="00A70D06">
            <w:pPr>
              <w:jc w:val="center"/>
              <w:rPr>
                <w:rFonts w:ascii="Calibri" w:hAnsi="Calibri" w:cs="Calibri"/>
                <w:sz w:val="20"/>
                <w:szCs w:val="20"/>
              </w:rPr>
            </w:pPr>
          </w:p>
        </w:tc>
        <w:tc>
          <w:tcPr>
            <w:tcW w:w="895" w:type="dxa"/>
          </w:tcPr>
          <w:p w14:paraId="1A6AFE87"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15B33306"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r>
      <w:tr w:rsidR="00A70D06" w:rsidRPr="009B561A" w14:paraId="2318F81C" w14:textId="77777777" w:rsidTr="001B2A18">
        <w:tc>
          <w:tcPr>
            <w:tcW w:w="454" w:type="dxa"/>
          </w:tcPr>
          <w:p w14:paraId="5809B47C"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28</w:t>
            </w:r>
          </w:p>
        </w:tc>
        <w:tc>
          <w:tcPr>
            <w:tcW w:w="5353" w:type="dxa"/>
          </w:tcPr>
          <w:p w14:paraId="075DE625"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Tiszai-Szucs et al. (2018)</w:t>
            </w:r>
          </w:p>
          <w:p w14:paraId="3852DEE7"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Feasibility of Antimicrobial Stewardship (AMS) in Critical Care Settings: A Multidisciplinary Approach Strategy</w:t>
            </w:r>
          </w:p>
        </w:tc>
        <w:tc>
          <w:tcPr>
            <w:tcW w:w="710" w:type="dxa"/>
          </w:tcPr>
          <w:p w14:paraId="5E3E0601" w14:textId="77777777" w:rsidR="00A70D06" w:rsidRPr="009B561A" w:rsidRDefault="00A70D06" w:rsidP="00A70D06">
            <w:pPr>
              <w:jc w:val="center"/>
              <w:rPr>
                <w:rFonts w:ascii="Calibri" w:hAnsi="Calibri" w:cs="Calibri"/>
                <w:sz w:val="20"/>
                <w:szCs w:val="20"/>
              </w:rPr>
            </w:pPr>
          </w:p>
        </w:tc>
        <w:tc>
          <w:tcPr>
            <w:tcW w:w="775" w:type="dxa"/>
          </w:tcPr>
          <w:p w14:paraId="0C793626" w14:textId="77777777" w:rsidR="00A70D06" w:rsidRPr="009B561A" w:rsidRDefault="00A70D06" w:rsidP="00A70D06">
            <w:pPr>
              <w:jc w:val="center"/>
              <w:rPr>
                <w:rFonts w:ascii="Calibri" w:hAnsi="Calibri" w:cs="Calibri"/>
                <w:sz w:val="20"/>
                <w:szCs w:val="20"/>
              </w:rPr>
            </w:pPr>
          </w:p>
        </w:tc>
        <w:tc>
          <w:tcPr>
            <w:tcW w:w="895" w:type="dxa"/>
          </w:tcPr>
          <w:p w14:paraId="211F04DB"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29" w:type="dxa"/>
          </w:tcPr>
          <w:p w14:paraId="3E0A101D"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r>
      <w:tr w:rsidR="00A70D06" w:rsidRPr="009B561A" w14:paraId="0B12FFBD" w14:textId="77777777" w:rsidTr="001B2A18">
        <w:tc>
          <w:tcPr>
            <w:tcW w:w="454" w:type="dxa"/>
          </w:tcPr>
          <w:p w14:paraId="0FF32045"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29</w:t>
            </w:r>
          </w:p>
        </w:tc>
        <w:tc>
          <w:tcPr>
            <w:tcW w:w="5353" w:type="dxa"/>
          </w:tcPr>
          <w:p w14:paraId="7D299F39" w14:textId="77777777" w:rsidR="00A70D06" w:rsidRPr="009B561A" w:rsidRDefault="00A70D06" w:rsidP="00A70D06">
            <w:pPr>
              <w:rPr>
                <w:rFonts w:ascii="Calibri" w:hAnsi="Calibri" w:cs="Calibri"/>
                <w:b/>
                <w:bCs/>
                <w:sz w:val="20"/>
                <w:szCs w:val="20"/>
              </w:rPr>
            </w:pPr>
            <w:r w:rsidRPr="009B561A">
              <w:rPr>
                <w:rFonts w:ascii="Calibri" w:hAnsi="Calibri" w:cs="Calibri"/>
                <w:b/>
                <w:bCs/>
                <w:sz w:val="20"/>
                <w:szCs w:val="20"/>
              </w:rPr>
              <w:t>Vellinga et al (2011)</w:t>
            </w:r>
          </w:p>
          <w:p w14:paraId="40CE5BB2" w14:textId="77777777" w:rsidR="00A70D06" w:rsidRPr="009B561A" w:rsidRDefault="00A70D06" w:rsidP="00A70D06">
            <w:pPr>
              <w:rPr>
                <w:rFonts w:ascii="Calibri" w:hAnsi="Calibri" w:cs="Calibri"/>
                <w:sz w:val="20"/>
                <w:szCs w:val="20"/>
              </w:rPr>
            </w:pPr>
            <w:r w:rsidRPr="009B561A">
              <w:rPr>
                <w:rFonts w:ascii="Calibri" w:hAnsi="Calibri" w:cs="Calibri"/>
                <w:sz w:val="20"/>
                <w:szCs w:val="20"/>
              </w:rPr>
              <w:t>Antimicrobial management and appropriateness of treatment of urinary tract infection in general practice in Ireland</w:t>
            </w:r>
          </w:p>
        </w:tc>
        <w:tc>
          <w:tcPr>
            <w:tcW w:w="710" w:type="dxa"/>
          </w:tcPr>
          <w:p w14:paraId="47A09D98" w14:textId="77777777" w:rsidR="00A70D06" w:rsidRPr="009B561A" w:rsidRDefault="00A70D06" w:rsidP="00A70D06">
            <w:pPr>
              <w:jc w:val="center"/>
              <w:rPr>
                <w:rFonts w:ascii="Calibri" w:hAnsi="Calibri" w:cs="Calibri"/>
                <w:sz w:val="20"/>
                <w:szCs w:val="20"/>
              </w:rPr>
            </w:pPr>
          </w:p>
        </w:tc>
        <w:tc>
          <w:tcPr>
            <w:tcW w:w="775" w:type="dxa"/>
          </w:tcPr>
          <w:p w14:paraId="77CAB991" w14:textId="77777777" w:rsidR="00A70D06" w:rsidRPr="009B561A" w:rsidRDefault="00A70D06" w:rsidP="00A70D06">
            <w:pPr>
              <w:jc w:val="center"/>
              <w:rPr>
                <w:rFonts w:ascii="Calibri" w:hAnsi="Calibri" w:cs="Calibri"/>
                <w:b/>
                <w:bCs/>
                <w:sz w:val="20"/>
                <w:szCs w:val="20"/>
              </w:rPr>
            </w:pPr>
            <w:r w:rsidRPr="009B561A">
              <w:rPr>
                <w:rFonts w:ascii="Calibri" w:hAnsi="Calibri" w:cs="Calibri"/>
                <w:b/>
                <w:bCs/>
                <w:sz w:val="20"/>
                <w:szCs w:val="20"/>
              </w:rPr>
              <w:t>X</w:t>
            </w:r>
          </w:p>
        </w:tc>
        <w:tc>
          <w:tcPr>
            <w:tcW w:w="895" w:type="dxa"/>
          </w:tcPr>
          <w:p w14:paraId="373DD85A" w14:textId="77777777" w:rsidR="00A70D06" w:rsidRPr="009B561A" w:rsidRDefault="00A70D06" w:rsidP="00A70D06">
            <w:pPr>
              <w:jc w:val="center"/>
              <w:rPr>
                <w:rFonts w:ascii="Calibri" w:hAnsi="Calibri" w:cs="Calibri"/>
                <w:sz w:val="20"/>
                <w:szCs w:val="20"/>
              </w:rPr>
            </w:pPr>
          </w:p>
        </w:tc>
        <w:tc>
          <w:tcPr>
            <w:tcW w:w="829" w:type="dxa"/>
          </w:tcPr>
          <w:p w14:paraId="5AA1C518" w14:textId="77777777" w:rsidR="00A70D06" w:rsidRPr="009B561A" w:rsidRDefault="00A70D06" w:rsidP="00A70D06">
            <w:pPr>
              <w:jc w:val="center"/>
              <w:rPr>
                <w:rFonts w:ascii="Calibri" w:hAnsi="Calibri" w:cs="Calibri"/>
                <w:sz w:val="20"/>
                <w:szCs w:val="20"/>
              </w:rPr>
            </w:pPr>
          </w:p>
        </w:tc>
      </w:tr>
    </w:tbl>
    <w:p w14:paraId="72E9BD37" w14:textId="77777777" w:rsidR="00A70D06" w:rsidRPr="009B561A" w:rsidRDefault="00A70D06" w:rsidP="00A70D06">
      <w:pPr>
        <w:pStyle w:val="ListParagraph"/>
        <w:spacing w:line="240" w:lineRule="auto"/>
        <w:rPr>
          <w:rFonts w:ascii="Calibri" w:hAnsi="Calibri" w:cs="Calibri"/>
          <w:b/>
          <w:bCs/>
          <w:color w:val="000000" w:themeColor="text1"/>
          <w:sz w:val="20"/>
          <w:szCs w:val="20"/>
        </w:rPr>
      </w:pPr>
    </w:p>
    <w:p w14:paraId="0C0CD2BB" w14:textId="77777777" w:rsidR="00A70D06" w:rsidRPr="009B561A" w:rsidRDefault="00A70D06" w:rsidP="00A70D06">
      <w:pPr>
        <w:spacing w:line="240" w:lineRule="auto"/>
        <w:rPr>
          <w:rFonts w:ascii="Calibri" w:hAnsi="Calibri" w:cs="Calibri"/>
          <w:sz w:val="20"/>
          <w:szCs w:val="20"/>
        </w:rPr>
      </w:pPr>
    </w:p>
    <w:p w14:paraId="62FD0B33" w14:textId="77777777" w:rsidR="00A70D06" w:rsidRPr="009B561A" w:rsidRDefault="00A70D06" w:rsidP="00A70D06">
      <w:pPr>
        <w:spacing w:line="240" w:lineRule="auto"/>
        <w:rPr>
          <w:rFonts w:ascii="Calibri" w:hAnsi="Calibri" w:cs="Calibri"/>
          <w:b/>
          <w:bCs/>
          <w:sz w:val="20"/>
          <w:szCs w:val="20"/>
        </w:rPr>
      </w:pPr>
    </w:p>
    <w:p w14:paraId="55B689C1" w14:textId="77777777" w:rsidR="00A70D06" w:rsidRPr="009B561A" w:rsidRDefault="00A70D06" w:rsidP="00A70D06">
      <w:pPr>
        <w:spacing w:line="360" w:lineRule="auto"/>
        <w:rPr>
          <w:rFonts w:ascii="Calibri" w:hAnsi="Calibri" w:cs="Calibri"/>
          <w:b/>
          <w:bCs/>
          <w:sz w:val="20"/>
          <w:szCs w:val="20"/>
        </w:rPr>
      </w:pPr>
    </w:p>
    <w:p w14:paraId="2DFC1C28" w14:textId="77777777" w:rsidR="00A020F5" w:rsidRPr="009B561A" w:rsidRDefault="00A020F5" w:rsidP="00A70D06">
      <w:pPr>
        <w:spacing w:line="360" w:lineRule="auto"/>
        <w:rPr>
          <w:rFonts w:ascii="Calibri" w:hAnsi="Calibri" w:cs="Calibri"/>
          <w:b/>
          <w:bCs/>
          <w:sz w:val="20"/>
          <w:szCs w:val="20"/>
        </w:rPr>
      </w:pPr>
    </w:p>
    <w:p w14:paraId="59152B0D" w14:textId="77777777" w:rsidR="00A020F5" w:rsidRPr="009B561A" w:rsidRDefault="00A020F5" w:rsidP="00A70D06">
      <w:pPr>
        <w:spacing w:line="360" w:lineRule="auto"/>
        <w:rPr>
          <w:rFonts w:ascii="Calibri" w:hAnsi="Calibri" w:cs="Calibri"/>
          <w:b/>
          <w:bCs/>
          <w:sz w:val="20"/>
          <w:szCs w:val="20"/>
        </w:rPr>
      </w:pPr>
    </w:p>
    <w:p w14:paraId="48C68962" w14:textId="77777777" w:rsidR="00A020F5" w:rsidRPr="009B561A" w:rsidRDefault="00A020F5" w:rsidP="00A70D06">
      <w:pPr>
        <w:spacing w:line="360" w:lineRule="auto"/>
        <w:rPr>
          <w:rFonts w:ascii="Calibri" w:hAnsi="Calibri" w:cs="Calibri"/>
          <w:b/>
          <w:bCs/>
          <w:sz w:val="20"/>
          <w:szCs w:val="20"/>
        </w:rPr>
      </w:pPr>
    </w:p>
    <w:p w14:paraId="766A2E84" w14:textId="77777777" w:rsidR="00A020F5" w:rsidRDefault="00A020F5" w:rsidP="00A70D06">
      <w:pPr>
        <w:spacing w:line="360" w:lineRule="auto"/>
        <w:rPr>
          <w:rFonts w:ascii="Calibri" w:hAnsi="Calibri" w:cs="Calibri"/>
          <w:b/>
          <w:bCs/>
          <w:sz w:val="20"/>
          <w:szCs w:val="20"/>
        </w:rPr>
      </w:pPr>
    </w:p>
    <w:p w14:paraId="01956694" w14:textId="77777777" w:rsidR="00A020F5" w:rsidRDefault="00A020F5" w:rsidP="00A70D06">
      <w:pPr>
        <w:spacing w:line="360" w:lineRule="auto"/>
        <w:rPr>
          <w:rFonts w:ascii="Calibri" w:hAnsi="Calibri" w:cs="Calibri"/>
          <w:b/>
          <w:bCs/>
          <w:sz w:val="20"/>
          <w:szCs w:val="20"/>
        </w:rPr>
      </w:pPr>
    </w:p>
    <w:p w14:paraId="4710E2B9" w14:textId="77777777" w:rsidR="00A020F5" w:rsidRDefault="00A020F5" w:rsidP="00A70D06">
      <w:pPr>
        <w:spacing w:line="360" w:lineRule="auto"/>
        <w:rPr>
          <w:rFonts w:ascii="Calibri" w:hAnsi="Calibri" w:cs="Calibri"/>
          <w:b/>
          <w:bCs/>
          <w:sz w:val="20"/>
          <w:szCs w:val="20"/>
        </w:rPr>
      </w:pPr>
    </w:p>
    <w:p w14:paraId="62A4D568" w14:textId="77777777" w:rsidR="00A020F5" w:rsidRDefault="00A020F5" w:rsidP="00A70D06">
      <w:pPr>
        <w:spacing w:line="360" w:lineRule="auto"/>
        <w:rPr>
          <w:rFonts w:ascii="Calibri" w:hAnsi="Calibri" w:cs="Calibri"/>
          <w:b/>
          <w:bCs/>
          <w:sz w:val="20"/>
          <w:szCs w:val="20"/>
        </w:rPr>
      </w:pPr>
    </w:p>
    <w:p w14:paraId="3D5EF2C1" w14:textId="77777777" w:rsidR="00A020F5" w:rsidRDefault="00A020F5" w:rsidP="00A70D06">
      <w:pPr>
        <w:spacing w:line="360" w:lineRule="auto"/>
        <w:rPr>
          <w:rFonts w:ascii="Calibri" w:hAnsi="Calibri" w:cs="Calibri"/>
          <w:b/>
          <w:bCs/>
          <w:sz w:val="20"/>
          <w:szCs w:val="20"/>
        </w:rPr>
      </w:pPr>
    </w:p>
    <w:p w14:paraId="01876430" w14:textId="77777777" w:rsidR="00A020F5" w:rsidRDefault="00A020F5" w:rsidP="00A70D06">
      <w:pPr>
        <w:spacing w:line="360" w:lineRule="auto"/>
        <w:rPr>
          <w:rFonts w:cstheme="minorHAnsi"/>
          <w:b/>
          <w:bCs/>
          <w:sz w:val="24"/>
          <w:szCs w:val="24"/>
        </w:rPr>
      </w:pPr>
    </w:p>
    <w:p w14:paraId="1B5FBCD5" w14:textId="77777777" w:rsidR="00A020F5" w:rsidRDefault="00A020F5" w:rsidP="00A70D06">
      <w:pPr>
        <w:spacing w:line="360" w:lineRule="auto"/>
        <w:rPr>
          <w:rFonts w:ascii="Calibri" w:hAnsi="Calibri" w:cs="Calibri"/>
          <w:b/>
          <w:bCs/>
          <w:sz w:val="24"/>
          <w:szCs w:val="24"/>
          <w:highlight w:val="cyan"/>
        </w:rPr>
      </w:pPr>
    </w:p>
    <w:p w14:paraId="0AA81B68" w14:textId="77777777" w:rsidR="00A020F5" w:rsidRDefault="00A020F5" w:rsidP="00A70D06">
      <w:pPr>
        <w:spacing w:line="360" w:lineRule="auto"/>
        <w:rPr>
          <w:rFonts w:ascii="Calibri" w:hAnsi="Calibri" w:cs="Calibri"/>
          <w:b/>
          <w:bCs/>
          <w:sz w:val="24"/>
          <w:szCs w:val="24"/>
          <w:highlight w:val="cyan"/>
        </w:rPr>
      </w:pPr>
    </w:p>
    <w:p w14:paraId="451CB94A" w14:textId="77777777" w:rsidR="00A020F5" w:rsidRDefault="00A020F5" w:rsidP="00A70D06">
      <w:pPr>
        <w:spacing w:line="360" w:lineRule="auto"/>
        <w:rPr>
          <w:rFonts w:ascii="Calibri" w:hAnsi="Calibri" w:cs="Calibri"/>
          <w:b/>
          <w:bCs/>
          <w:sz w:val="24"/>
          <w:szCs w:val="24"/>
          <w:highlight w:val="cyan"/>
        </w:rPr>
      </w:pPr>
    </w:p>
    <w:p w14:paraId="7DA312A3" w14:textId="77777777" w:rsidR="00A020F5" w:rsidRDefault="00A020F5" w:rsidP="00A70D06">
      <w:pPr>
        <w:spacing w:line="360" w:lineRule="auto"/>
        <w:rPr>
          <w:rFonts w:ascii="Calibri" w:hAnsi="Calibri" w:cs="Calibri"/>
          <w:b/>
          <w:bCs/>
          <w:sz w:val="24"/>
          <w:szCs w:val="24"/>
          <w:highlight w:val="cyan"/>
        </w:rPr>
      </w:pPr>
    </w:p>
    <w:p w14:paraId="7CA11C57" w14:textId="77777777" w:rsidR="00A020F5" w:rsidRDefault="00A020F5" w:rsidP="00A70D06">
      <w:pPr>
        <w:spacing w:line="360" w:lineRule="auto"/>
        <w:rPr>
          <w:rFonts w:ascii="Calibri" w:hAnsi="Calibri" w:cs="Calibri"/>
          <w:b/>
          <w:bCs/>
          <w:sz w:val="24"/>
          <w:szCs w:val="24"/>
          <w:highlight w:val="cyan"/>
        </w:rPr>
      </w:pPr>
    </w:p>
    <w:p w14:paraId="7FBDA7FB" w14:textId="77777777" w:rsidR="00A020F5" w:rsidRDefault="00A020F5" w:rsidP="00A70D06">
      <w:pPr>
        <w:spacing w:line="360" w:lineRule="auto"/>
        <w:rPr>
          <w:rFonts w:ascii="Calibri" w:hAnsi="Calibri" w:cs="Calibri"/>
          <w:b/>
          <w:bCs/>
          <w:sz w:val="24"/>
          <w:szCs w:val="24"/>
          <w:highlight w:val="cyan"/>
        </w:rPr>
      </w:pPr>
    </w:p>
    <w:p w14:paraId="38D58324" w14:textId="77777777" w:rsidR="005662EA" w:rsidRDefault="005662EA" w:rsidP="00A70D06">
      <w:pPr>
        <w:spacing w:line="360" w:lineRule="auto"/>
        <w:rPr>
          <w:rFonts w:ascii="Calibri" w:hAnsi="Calibri" w:cs="Calibri"/>
          <w:b/>
          <w:bCs/>
          <w:sz w:val="24"/>
          <w:szCs w:val="24"/>
          <w:highlight w:val="cyan"/>
        </w:rPr>
      </w:pPr>
    </w:p>
    <w:p w14:paraId="20B90226" w14:textId="77777777" w:rsidR="00360801" w:rsidRDefault="00360801" w:rsidP="00A70D06">
      <w:pPr>
        <w:spacing w:line="360" w:lineRule="auto"/>
        <w:rPr>
          <w:rFonts w:ascii="Calibri" w:hAnsi="Calibri" w:cs="Calibri"/>
          <w:b/>
          <w:bCs/>
          <w:sz w:val="24"/>
          <w:szCs w:val="24"/>
          <w:highlight w:val="cyan"/>
        </w:rPr>
      </w:pPr>
    </w:p>
    <w:p w14:paraId="621ACAC2" w14:textId="6BE6AB7C" w:rsidR="00A70D06" w:rsidRPr="00832DA3" w:rsidRDefault="00A70D06" w:rsidP="00A70D06">
      <w:pPr>
        <w:spacing w:line="360" w:lineRule="auto"/>
        <w:rPr>
          <w:rFonts w:ascii="Calibri" w:hAnsi="Calibri" w:cs="Calibri"/>
          <w:b/>
          <w:bCs/>
          <w:sz w:val="24"/>
          <w:szCs w:val="24"/>
        </w:rPr>
      </w:pPr>
      <w:r w:rsidRPr="005C2D38">
        <w:rPr>
          <w:rFonts w:ascii="Calibri" w:hAnsi="Calibri" w:cs="Calibri"/>
          <w:b/>
          <w:bCs/>
          <w:sz w:val="24"/>
          <w:szCs w:val="24"/>
        </w:rPr>
        <w:lastRenderedPageBreak/>
        <w:t xml:space="preserve">Supplementary </w:t>
      </w:r>
      <w:r w:rsidR="00077FFC" w:rsidRPr="005C2D38">
        <w:rPr>
          <w:rFonts w:ascii="Calibri" w:hAnsi="Calibri" w:cs="Calibri"/>
          <w:b/>
          <w:bCs/>
          <w:sz w:val="24"/>
          <w:szCs w:val="24"/>
        </w:rPr>
        <w:t>F</w:t>
      </w:r>
      <w:r w:rsidRPr="005C2D38">
        <w:rPr>
          <w:rFonts w:ascii="Calibri" w:hAnsi="Calibri" w:cs="Calibri"/>
          <w:b/>
          <w:bCs/>
          <w:sz w:val="24"/>
          <w:szCs w:val="24"/>
        </w:rPr>
        <w:t xml:space="preserve">ile </w:t>
      </w:r>
      <w:r w:rsidR="00AF030F" w:rsidRPr="005C2D38">
        <w:rPr>
          <w:rFonts w:ascii="Calibri" w:hAnsi="Calibri" w:cs="Calibri"/>
          <w:b/>
          <w:bCs/>
          <w:sz w:val="24"/>
          <w:szCs w:val="24"/>
        </w:rPr>
        <w:t>3</w:t>
      </w:r>
      <w:r w:rsidRPr="005C2D38">
        <w:rPr>
          <w:rFonts w:ascii="Calibri" w:hAnsi="Calibri" w:cs="Calibri"/>
          <w:b/>
          <w:bCs/>
          <w:sz w:val="24"/>
          <w:szCs w:val="24"/>
        </w:rPr>
        <w:t xml:space="preserve"> b</w:t>
      </w:r>
      <w:r w:rsidRPr="005C2D38">
        <w:rPr>
          <w:rFonts w:ascii="Calibri" w:hAnsi="Calibri" w:cs="Calibri"/>
          <w:sz w:val="24"/>
          <w:szCs w:val="24"/>
        </w:rPr>
        <w:t>:</w:t>
      </w:r>
      <w:r w:rsidRPr="00A70D06">
        <w:rPr>
          <w:rFonts w:ascii="Calibri" w:hAnsi="Calibri" w:cs="Calibri"/>
          <w:sz w:val="24"/>
          <w:szCs w:val="24"/>
        </w:rPr>
        <w:t xml:space="preserve"> 53 publications in total mapped to SARI Hospital Antimicrobial Stewardship Working Group</w:t>
      </w:r>
      <w:r w:rsidR="00832DA3">
        <w:rPr>
          <w:rFonts w:ascii="Calibri" w:hAnsi="Calibri" w:cs="Calibri"/>
          <w:sz w:val="24"/>
          <w:szCs w:val="24"/>
        </w:rPr>
        <w:t xml:space="preserve"> </w:t>
      </w:r>
      <w:r w:rsidR="00832DA3" w:rsidRPr="00832DA3">
        <w:rPr>
          <w:rFonts w:ascii="Calibri" w:hAnsi="Calibri" w:cs="Calibri"/>
          <w:b/>
          <w:bCs/>
          <w:sz w:val="24"/>
          <w:szCs w:val="24"/>
        </w:rPr>
        <w:t>(29 Peer reviewed studies and 24 grey reports)</w:t>
      </w:r>
    </w:p>
    <w:p w14:paraId="7250FF26" w14:textId="77777777" w:rsidR="0008420D" w:rsidRDefault="00A70D06" w:rsidP="0008420D">
      <w:pPr>
        <w:spacing w:line="360" w:lineRule="auto"/>
        <w:rPr>
          <w:rFonts w:ascii="Calibri" w:hAnsi="Calibri" w:cs="Calibri"/>
          <w:b/>
          <w:bCs/>
          <w:color w:val="FF0000"/>
          <w:sz w:val="24"/>
          <w:szCs w:val="24"/>
        </w:rPr>
      </w:pPr>
      <w:r w:rsidRPr="00A70D06">
        <w:rPr>
          <w:rFonts w:ascii="Calibri" w:hAnsi="Calibri" w:cs="Calibri"/>
          <w:b/>
          <w:bCs/>
          <w:sz w:val="24"/>
          <w:szCs w:val="24"/>
        </w:rPr>
        <w:t xml:space="preserve">24 reports (Grey literature) mapped </w:t>
      </w:r>
      <w:r w:rsidRPr="00A70D06">
        <w:rPr>
          <w:rFonts w:ascii="Calibri" w:eastAsia="Times New Roman" w:hAnsi="Calibri" w:cs="Calibri"/>
          <w:b/>
          <w:bCs/>
          <w:sz w:val="24"/>
          <w:szCs w:val="24"/>
          <w:lang w:val="en-GB" w:eastAsia="en-GB"/>
        </w:rPr>
        <w:t xml:space="preserve">to </w:t>
      </w:r>
      <w:r w:rsidRPr="00A70D06">
        <w:rPr>
          <w:rFonts w:ascii="Calibri" w:hAnsi="Calibri" w:cs="Calibri"/>
          <w:b/>
          <w:bCs/>
          <w:sz w:val="24"/>
          <w:szCs w:val="24"/>
        </w:rPr>
        <w:t xml:space="preserve">SARI Hospital Antimicrobial Stewardship Working Group. </w:t>
      </w:r>
      <w:r w:rsidRPr="00A70D06">
        <w:rPr>
          <w:rFonts w:ascii="Calibri" w:hAnsi="Calibri" w:cs="Calibri"/>
          <w:sz w:val="24"/>
          <w:szCs w:val="24"/>
        </w:rPr>
        <w:t xml:space="preserve">A Strategy for the Control of Antimicrobial Resistance in Ireland (SARI) – </w:t>
      </w:r>
      <w:r w:rsidRPr="00A70D06">
        <w:rPr>
          <w:rFonts w:ascii="Calibri" w:hAnsi="Calibri" w:cs="Calibri"/>
          <w:color w:val="000000" w:themeColor="text1"/>
          <w:sz w:val="24"/>
          <w:szCs w:val="24"/>
        </w:rPr>
        <w:t xml:space="preserve">Guidelines for Antimicrobial Stewardship in Hospitals in Ireland, </w:t>
      </w:r>
      <w:r w:rsidRPr="0008420D">
        <w:rPr>
          <w:rFonts w:ascii="Calibri" w:hAnsi="Calibri" w:cs="Calibri"/>
          <w:color w:val="000000" w:themeColor="text1"/>
          <w:sz w:val="24"/>
          <w:szCs w:val="24"/>
        </w:rPr>
        <w:t>2009</w:t>
      </w:r>
      <w:r w:rsidRPr="0008420D">
        <w:rPr>
          <w:rFonts w:ascii="Calibri" w:hAnsi="Calibri" w:cs="Calibri"/>
          <w:b/>
          <w:bCs/>
          <w:color w:val="000000" w:themeColor="text1"/>
          <w:sz w:val="24"/>
          <w:szCs w:val="24"/>
        </w:rPr>
        <w:t xml:space="preserve"> </w:t>
      </w:r>
      <w:r w:rsidR="00B26031" w:rsidRPr="0008420D">
        <w:rPr>
          <w:rFonts w:ascii="Calibri" w:hAnsi="Calibri" w:cs="Calibri"/>
          <w:b/>
          <w:bCs/>
          <w:color w:val="000000" w:themeColor="text1"/>
          <w:sz w:val="24"/>
          <w:szCs w:val="24"/>
        </w:rPr>
        <w:fldChar w:fldCharType="begin" w:fldLock="1"/>
      </w:r>
      <w:r w:rsidR="00B26031" w:rsidRPr="0008420D">
        <w:rPr>
          <w:rFonts w:ascii="Calibri" w:hAnsi="Calibri" w:cs="Calibri"/>
          <w:b/>
          <w:bCs/>
          <w:color w:val="000000" w:themeColor="text1"/>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08420D">
        <w:rPr>
          <w:rFonts w:ascii="Calibri" w:hAnsi="Calibri" w:cs="Calibri"/>
          <w:b/>
          <w:bCs/>
          <w:color w:val="000000" w:themeColor="text1"/>
          <w:sz w:val="24"/>
          <w:szCs w:val="24"/>
        </w:rPr>
        <w:fldChar w:fldCharType="separate"/>
      </w:r>
      <w:r w:rsidR="00B17730" w:rsidRPr="0008420D">
        <w:rPr>
          <w:rFonts w:ascii="Calibri" w:hAnsi="Calibri" w:cs="Calibri"/>
          <w:bCs/>
          <w:noProof/>
          <w:color w:val="000000" w:themeColor="text1"/>
          <w:sz w:val="24"/>
          <w:szCs w:val="24"/>
        </w:rPr>
        <w:t>[</w:t>
      </w:r>
      <w:r w:rsidR="00B26031" w:rsidRPr="0008420D">
        <w:rPr>
          <w:rFonts w:ascii="Calibri" w:hAnsi="Calibri" w:cs="Calibri"/>
          <w:bCs/>
          <w:noProof/>
          <w:color w:val="000000" w:themeColor="text1"/>
          <w:sz w:val="24"/>
          <w:szCs w:val="24"/>
        </w:rPr>
        <w:t>1</w:t>
      </w:r>
      <w:r w:rsidR="00B17730" w:rsidRPr="0008420D">
        <w:rPr>
          <w:rFonts w:ascii="Calibri" w:hAnsi="Calibri" w:cs="Calibri"/>
          <w:bCs/>
          <w:noProof/>
          <w:color w:val="000000" w:themeColor="text1"/>
          <w:sz w:val="24"/>
          <w:szCs w:val="24"/>
        </w:rPr>
        <w:t>]</w:t>
      </w:r>
      <w:r w:rsidR="00B26031" w:rsidRPr="0008420D">
        <w:rPr>
          <w:rFonts w:ascii="Calibri" w:hAnsi="Calibri" w:cs="Calibri"/>
          <w:b/>
          <w:bCs/>
          <w:color w:val="000000" w:themeColor="text1"/>
          <w:sz w:val="24"/>
          <w:szCs w:val="24"/>
        </w:rPr>
        <w:fldChar w:fldCharType="end"/>
      </w:r>
      <w:r w:rsidR="00B17730" w:rsidRPr="00A70D06">
        <w:rPr>
          <w:rFonts w:ascii="Calibri" w:hAnsi="Calibri" w:cs="Calibri"/>
          <w:b/>
          <w:bCs/>
          <w:color w:val="FF0000"/>
          <w:sz w:val="24"/>
          <w:szCs w:val="24"/>
        </w:rPr>
        <w:t xml:space="preserve"> </w:t>
      </w:r>
      <w:r w:rsidRPr="00A70D06">
        <w:rPr>
          <w:rFonts w:ascii="Calibri" w:hAnsi="Calibri" w:cs="Calibri"/>
          <w:b/>
          <w:bCs/>
          <w:color w:val="FF0000"/>
          <w:sz w:val="24"/>
          <w:szCs w:val="24"/>
        </w:rPr>
        <w:t xml:space="preserve">    </w:t>
      </w:r>
    </w:p>
    <w:p w14:paraId="3BF2ACA2" w14:textId="37EA4C38" w:rsidR="00A70D06" w:rsidRPr="0008420D" w:rsidRDefault="00A70D06" w:rsidP="0008420D">
      <w:pPr>
        <w:pStyle w:val="ListParagraph"/>
        <w:numPr>
          <w:ilvl w:val="0"/>
          <w:numId w:val="1"/>
        </w:numPr>
        <w:spacing w:line="360" w:lineRule="auto"/>
        <w:rPr>
          <w:rFonts w:ascii="Calibri" w:hAnsi="Calibri" w:cs="Calibri"/>
          <w:sz w:val="24"/>
          <w:szCs w:val="24"/>
        </w:rPr>
      </w:pPr>
      <w:r w:rsidRPr="0008420D">
        <w:rPr>
          <w:rFonts w:ascii="Calibri" w:hAnsi="Calibri" w:cs="Calibri"/>
          <w:sz w:val="24"/>
          <w:szCs w:val="24"/>
        </w:rPr>
        <w:t>A: Structure and Organisation of Antimicrobial Stewardship</w:t>
      </w:r>
    </w:p>
    <w:p w14:paraId="67D5A0A9" w14:textId="77777777" w:rsidR="00A70D06" w:rsidRPr="00A70D06" w:rsidRDefault="00A70D06" w:rsidP="00A70D06">
      <w:pPr>
        <w:pStyle w:val="ListParagraph"/>
        <w:numPr>
          <w:ilvl w:val="0"/>
          <w:numId w:val="1"/>
        </w:numPr>
        <w:spacing w:line="360" w:lineRule="auto"/>
        <w:rPr>
          <w:rFonts w:ascii="Calibri" w:hAnsi="Calibri" w:cs="Calibri"/>
          <w:sz w:val="24"/>
          <w:szCs w:val="24"/>
        </w:rPr>
      </w:pPr>
      <w:r w:rsidRPr="00A70D06">
        <w:rPr>
          <w:rFonts w:ascii="Calibri" w:hAnsi="Calibri" w:cs="Calibri"/>
          <w:sz w:val="24"/>
          <w:szCs w:val="24"/>
        </w:rPr>
        <w:t>B: Roles and Responsibilities for Prescribers</w:t>
      </w:r>
    </w:p>
    <w:p w14:paraId="09815D1F" w14:textId="77777777" w:rsidR="00A70D06" w:rsidRPr="00A70D06" w:rsidRDefault="00A70D06" w:rsidP="00A70D06">
      <w:pPr>
        <w:pStyle w:val="ListParagraph"/>
        <w:numPr>
          <w:ilvl w:val="0"/>
          <w:numId w:val="1"/>
        </w:numPr>
        <w:spacing w:line="360" w:lineRule="auto"/>
        <w:rPr>
          <w:rFonts w:ascii="Calibri" w:hAnsi="Calibri" w:cs="Calibri"/>
          <w:sz w:val="24"/>
          <w:szCs w:val="24"/>
        </w:rPr>
      </w:pPr>
      <w:r w:rsidRPr="00A70D06">
        <w:rPr>
          <w:rFonts w:ascii="Calibri" w:hAnsi="Calibri" w:cs="Calibri"/>
          <w:sz w:val="24"/>
          <w:szCs w:val="24"/>
        </w:rPr>
        <w:t>C: Antimicrobial Stewardship Interventions</w:t>
      </w:r>
    </w:p>
    <w:p w14:paraId="42DE2D0D" w14:textId="77777777" w:rsidR="00A70D06" w:rsidRPr="00A70D06" w:rsidRDefault="00A70D06" w:rsidP="00A70D06">
      <w:pPr>
        <w:pStyle w:val="ListParagraph"/>
        <w:numPr>
          <w:ilvl w:val="0"/>
          <w:numId w:val="1"/>
        </w:numPr>
        <w:spacing w:line="360" w:lineRule="auto"/>
        <w:rPr>
          <w:rFonts w:ascii="Calibri" w:hAnsi="Calibri" w:cs="Calibri"/>
          <w:sz w:val="24"/>
          <w:szCs w:val="24"/>
        </w:rPr>
      </w:pPr>
      <w:r w:rsidRPr="00A70D06">
        <w:rPr>
          <w:rFonts w:ascii="Calibri" w:hAnsi="Calibri" w:cs="Calibri"/>
          <w:sz w:val="24"/>
          <w:szCs w:val="24"/>
        </w:rPr>
        <w:t>D: Recommendations for Non-Acute Residential Healthcare Institutions</w:t>
      </w:r>
    </w:p>
    <w:tbl>
      <w:tblPr>
        <w:tblStyle w:val="TableGrid"/>
        <w:tblW w:w="0" w:type="auto"/>
        <w:tblLook w:val="0620" w:firstRow="1" w:lastRow="0" w:firstColumn="0" w:lastColumn="0" w:noHBand="1" w:noVBand="1"/>
      </w:tblPr>
      <w:tblGrid>
        <w:gridCol w:w="419"/>
        <w:gridCol w:w="1577"/>
        <w:gridCol w:w="777"/>
        <w:gridCol w:w="4061"/>
        <w:gridCol w:w="375"/>
        <w:gridCol w:w="364"/>
        <w:gridCol w:w="361"/>
        <w:gridCol w:w="383"/>
      </w:tblGrid>
      <w:tr w:rsidR="00A70D06" w:rsidRPr="009B561A" w14:paraId="3524819F" w14:textId="77777777" w:rsidTr="001B2A18">
        <w:trPr>
          <w:tblHeader/>
        </w:trPr>
        <w:tc>
          <w:tcPr>
            <w:tcW w:w="323" w:type="dxa"/>
          </w:tcPr>
          <w:p w14:paraId="60732DCD" w14:textId="77777777" w:rsidR="00A70D06" w:rsidRPr="009B561A" w:rsidRDefault="00A70D06" w:rsidP="001B2A18">
            <w:pPr>
              <w:pStyle w:val="ListParagraph"/>
              <w:numPr>
                <w:ilvl w:val="0"/>
                <w:numId w:val="1"/>
              </w:numPr>
              <w:spacing w:line="360" w:lineRule="auto"/>
              <w:jc w:val="center"/>
              <w:rPr>
                <w:rFonts w:ascii="Calibri" w:hAnsi="Calibri" w:cs="Calibri"/>
                <w:b/>
                <w:bCs/>
                <w:sz w:val="20"/>
                <w:szCs w:val="20"/>
              </w:rPr>
            </w:pPr>
          </w:p>
        </w:tc>
        <w:tc>
          <w:tcPr>
            <w:tcW w:w="1577" w:type="dxa"/>
          </w:tcPr>
          <w:p w14:paraId="3DB108C2"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PUBLICATION</w:t>
            </w:r>
          </w:p>
        </w:tc>
        <w:tc>
          <w:tcPr>
            <w:tcW w:w="777" w:type="dxa"/>
          </w:tcPr>
          <w:p w14:paraId="4BA9DAE9"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 xml:space="preserve">YEAR </w:t>
            </w:r>
          </w:p>
        </w:tc>
        <w:tc>
          <w:tcPr>
            <w:tcW w:w="4061" w:type="dxa"/>
          </w:tcPr>
          <w:p w14:paraId="4E3FEDB7"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TITLE</w:t>
            </w:r>
          </w:p>
        </w:tc>
        <w:tc>
          <w:tcPr>
            <w:tcW w:w="375" w:type="dxa"/>
          </w:tcPr>
          <w:p w14:paraId="058F73DB"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A</w:t>
            </w:r>
          </w:p>
        </w:tc>
        <w:tc>
          <w:tcPr>
            <w:tcW w:w="364" w:type="dxa"/>
          </w:tcPr>
          <w:p w14:paraId="6B5C3B06"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B</w:t>
            </w:r>
          </w:p>
        </w:tc>
        <w:tc>
          <w:tcPr>
            <w:tcW w:w="361" w:type="dxa"/>
          </w:tcPr>
          <w:p w14:paraId="4C51444C"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C</w:t>
            </w:r>
          </w:p>
        </w:tc>
        <w:tc>
          <w:tcPr>
            <w:tcW w:w="383" w:type="dxa"/>
          </w:tcPr>
          <w:p w14:paraId="64B5FFD5"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D</w:t>
            </w:r>
          </w:p>
        </w:tc>
      </w:tr>
      <w:tr w:rsidR="00A70D06" w:rsidRPr="009B561A" w14:paraId="573E3D55" w14:textId="77777777" w:rsidTr="001B2A18">
        <w:tc>
          <w:tcPr>
            <w:tcW w:w="323" w:type="dxa"/>
          </w:tcPr>
          <w:p w14:paraId="548D722C"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1</w:t>
            </w:r>
          </w:p>
        </w:tc>
        <w:tc>
          <w:tcPr>
            <w:tcW w:w="1577" w:type="dxa"/>
          </w:tcPr>
          <w:p w14:paraId="5161F1C7"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ECDC</w:t>
            </w:r>
          </w:p>
        </w:tc>
        <w:tc>
          <w:tcPr>
            <w:tcW w:w="777" w:type="dxa"/>
          </w:tcPr>
          <w:p w14:paraId="3585396F"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2019</w:t>
            </w:r>
          </w:p>
        </w:tc>
        <w:tc>
          <w:tcPr>
            <w:tcW w:w="4061" w:type="dxa"/>
          </w:tcPr>
          <w:p w14:paraId="52F91E81"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ECDC IRELAND COUNTRY VISIT AMR. STOCKHOLM: ECDC: 2019 DG(SANTE)2019-6622 FINAL JOINT REPORT IN RESPECT OF A ONE HEALTH COUNTRY VISIT TO IRELAND FROM 07 OCTOBER 2019 TO 11 OCTOBER 2019 TO DISCUSS POLICIES RELATING TO ANTIMICROBIAL RESISTANCE</w:t>
            </w:r>
          </w:p>
        </w:tc>
        <w:tc>
          <w:tcPr>
            <w:tcW w:w="375" w:type="dxa"/>
          </w:tcPr>
          <w:p w14:paraId="3A142A22"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64" w:type="dxa"/>
          </w:tcPr>
          <w:p w14:paraId="32A12A14"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61" w:type="dxa"/>
          </w:tcPr>
          <w:p w14:paraId="6BD7FEEE"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585BDD1B"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r>
      <w:tr w:rsidR="00A70D06" w:rsidRPr="009B561A" w14:paraId="1B1838EA" w14:textId="77777777" w:rsidTr="001B2A18">
        <w:tc>
          <w:tcPr>
            <w:tcW w:w="323" w:type="dxa"/>
          </w:tcPr>
          <w:p w14:paraId="09C3CEA2"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w:t>
            </w:r>
          </w:p>
        </w:tc>
        <w:tc>
          <w:tcPr>
            <w:tcW w:w="1577" w:type="dxa"/>
          </w:tcPr>
          <w:p w14:paraId="37DACDC8"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HIQA</w:t>
            </w:r>
          </w:p>
        </w:tc>
        <w:tc>
          <w:tcPr>
            <w:tcW w:w="777" w:type="dxa"/>
          </w:tcPr>
          <w:p w14:paraId="60153C95"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2018</w:t>
            </w:r>
          </w:p>
        </w:tc>
        <w:tc>
          <w:tcPr>
            <w:tcW w:w="4061" w:type="dxa"/>
          </w:tcPr>
          <w:p w14:paraId="29C2128C"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National Standards for infection prevention and control in community services</w:t>
            </w:r>
          </w:p>
        </w:tc>
        <w:tc>
          <w:tcPr>
            <w:tcW w:w="375" w:type="dxa"/>
          </w:tcPr>
          <w:p w14:paraId="154E465A"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4" w:type="dxa"/>
          </w:tcPr>
          <w:p w14:paraId="76ED94BA" w14:textId="77777777" w:rsidR="00A70D06" w:rsidRPr="009B561A" w:rsidRDefault="00A70D06" w:rsidP="001B2A18">
            <w:pPr>
              <w:spacing w:line="360" w:lineRule="auto"/>
              <w:rPr>
                <w:rFonts w:ascii="Calibri" w:hAnsi="Calibri" w:cs="Calibri"/>
                <w:b/>
                <w:bCs/>
                <w:sz w:val="20"/>
                <w:szCs w:val="20"/>
              </w:rPr>
            </w:pPr>
          </w:p>
        </w:tc>
        <w:tc>
          <w:tcPr>
            <w:tcW w:w="361" w:type="dxa"/>
          </w:tcPr>
          <w:p w14:paraId="136F9FF4"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3C581B33"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r>
      <w:tr w:rsidR="00A70D06" w:rsidRPr="009B561A" w14:paraId="6AEAC7A5" w14:textId="77777777" w:rsidTr="001B2A18">
        <w:tc>
          <w:tcPr>
            <w:tcW w:w="323" w:type="dxa"/>
          </w:tcPr>
          <w:p w14:paraId="0B4C2421"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3</w:t>
            </w:r>
          </w:p>
        </w:tc>
        <w:tc>
          <w:tcPr>
            <w:tcW w:w="1577" w:type="dxa"/>
          </w:tcPr>
          <w:p w14:paraId="0312C588"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HIQA</w:t>
            </w:r>
          </w:p>
        </w:tc>
        <w:tc>
          <w:tcPr>
            <w:tcW w:w="777" w:type="dxa"/>
          </w:tcPr>
          <w:p w14:paraId="0230A716" w14:textId="77777777" w:rsidR="00A70D06" w:rsidRPr="009B561A" w:rsidRDefault="00A70D06" w:rsidP="001B2A18">
            <w:pPr>
              <w:spacing w:line="360" w:lineRule="auto"/>
              <w:rPr>
                <w:rFonts w:ascii="Calibri" w:eastAsia="Times New Roman" w:hAnsi="Calibri" w:cs="Calibri"/>
                <w:color w:val="333333"/>
                <w:sz w:val="20"/>
                <w:szCs w:val="20"/>
                <w:lang w:eastAsia="en-IE"/>
              </w:rPr>
            </w:pPr>
            <w:r w:rsidRPr="009B561A">
              <w:rPr>
                <w:rFonts w:ascii="Calibri" w:eastAsia="Times New Roman" w:hAnsi="Calibri" w:cs="Calibri"/>
                <w:color w:val="333333"/>
                <w:sz w:val="20"/>
                <w:szCs w:val="20"/>
                <w:lang w:eastAsia="en-IE"/>
              </w:rPr>
              <w:t>2017</w:t>
            </w:r>
          </w:p>
        </w:tc>
        <w:tc>
          <w:tcPr>
            <w:tcW w:w="4061" w:type="dxa"/>
          </w:tcPr>
          <w:p w14:paraId="1F869EB5" w14:textId="77777777" w:rsidR="00A70D06" w:rsidRPr="009B561A" w:rsidRDefault="00A70D06" w:rsidP="001B2A18">
            <w:pPr>
              <w:spacing w:line="360" w:lineRule="auto"/>
              <w:rPr>
                <w:rFonts w:ascii="Calibri" w:hAnsi="Calibri" w:cs="Calibri"/>
                <w:sz w:val="20"/>
                <w:szCs w:val="20"/>
              </w:rPr>
            </w:pPr>
            <w:r w:rsidRPr="009B561A">
              <w:rPr>
                <w:rFonts w:ascii="Calibri" w:eastAsia="Times New Roman" w:hAnsi="Calibri" w:cs="Calibri"/>
                <w:color w:val="333333"/>
                <w:sz w:val="20"/>
                <w:szCs w:val="20"/>
                <w:lang w:eastAsia="en-IE"/>
              </w:rPr>
              <w:t>National Standards for the prevention and control of healthcare-associated infections</w:t>
            </w:r>
          </w:p>
        </w:tc>
        <w:tc>
          <w:tcPr>
            <w:tcW w:w="375" w:type="dxa"/>
          </w:tcPr>
          <w:p w14:paraId="0A835A92"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4" w:type="dxa"/>
          </w:tcPr>
          <w:p w14:paraId="6C36568C" w14:textId="77777777" w:rsidR="00A70D06" w:rsidRPr="009B561A" w:rsidRDefault="00A70D06" w:rsidP="001B2A18">
            <w:pPr>
              <w:spacing w:line="360" w:lineRule="auto"/>
              <w:rPr>
                <w:rFonts w:ascii="Calibri" w:hAnsi="Calibri" w:cs="Calibri"/>
                <w:sz w:val="20"/>
                <w:szCs w:val="20"/>
              </w:rPr>
            </w:pPr>
          </w:p>
        </w:tc>
        <w:tc>
          <w:tcPr>
            <w:tcW w:w="361" w:type="dxa"/>
          </w:tcPr>
          <w:p w14:paraId="7BA32BF2" w14:textId="77777777" w:rsidR="00A70D06" w:rsidRPr="009B561A" w:rsidRDefault="00A70D06" w:rsidP="001B2A18">
            <w:pPr>
              <w:spacing w:line="360" w:lineRule="auto"/>
              <w:jc w:val="center"/>
              <w:rPr>
                <w:rFonts w:ascii="Calibri" w:hAnsi="Calibri" w:cs="Calibri"/>
                <w:sz w:val="20"/>
                <w:szCs w:val="20"/>
              </w:rPr>
            </w:pPr>
          </w:p>
        </w:tc>
        <w:tc>
          <w:tcPr>
            <w:tcW w:w="383" w:type="dxa"/>
          </w:tcPr>
          <w:p w14:paraId="3DD9E31E" w14:textId="77777777" w:rsidR="00A70D06" w:rsidRPr="009B561A" w:rsidRDefault="00A70D06" w:rsidP="001B2A18">
            <w:pPr>
              <w:spacing w:line="360" w:lineRule="auto"/>
              <w:rPr>
                <w:rFonts w:ascii="Calibri" w:hAnsi="Calibri" w:cs="Calibri"/>
                <w:sz w:val="20"/>
                <w:szCs w:val="20"/>
              </w:rPr>
            </w:pPr>
          </w:p>
        </w:tc>
      </w:tr>
      <w:tr w:rsidR="00A70D06" w:rsidRPr="009B561A" w14:paraId="51D30EE5" w14:textId="77777777" w:rsidTr="001B2A18">
        <w:tc>
          <w:tcPr>
            <w:tcW w:w="323" w:type="dxa"/>
          </w:tcPr>
          <w:p w14:paraId="4BF9E54C"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4</w:t>
            </w:r>
          </w:p>
        </w:tc>
        <w:tc>
          <w:tcPr>
            <w:tcW w:w="1577" w:type="dxa"/>
          </w:tcPr>
          <w:p w14:paraId="4CDE853A"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HIQA</w:t>
            </w:r>
          </w:p>
        </w:tc>
        <w:tc>
          <w:tcPr>
            <w:tcW w:w="777" w:type="dxa"/>
          </w:tcPr>
          <w:p w14:paraId="0FA9DC23" w14:textId="77777777" w:rsidR="00A70D06" w:rsidRPr="009B561A" w:rsidRDefault="00A70D06" w:rsidP="001B2A18">
            <w:pPr>
              <w:spacing w:line="360" w:lineRule="auto"/>
              <w:rPr>
                <w:rFonts w:ascii="Calibri" w:hAnsi="Calibri" w:cs="Calibri"/>
                <w:noProof/>
                <w:sz w:val="20"/>
                <w:szCs w:val="20"/>
              </w:rPr>
            </w:pPr>
            <w:r w:rsidRPr="009B561A">
              <w:rPr>
                <w:rFonts w:ascii="Calibri" w:hAnsi="Calibri" w:cs="Calibri"/>
                <w:noProof/>
                <w:sz w:val="20"/>
                <w:szCs w:val="20"/>
              </w:rPr>
              <w:t>2016</w:t>
            </w:r>
          </w:p>
        </w:tc>
        <w:tc>
          <w:tcPr>
            <w:tcW w:w="4061" w:type="dxa"/>
          </w:tcPr>
          <w:p w14:paraId="026EEAEF"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noProof/>
                <w:sz w:val="20"/>
                <w:szCs w:val="20"/>
              </w:rPr>
              <w:t>Health Information and Quality Authority (HIQA). Report of the review of antimicrobial stewardship in public acute hospitals.</w:t>
            </w:r>
          </w:p>
        </w:tc>
        <w:tc>
          <w:tcPr>
            <w:tcW w:w="375" w:type="dxa"/>
          </w:tcPr>
          <w:p w14:paraId="7437797C"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4" w:type="dxa"/>
          </w:tcPr>
          <w:p w14:paraId="0F3C7FC4"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1" w:type="dxa"/>
          </w:tcPr>
          <w:p w14:paraId="1EFE3408"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191EE8BB" w14:textId="77777777" w:rsidR="00A70D06" w:rsidRPr="009B561A" w:rsidRDefault="00A70D06" w:rsidP="001B2A18">
            <w:pPr>
              <w:spacing w:line="360" w:lineRule="auto"/>
              <w:rPr>
                <w:rFonts w:ascii="Calibri" w:hAnsi="Calibri" w:cs="Calibri"/>
                <w:sz w:val="20"/>
                <w:szCs w:val="20"/>
              </w:rPr>
            </w:pPr>
          </w:p>
        </w:tc>
      </w:tr>
      <w:tr w:rsidR="00A70D06" w:rsidRPr="009B561A" w14:paraId="196CA95E" w14:textId="77777777" w:rsidTr="001B2A18">
        <w:tc>
          <w:tcPr>
            <w:tcW w:w="323" w:type="dxa"/>
          </w:tcPr>
          <w:p w14:paraId="28EF538A"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5</w:t>
            </w:r>
          </w:p>
        </w:tc>
        <w:tc>
          <w:tcPr>
            <w:tcW w:w="1577" w:type="dxa"/>
          </w:tcPr>
          <w:p w14:paraId="0064A1A4"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HIQA</w:t>
            </w:r>
          </w:p>
        </w:tc>
        <w:tc>
          <w:tcPr>
            <w:tcW w:w="777" w:type="dxa"/>
          </w:tcPr>
          <w:p w14:paraId="2F99AF26"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2021</w:t>
            </w:r>
          </w:p>
        </w:tc>
        <w:tc>
          <w:tcPr>
            <w:tcW w:w="4061" w:type="dxa"/>
          </w:tcPr>
          <w:p w14:paraId="35E122D8"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HIQA INAP 2 Submission</w:t>
            </w:r>
          </w:p>
        </w:tc>
        <w:tc>
          <w:tcPr>
            <w:tcW w:w="375" w:type="dxa"/>
          </w:tcPr>
          <w:p w14:paraId="190278C3"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4" w:type="dxa"/>
          </w:tcPr>
          <w:p w14:paraId="0EDF7E79" w14:textId="77777777" w:rsidR="00A70D06" w:rsidRPr="009B561A" w:rsidRDefault="00A70D06" w:rsidP="001B2A18">
            <w:pPr>
              <w:spacing w:line="360" w:lineRule="auto"/>
              <w:rPr>
                <w:rFonts w:ascii="Calibri" w:hAnsi="Calibri" w:cs="Calibri"/>
                <w:b/>
                <w:bCs/>
                <w:sz w:val="20"/>
                <w:szCs w:val="20"/>
              </w:rPr>
            </w:pPr>
          </w:p>
        </w:tc>
        <w:tc>
          <w:tcPr>
            <w:tcW w:w="361" w:type="dxa"/>
          </w:tcPr>
          <w:p w14:paraId="2F03B330"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3BFDFA00"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r>
      <w:tr w:rsidR="00A70D06" w:rsidRPr="009B561A" w14:paraId="215D88F8" w14:textId="77777777" w:rsidTr="001B2A18">
        <w:tc>
          <w:tcPr>
            <w:tcW w:w="323" w:type="dxa"/>
          </w:tcPr>
          <w:p w14:paraId="78AA4D0B"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6</w:t>
            </w:r>
          </w:p>
        </w:tc>
        <w:tc>
          <w:tcPr>
            <w:tcW w:w="1577" w:type="dxa"/>
          </w:tcPr>
          <w:p w14:paraId="385A8D4B"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WHO</w:t>
            </w:r>
          </w:p>
        </w:tc>
        <w:tc>
          <w:tcPr>
            <w:tcW w:w="777" w:type="dxa"/>
          </w:tcPr>
          <w:p w14:paraId="04EB381D"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2021</w:t>
            </w:r>
          </w:p>
        </w:tc>
        <w:tc>
          <w:tcPr>
            <w:tcW w:w="4061" w:type="dxa"/>
          </w:tcPr>
          <w:p w14:paraId="4ED4570C"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Global antimicrobial resistance and use surveillance system (GLASS) report 2021</w:t>
            </w:r>
          </w:p>
        </w:tc>
        <w:tc>
          <w:tcPr>
            <w:tcW w:w="375" w:type="dxa"/>
          </w:tcPr>
          <w:p w14:paraId="431C4F23" w14:textId="77777777" w:rsidR="00A70D06" w:rsidRPr="009B561A" w:rsidRDefault="00A70D06" w:rsidP="001B2A18">
            <w:pPr>
              <w:spacing w:line="360" w:lineRule="auto"/>
              <w:rPr>
                <w:rFonts w:ascii="Calibri" w:hAnsi="Calibri" w:cs="Calibri"/>
                <w:b/>
                <w:bCs/>
                <w:sz w:val="20"/>
                <w:szCs w:val="20"/>
              </w:rPr>
            </w:pPr>
          </w:p>
        </w:tc>
        <w:tc>
          <w:tcPr>
            <w:tcW w:w="364" w:type="dxa"/>
          </w:tcPr>
          <w:p w14:paraId="3014BB25" w14:textId="77777777" w:rsidR="00A70D06" w:rsidRPr="009B561A" w:rsidRDefault="00A70D06" w:rsidP="001B2A18">
            <w:pPr>
              <w:spacing w:line="360" w:lineRule="auto"/>
              <w:rPr>
                <w:rFonts w:ascii="Calibri" w:hAnsi="Calibri" w:cs="Calibri"/>
                <w:b/>
                <w:bCs/>
                <w:sz w:val="20"/>
                <w:szCs w:val="20"/>
              </w:rPr>
            </w:pPr>
          </w:p>
        </w:tc>
        <w:tc>
          <w:tcPr>
            <w:tcW w:w="361" w:type="dxa"/>
          </w:tcPr>
          <w:p w14:paraId="265C5495"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3F259F50" w14:textId="77777777" w:rsidR="00A70D06" w:rsidRPr="009B561A" w:rsidRDefault="00A70D06" w:rsidP="001B2A18">
            <w:pPr>
              <w:spacing w:line="360" w:lineRule="auto"/>
              <w:rPr>
                <w:rFonts w:ascii="Calibri" w:hAnsi="Calibri" w:cs="Calibri"/>
                <w:sz w:val="20"/>
                <w:szCs w:val="20"/>
              </w:rPr>
            </w:pPr>
          </w:p>
        </w:tc>
      </w:tr>
      <w:tr w:rsidR="00A70D06" w:rsidRPr="009B561A" w14:paraId="5D561F06" w14:textId="77777777" w:rsidTr="001B2A18">
        <w:tc>
          <w:tcPr>
            <w:tcW w:w="323" w:type="dxa"/>
          </w:tcPr>
          <w:p w14:paraId="1C5C61D2"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7</w:t>
            </w:r>
          </w:p>
        </w:tc>
        <w:tc>
          <w:tcPr>
            <w:tcW w:w="1577" w:type="dxa"/>
          </w:tcPr>
          <w:p w14:paraId="1F2172F5"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HSE</w:t>
            </w:r>
          </w:p>
        </w:tc>
        <w:tc>
          <w:tcPr>
            <w:tcW w:w="777" w:type="dxa"/>
          </w:tcPr>
          <w:p w14:paraId="6143E749"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2017</w:t>
            </w:r>
          </w:p>
        </w:tc>
        <w:tc>
          <w:tcPr>
            <w:tcW w:w="4061" w:type="dxa"/>
          </w:tcPr>
          <w:p w14:paraId="050CC3E6"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Recommendations for Implementation of Key Performance Indicators for Antimicrobial Stewardship in Acute Hospitals in Ireland</w:t>
            </w:r>
          </w:p>
        </w:tc>
        <w:tc>
          <w:tcPr>
            <w:tcW w:w="375" w:type="dxa"/>
          </w:tcPr>
          <w:p w14:paraId="55C40301"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4" w:type="dxa"/>
          </w:tcPr>
          <w:p w14:paraId="5BB41CE5"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1" w:type="dxa"/>
          </w:tcPr>
          <w:p w14:paraId="27C56DBC"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5C0F9864" w14:textId="77777777" w:rsidR="00A70D06" w:rsidRPr="009B561A" w:rsidRDefault="00A70D06" w:rsidP="001B2A18">
            <w:pPr>
              <w:spacing w:line="360" w:lineRule="auto"/>
              <w:rPr>
                <w:rFonts w:ascii="Calibri" w:hAnsi="Calibri" w:cs="Calibri"/>
                <w:b/>
                <w:bCs/>
                <w:sz w:val="20"/>
                <w:szCs w:val="20"/>
              </w:rPr>
            </w:pPr>
          </w:p>
        </w:tc>
      </w:tr>
      <w:tr w:rsidR="00A70D06" w:rsidRPr="009B561A" w14:paraId="7BDE78DB" w14:textId="77777777" w:rsidTr="001B2A18">
        <w:tc>
          <w:tcPr>
            <w:tcW w:w="323" w:type="dxa"/>
          </w:tcPr>
          <w:p w14:paraId="4BF11C32"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8</w:t>
            </w:r>
          </w:p>
        </w:tc>
        <w:tc>
          <w:tcPr>
            <w:tcW w:w="1577" w:type="dxa"/>
          </w:tcPr>
          <w:p w14:paraId="7BD37D08"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HSE</w:t>
            </w:r>
          </w:p>
        </w:tc>
        <w:tc>
          <w:tcPr>
            <w:tcW w:w="777" w:type="dxa"/>
          </w:tcPr>
          <w:p w14:paraId="7B70980F"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2018</w:t>
            </w:r>
          </w:p>
        </w:tc>
        <w:tc>
          <w:tcPr>
            <w:tcW w:w="4061" w:type="dxa"/>
          </w:tcPr>
          <w:p w14:paraId="298676E7"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PERFORMANCE ASSURANCE PROCESS FOR KEY PERFORMANCE INDICATORS FOR HCAI AMR IN ACUTE HOSPITALS</w:t>
            </w:r>
          </w:p>
        </w:tc>
        <w:tc>
          <w:tcPr>
            <w:tcW w:w="375" w:type="dxa"/>
          </w:tcPr>
          <w:p w14:paraId="268C54B6"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4" w:type="dxa"/>
          </w:tcPr>
          <w:p w14:paraId="709A86F5"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1" w:type="dxa"/>
          </w:tcPr>
          <w:p w14:paraId="733851B9"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52A415A0" w14:textId="77777777" w:rsidR="00A70D06" w:rsidRPr="009B561A" w:rsidRDefault="00A70D06" w:rsidP="001B2A18">
            <w:pPr>
              <w:spacing w:line="360" w:lineRule="auto"/>
              <w:rPr>
                <w:rFonts w:ascii="Calibri" w:hAnsi="Calibri" w:cs="Calibri"/>
                <w:b/>
                <w:bCs/>
                <w:sz w:val="20"/>
                <w:szCs w:val="20"/>
              </w:rPr>
            </w:pPr>
          </w:p>
        </w:tc>
      </w:tr>
      <w:tr w:rsidR="00A70D06" w:rsidRPr="009B561A" w14:paraId="5CD1FBD9" w14:textId="77777777" w:rsidTr="001B2A18">
        <w:tc>
          <w:tcPr>
            <w:tcW w:w="323" w:type="dxa"/>
          </w:tcPr>
          <w:p w14:paraId="20CF72AE"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lastRenderedPageBreak/>
              <w:t>9</w:t>
            </w:r>
          </w:p>
        </w:tc>
        <w:tc>
          <w:tcPr>
            <w:tcW w:w="1577" w:type="dxa"/>
          </w:tcPr>
          <w:p w14:paraId="516F4045"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HSE</w:t>
            </w:r>
          </w:p>
        </w:tc>
        <w:tc>
          <w:tcPr>
            <w:tcW w:w="777" w:type="dxa"/>
          </w:tcPr>
          <w:p w14:paraId="340186B6"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2021</w:t>
            </w:r>
          </w:p>
        </w:tc>
        <w:tc>
          <w:tcPr>
            <w:tcW w:w="4061" w:type="dxa"/>
          </w:tcPr>
          <w:p w14:paraId="3999C052"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HSE Antimicrobial Resistance Infection Control (AMRIC) action plan 2022-2025</w:t>
            </w:r>
          </w:p>
        </w:tc>
        <w:tc>
          <w:tcPr>
            <w:tcW w:w="375" w:type="dxa"/>
          </w:tcPr>
          <w:p w14:paraId="5A73D936"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4" w:type="dxa"/>
          </w:tcPr>
          <w:p w14:paraId="2960DB23"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1" w:type="dxa"/>
          </w:tcPr>
          <w:p w14:paraId="03C3A47C"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0389E990"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r>
      <w:tr w:rsidR="00A70D06" w:rsidRPr="009B561A" w14:paraId="69373885" w14:textId="77777777" w:rsidTr="001B2A18">
        <w:tc>
          <w:tcPr>
            <w:tcW w:w="323" w:type="dxa"/>
          </w:tcPr>
          <w:p w14:paraId="7EB7990F"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10</w:t>
            </w:r>
          </w:p>
        </w:tc>
        <w:tc>
          <w:tcPr>
            <w:tcW w:w="1577" w:type="dxa"/>
          </w:tcPr>
          <w:p w14:paraId="6477BD7F"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HSE</w:t>
            </w:r>
          </w:p>
        </w:tc>
        <w:tc>
          <w:tcPr>
            <w:tcW w:w="777" w:type="dxa"/>
          </w:tcPr>
          <w:p w14:paraId="60ADA473"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2017</w:t>
            </w:r>
          </w:p>
        </w:tc>
        <w:tc>
          <w:tcPr>
            <w:tcW w:w="4061" w:type="dxa"/>
          </w:tcPr>
          <w:p w14:paraId="008ABE87"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Ireland’s National Action Plan on Antimicrobial Resistance (INAP)</w:t>
            </w:r>
          </w:p>
        </w:tc>
        <w:tc>
          <w:tcPr>
            <w:tcW w:w="375" w:type="dxa"/>
          </w:tcPr>
          <w:p w14:paraId="65BBDFFD"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4" w:type="dxa"/>
          </w:tcPr>
          <w:p w14:paraId="738CC76C"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1" w:type="dxa"/>
          </w:tcPr>
          <w:p w14:paraId="7ACB6FB8"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6989DEDA" w14:textId="77777777" w:rsidR="00A70D06" w:rsidRPr="009B561A" w:rsidRDefault="00A70D06" w:rsidP="001B2A18">
            <w:pPr>
              <w:spacing w:line="360" w:lineRule="auto"/>
              <w:rPr>
                <w:rFonts w:ascii="Calibri" w:hAnsi="Calibri" w:cs="Calibri"/>
                <w:sz w:val="20"/>
                <w:szCs w:val="20"/>
              </w:rPr>
            </w:pPr>
          </w:p>
        </w:tc>
      </w:tr>
      <w:tr w:rsidR="00A70D06" w:rsidRPr="009B561A" w14:paraId="274A75A5" w14:textId="77777777" w:rsidTr="001B2A18">
        <w:tc>
          <w:tcPr>
            <w:tcW w:w="323" w:type="dxa"/>
          </w:tcPr>
          <w:p w14:paraId="068032AB"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11</w:t>
            </w:r>
          </w:p>
        </w:tc>
        <w:tc>
          <w:tcPr>
            <w:tcW w:w="1577" w:type="dxa"/>
          </w:tcPr>
          <w:p w14:paraId="7F247042"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HSE</w:t>
            </w:r>
          </w:p>
        </w:tc>
        <w:tc>
          <w:tcPr>
            <w:tcW w:w="777" w:type="dxa"/>
          </w:tcPr>
          <w:p w14:paraId="33F37F46"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2021</w:t>
            </w:r>
          </w:p>
        </w:tc>
        <w:tc>
          <w:tcPr>
            <w:tcW w:w="4061" w:type="dxa"/>
          </w:tcPr>
          <w:p w14:paraId="1F667E78"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Ireland’s National Action Plan on Antimicrobial Resistance (INAP 2)</w:t>
            </w:r>
          </w:p>
        </w:tc>
        <w:tc>
          <w:tcPr>
            <w:tcW w:w="375" w:type="dxa"/>
          </w:tcPr>
          <w:p w14:paraId="3A0E737F"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4" w:type="dxa"/>
          </w:tcPr>
          <w:p w14:paraId="5771A7ED"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1" w:type="dxa"/>
          </w:tcPr>
          <w:p w14:paraId="3E44124E"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547F00B1"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r>
      <w:tr w:rsidR="00A70D06" w:rsidRPr="009B561A" w14:paraId="7DED5AFE" w14:textId="77777777" w:rsidTr="001B2A18">
        <w:tc>
          <w:tcPr>
            <w:tcW w:w="323" w:type="dxa"/>
          </w:tcPr>
          <w:p w14:paraId="6E9011A2"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12</w:t>
            </w:r>
          </w:p>
        </w:tc>
        <w:tc>
          <w:tcPr>
            <w:tcW w:w="1577" w:type="dxa"/>
          </w:tcPr>
          <w:p w14:paraId="280153C3"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HSE</w:t>
            </w:r>
          </w:p>
        </w:tc>
        <w:tc>
          <w:tcPr>
            <w:tcW w:w="777" w:type="dxa"/>
          </w:tcPr>
          <w:p w14:paraId="55F7267F"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2012</w:t>
            </w:r>
          </w:p>
        </w:tc>
        <w:tc>
          <w:tcPr>
            <w:tcW w:w="4061" w:type="dxa"/>
          </w:tcPr>
          <w:p w14:paraId="058CBAFE"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 xml:space="preserve">Day 1: Start Smart. then Focus (Day 2 onwards). Developed by the RCPI Hospital Antimicrobial Stewardship Working Group (2012). </w:t>
            </w:r>
          </w:p>
        </w:tc>
        <w:tc>
          <w:tcPr>
            <w:tcW w:w="375" w:type="dxa"/>
          </w:tcPr>
          <w:p w14:paraId="02EE687C" w14:textId="77777777" w:rsidR="00A70D06" w:rsidRPr="009B561A" w:rsidRDefault="00A70D06" w:rsidP="001B2A18">
            <w:pPr>
              <w:spacing w:line="360" w:lineRule="auto"/>
              <w:rPr>
                <w:rFonts w:ascii="Calibri" w:hAnsi="Calibri" w:cs="Calibri"/>
                <w:sz w:val="20"/>
                <w:szCs w:val="20"/>
              </w:rPr>
            </w:pPr>
          </w:p>
        </w:tc>
        <w:tc>
          <w:tcPr>
            <w:tcW w:w="364" w:type="dxa"/>
          </w:tcPr>
          <w:p w14:paraId="0F2B1818"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1" w:type="dxa"/>
          </w:tcPr>
          <w:p w14:paraId="0348094C"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7D99520B" w14:textId="77777777" w:rsidR="00A70D06" w:rsidRPr="009B561A" w:rsidRDefault="00A70D06" w:rsidP="001B2A18">
            <w:pPr>
              <w:spacing w:line="360" w:lineRule="auto"/>
              <w:rPr>
                <w:rFonts w:ascii="Calibri" w:hAnsi="Calibri" w:cs="Calibri"/>
                <w:sz w:val="20"/>
                <w:szCs w:val="20"/>
              </w:rPr>
            </w:pPr>
          </w:p>
        </w:tc>
      </w:tr>
      <w:tr w:rsidR="00A70D06" w:rsidRPr="009B561A" w14:paraId="5E3CEB95" w14:textId="77777777" w:rsidTr="001B2A18">
        <w:tc>
          <w:tcPr>
            <w:tcW w:w="323" w:type="dxa"/>
          </w:tcPr>
          <w:p w14:paraId="15C8C1E1"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13</w:t>
            </w:r>
          </w:p>
        </w:tc>
        <w:tc>
          <w:tcPr>
            <w:tcW w:w="1577" w:type="dxa"/>
          </w:tcPr>
          <w:p w14:paraId="51C2951A"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HSE</w:t>
            </w:r>
          </w:p>
        </w:tc>
        <w:tc>
          <w:tcPr>
            <w:tcW w:w="777" w:type="dxa"/>
          </w:tcPr>
          <w:p w14:paraId="30DEE169"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2020</w:t>
            </w:r>
          </w:p>
        </w:tc>
        <w:tc>
          <w:tcPr>
            <w:tcW w:w="4061" w:type="dxa"/>
          </w:tcPr>
          <w:p w14:paraId="717A4040"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Antimicrobial Stewardship in COVID-19</w:t>
            </w:r>
          </w:p>
        </w:tc>
        <w:tc>
          <w:tcPr>
            <w:tcW w:w="375" w:type="dxa"/>
          </w:tcPr>
          <w:p w14:paraId="79FFBF8C" w14:textId="77777777" w:rsidR="00A70D06" w:rsidRPr="009B561A" w:rsidRDefault="00A70D06" w:rsidP="001B2A18">
            <w:pPr>
              <w:spacing w:line="360" w:lineRule="auto"/>
              <w:rPr>
                <w:rFonts w:ascii="Calibri" w:hAnsi="Calibri" w:cs="Calibri"/>
                <w:sz w:val="20"/>
                <w:szCs w:val="20"/>
              </w:rPr>
            </w:pPr>
          </w:p>
        </w:tc>
        <w:tc>
          <w:tcPr>
            <w:tcW w:w="364" w:type="dxa"/>
          </w:tcPr>
          <w:p w14:paraId="63645811"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1" w:type="dxa"/>
          </w:tcPr>
          <w:p w14:paraId="1B9367E8" w14:textId="77777777" w:rsidR="00A70D06" w:rsidRPr="009B561A" w:rsidRDefault="00A70D06" w:rsidP="001B2A18">
            <w:pPr>
              <w:spacing w:line="360" w:lineRule="auto"/>
              <w:jc w:val="center"/>
              <w:rPr>
                <w:rFonts w:ascii="Calibri" w:hAnsi="Calibri" w:cs="Calibri"/>
                <w:sz w:val="20"/>
                <w:szCs w:val="20"/>
              </w:rPr>
            </w:pPr>
          </w:p>
        </w:tc>
        <w:tc>
          <w:tcPr>
            <w:tcW w:w="383" w:type="dxa"/>
          </w:tcPr>
          <w:p w14:paraId="0106000F" w14:textId="77777777" w:rsidR="00A70D06" w:rsidRPr="009B561A" w:rsidRDefault="00A70D06" w:rsidP="001B2A18">
            <w:pPr>
              <w:spacing w:line="360" w:lineRule="auto"/>
              <w:rPr>
                <w:rFonts w:ascii="Calibri" w:hAnsi="Calibri" w:cs="Calibri"/>
                <w:sz w:val="20"/>
                <w:szCs w:val="20"/>
              </w:rPr>
            </w:pPr>
          </w:p>
        </w:tc>
      </w:tr>
      <w:tr w:rsidR="00A70D06" w:rsidRPr="009B561A" w14:paraId="1BC24939" w14:textId="77777777" w:rsidTr="001B2A18">
        <w:tc>
          <w:tcPr>
            <w:tcW w:w="323" w:type="dxa"/>
          </w:tcPr>
          <w:p w14:paraId="62268C71"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14</w:t>
            </w:r>
          </w:p>
        </w:tc>
        <w:tc>
          <w:tcPr>
            <w:tcW w:w="1577" w:type="dxa"/>
          </w:tcPr>
          <w:p w14:paraId="7BE6C422"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HSE</w:t>
            </w:r>
          </w:p>
        </w:tc>
        <w:tc>
          <w:tcPr>
            <w:tcW w:w="777" w:type="dxa"/>
          </w:tcPr>
          <w:p w14:paraId="5EFF3A92"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2019</w:t>
            </w:r>
          </w:p>
        </w:tc>
        <w:tc>
          <w:tcPr>
            <w:tcW w:w="4061" w:type="dxa"/>
          </w:tcPr>
          <w:p w14:paraId="0076D460"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Summary of PCRS AMRIC GP Green Red Reports 2019/2020 for AMRIC Oversight Group &amp; Antimicrobial Stewardship Advisory Group</w:t>
            </w:r>
          </w:p>
        </w:tc>
        <w:tc>
          <w:tcPr>
            <w:tcW w:w="375" w:type="dxa"/>
          </w:tcPr>
          <w:p w14:paraId="69BE187A" w14:textId="77777777" w:rsidR="00A70D06" w:rsidRPr="009B561A" w:rsidRDefault="00A70D06" w:rsidP="001B2A18">
            <w:pPr>
              <w:spacing w:line="360" w:lineRule="auto"/>
              <w:rPr>
                <w:rFonts w:ascii="Calibri" w:hAnsi="Calibri" w:cs="Calibri"/>
                <w:sz w:val="20"/>
                <w:szCs w:val="20"/>
              </w:rPr>
            </w:pPr>
          </w:p>
        </w:tc>
        <w:tc>
          <w:tcPr>
            <w:tcW w:w="364" w:type="dxa"/>
          </w:tcPr>
          <w:p w14:paraId="3CBDE39A"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1" w:type="dxa"/>
          </w:tcPr>
          <w:p w14:paraId="5BD163BC"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0AEC0681"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r>
      <w:tr w:rsidR="00A70D06" w:rsidRPr="009B561A" w14:paraId="3CD736DA" w14:textId="77777777" w:rsidTr="001B2A18">
        <w:tc>
          <w:tcPr>
            <w:tcW w:w="323" w:type="dxa"/>
          </w:tcPr>
          <w:p w14:paraId="077FD8B1"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15</w:t>
            </w:r>
          </w:p>
        </w:tc>
        <w:tc>
          <w:tcPr>
            <w:tcW w:w="1577" w:type="dxa"/>
          </w:tcPr>
          <w:p w14:paraId="4EA8AEA1"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HSE</w:t>
            </w:r>
          </w:p>
        </w:tc>
        <w:tc>
          <w:tcPr>
            <w:tcW w:w="777" w:type="dxa"/>
          </w:tcPr>
          <w:p w14:paraId="38403666" w14:textId="77777777" w:rsidR="00A70D06" w:rsidRPr="009B561A" w:rsidRDefault="00A70D06" w:rsidP="001B2A18">
            <w:pPr>
              <w:spacing w:line="360" w:lineRule="auto"/>
              <w:rPr>
                <w:rFonts w:ascii="Calibri" w:hAnsi="Calibri" w:cs="Calibri"/>
                <w:noProof/>
                <w:sz w:val="20"/>
                <w:szCs w:val="20"/>
              </w:rPr>
            </w:pPr>
            <w:r w:rsidRPr="009B561A">
              <w:rPr>
                <w:rFonts w:ascii="Calibri" w:hAnsi="Calibri" w:cs="Calibri"/>
                <w:noProof/>
                <w:sz w:val="20"/>
                <w:szCs w:val="20"/>
              </w:rPr>
              <w:t>2021</w:t>
            </w:r>
          </w:p>
        </w:tc>
        <w:tc>
          <w:tcPr>
            <w:tcW w:w="4061" w:type="dxa"/>
          </w:tcPr>
          <w:p w14:paraId="1273ADB7" w14:textId="77777777" w:rsidR="00A70D06" w:rsidRPr="009B561A" w:rsidRDefault="00A70D06" w:rsidP="001B2A18">
            <w:pPr>
              <w:spacing w:line="360" w:lineRule="auto"/>
              <w:rPr>
                <w:rFonts w:ascii="Calibri" w:hAnsi="Calibri" w:cs="Calibri"/>
                <w:noProof/>
                <w:sz w:val="20"/>
                <w:szCs w:val="20"/>
              </w:rPr>
            </w:pPr>
            <w:r w:rsidRPr="009B561A">
              <w:rPr>
                <w:rFonts w:ascii="Calibri" w:hAnsi="Calibri" w:cs="Calibri"/>
                <w:noProof/>
                <w:sz w:val="20"/>
                <w:szCs w:val="20"/>
              </w:rPr>
              <w:t>Health Service Executive. Report of the findings of the Point Prevalence Survey of Antimicrobial Use in HSE Older Persons Residential Care Facilities. HSE Irel [Internet]. 2021;(October 2020).</w:t>
            </w:r>
          </w:p>
        </w:tc>
        <w:tc>
          <w:tcPr>
            <w:tcW w:w="375" w:type="dxa"/>
          </w:tcPr>
          <w:p w14:paraId="7ADC03F8" w14:textId="77777777" w:rsidR="00A70D06" w:rsidRPr="009B561A" w:rsidRDefault="00A70D06" w:rsidP="001B2A18">
            <w:pPr>
              <w:spacing w:line="360" w:lineRule="auto"/>
              <w:rPr>
                <w:rFonts w:ascii="Calibri" w:hAnsi="Calibri" w:cs="Calibri"/>
                <w:sz w:val="20"/>
                <w:szCs w:val="20"/>
              </w:rPr>
            </w:pPr>
          </w:p>
        </w:tc>
        <w:tc>
          <w:tcPr>
            <w:tcW w:w="364" w:type="dxa"/>
          </w:tcPr>
          <w:p w14:paraId="65912DAA" w14:textId="77777777" w:rsidR="00A70D06" w:rsidRPr="009B561A" w:rsidRDefault="00A70D06" w:rsidP="001B2A18">
            <w:pPr>
              <w:spacing w:line="360" w:lineRule="auto"/>
              <w:rPr>
                <w:rFonts w:ascii="Calibri" w:hAnsi="Calibri" w:cs="Calibri"/>
                <w:sz w:val="20"/>
                <w:szCs w:val="20"/>
              </w:rPr>
            </w:pPr>
          </w:p>
        </w:tc>
        <w:tc>
          <w:tcPr>
            <w:tcW w:w="361" w:type="dxa"/>
          </w:tcPr>
          <w:p w14:paraId="0D91B43E" w14:textId="77777777" w:rsidR="00A70D06" w:rsidRPr="009B561A" w:rsidRDefault="00A70D06" w:rsidP="001B2A18">
            <w:pPr>
              <w:spacing w:line="360" w:lineRule="auto"/>
              <w:jc w:val="center"/>
              <w:rPr>
                <w:rFonts w:ascii="Calibri" w:hAnsi="Calibri" w:cs="Calibri"/>
                <w:sz w:val="20"/>
                <w:szCs w:val="20"/>
              </w:rPr>
            </w:pPr>
          </w:p>
        </w:tc>
        <w:tc>
          <w:tcPr>
            <w:tcW w:w="383" w:type="dxa"/>
          </w:tcPr>
          <w:p w14:paraId="29BC6E10"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r>
      <w:tr w:rsidR="00A70D06" w:rsidRPr="009B561A" w14:paraId="29D1173C" w14:textId="77777777" w:rsidTr="001B2A18">
        <w:tc>
          <w:tcPr>
            <w:tcW w:w="323" w:type="dxa"/>
          </w:tcPr>
          <w:p w14:paraId="27601746"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16</w:t>
            </w:r>
          </w:p>
        </w:tc>
        <w:tc>
          <w:tcPr>
            <w:tcW w:w="1577" w:type="dxa"/>
          </w:tcPr>
          <w:p w14:paraId="2C69963F"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HSE</w:t>
            </w:r>
          </w:p>
        </w:tc>
        <w:tc>
          <w:tcPr>
            <w:tcW w:w="777" w:type="dxa"/>
          </w:tcPr>
          <w:p w14:paraId="69B5C31B" w14:textId="77777777" w:rsidR="00A70D06" w:rsidRPr="009B561A" w:rsidRDefault="00A70D06" w:rsidP="001B2A18">
            <w:pPr>
              <w:spacing w:line="360" w:lineRule="auto"/>
              <w:rPr>
                <w:rFonts w:ascii="Calibri" w:hAnsi="Calibri" w:cs="Calibri"/>
                <w:noProof/>
                <w:sz w:val="20"/>
                <w:szCs w:val="20"/>
              </w:rPr>
            </w:pPr>
            <w:r w:rsidRPr="009B561A">
              <w:rPr>
                <w:rFonts w:ascii="Calibri" w:hAnsi="Calibri" w:cs="Calibri"/>
                <w:noProof/>
                <w:sz w:val="20"/>
                <w:szCs w:val="20"/>
              </w:rPr>
              <w:t>2021</w:t>
            </w:r>
          </w:p>
        </w:tc>
        <w:tc>
          <w:tcPr>
            <w:tcW w:w="4061" w:type="dxa"/>
          </w:tcPr>
          <w:p w14:paraId="7D0AC2F0" w14:textId="77777777" w:rsidR="00A70D06" w:rsidRPr="009B561A" w:rsidRDefault="00A70D06" w:rsidP="001B2A18">
            <w:pPr>
              <w:spacing w:line="360" w:lineRule="auto"/>
              <w:rPr>
                <w:rFonts w:ascii="Calibri" w:hAnsi="Calibri" w:cs="Calibri"/>
                <w:noProof/>
                <w:sz w:val="20"/>
                <w:szCs w:val="20"/>
              </w:rPr>
            </w:pPr>
            <w:r w:rsidRPr="009B561A">
              <w:rPr>
                <w:rFonts w:ascii="Calibri" w:hAnsi="Calibri" w:cs="Calibri"/>
                <w:noProof/>
                <w:sz w:val="20"/>
                <w:szCs w:val="20"/>
              </w:rPr>
              <w:t>HSE Antimicrobial Resistance and Infection Control Team (AMRIC)  the HASAG&amp; the NCP for S (NCPS). Surgical Antibiotic Prophylaxis Duration Position Paper October 2021 Summary of Recommendations. 2021.</w:t>
            </w:r>
          </w:p>
        </w:tc>
        <w:tc>
          <w:tcPr>
            <w:tcW w:w="375" w:type="dxa"/>
          </w:tcPr>
          <w:p w14:paraId="20E5731E" w14:textId="77777777" w:rsidR="00A70D06" w:rsidRPr="009B561A" w:rsidRDefault="00A70D06" w:rsidP="001B2A18">
            <w:pPr>
              <w:spacing w:line="360" w:lineRule="auto"/>
              <w:rPr>
                <w:rFonts w:ascii="Calibri" w:hAnsi="Calibri" w:cs="Calibri"/>
                <w:b/>
                <w:bCs/>
                <w:sz w:val="20"/>
                <w:szCs w:val="20"/>
              </w:rPr>
            </w:pPr>
          </w:p>
        </w:tc>
        <w:tc>
          <w:tcPr>
            <w:tcW w:w="364" w:type="dxa"/>
          </w:tcPr>
          <w:p w14:paraId="1D7DF82E" w14:textId="77777777" w:rsidR="00A70D06" w:rsidRPr="009B561A" w:rsidRDefault="00A70D06" w:rsidP="001B2A18">
            <w:pPr>
              <w:spacing w:line="360" w:lineRule="auto"/>
              <w:rPr>
                <w:rFonts w:ascii="Calibri" w:hAnsi="Calibri" w:cs="Calibri"/>
                <w:b/>
                <w:bCs/>
                <w:sz w:val="20"/>
                <w:szCs w:val="20"/>
              </w:rPr>
            </w:pPr>
            <w:r w:rsidRPr="009B561A">
              <w:rPr>
                <w:rFonts w:ascii="Calibri" w:hAnsi="Calibri" w:cs="Calibri"/>
                <w:b/>
                <w:bCs/>
                <w:sz w:val="20"/>
                <w:szCs w:val="20"/>
              </w:rPr>
              <w:t>X</w:t>
            </w:r>
          </w:p>
        </w:tc>
        <w:tc>
          <w:tcPr>
            <w:tcW w:w="361" w:type="dxa"/>
          </w:tcPr>
          <w:p w14:paraId="04A6AB9F" w14:textId="77777777" w:rsidR="00A70D06" w:rsidRPr="009B561A" w:rsidRDefault="00A70D06" w:rsidP="001B2A18">
            <w:pPr>
              <w:spacing w:line="360" w:lineRule="auto"/>
              <w:jc w:val="center"/>
              <w:rPr>
                <w:rFonts w:ascii="Calibri" w:hAnsi="Calibri" w:cs="Calibri"/>
                <w:b/>
                <w:bCs/>
                <w:sz w:val="20"/>
                <w:szCs w:val="20"/>
              </w:rPr>
            </w:pPr>
          </w:p>
        </w:tc>
        <w:tc>
          <w:tcPr>
            <w:tcW w:w="383" w:type="dxa"/>
          </w:tcPr>
          <w:p w14:paraId="09129B00" w14:textId="77777777" w:rsidR="00A70D06" w:rsidRPr="009B561A" w:rsidRDefault="00A70D06" w:rsidP="001B2A18">
            <w:pPr>
              <w:spacing w:line="360" w:lineRule="auto"/>
              <w:rPr>
                <w:rFonts w:ascii="Calibri" w:hAnsi="Calibri" w:cs="Calibri"/>
                <w:sz w:val="20"/>
                <w:szCs w:val="20"/>
              </w:rPr>
            </w:pPr>
          </w:p>
        </w:tc>
      </w:tr>
      <w:tr w:rsidR="00A70D06" w:rsidRPr="009B561A" w14:paraId="203739F0" w14:textId="77777777" w:rsidTr="001B2A18">
        <w:tc>
          <w:tcPr>
            <w:tcW w:w="323" w:type="dxa"/>
          </w:tcPr>
          <w:p w14:paraId="5575102B"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17</w:t>
            </w:r>
          </w:p>
        </w:tc>
        <w:tc>
          <w:tcPr>
            <w:tcW w:w="1577" w:type="dxa"/>
          </w:tcPr>
          <w:p w14:paraId="06FA2461"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HPSC</w:t>
            </w:r>
          </w:p>
        </w:tc>
        <w:tc>
          <w:tcPr>
            <w:tcW w:w="777" w:type="dxa"/>
          </w:tcPr>
          <w:p w14:paraId="45526026"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2019</w:t>
            </w:r>
          </w:p>
        </w:tc>
        <w:tc>
          <w:tcPr>
            <w:tcW w:w="4061" w:type="dxa"/>
          </w:tcPr>
          <w:p w14:paraId="043F7384"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Point Prevalence Survey of Hospital-Acquired Infections &amp; Antimicrobial Use in European Acute Care Hospitals: May 2017 INTENSIVE CARE UNIT REPORT: IRELAND – May 2019</w:t>
            </w:r>
          </w:p>
        </w:tc>
        <w:tc>
          <w:tcPr>
            <w:tcW w:w="375" w:type="dxa"/>
          </w:tcPr>
          <w:p w14:paraId="113F3D0A" w14:textId="77777777" w:rsidR="00A70D06" w:rsidRPr="009B561A" w:rsidRDefault="00A70D06" w:rsidP="001B2A18">
            <w:pPr>
              <w:spacing w:line="360" w:lineRule="auto"/>
              <w:rPr>
                <w:rFonts w:ascii="Calibri" w:hAnsi="Calibri" w:cs="Calibri"/>
                <w:b/>
                <w:bCs/>
                <w:sz w:val="20"/>
                <w:szCs w:val="20"/>
              </w:rPr>
            </w:pPr>
          </w:p>
        </w:tc>
        <w:tc>
          <w:tcPr>
            <w:tcW w:w="364" w:type="dxa"/>
          </w:tcPr>
          <w:p w14:paraId="421550F2" w14:textId="77777777" w:rsidR="00A70D06" w:rsidRPr="009B561A" w:rsidRDefault="00A70D06" w:rsidP="001B2A18">
            <w:pPr>
              <w:spacing w:line="360" w:lineRule="auto"/>
              <w:rPr>
                <w:rFonts w:ascii="Calibri" w:hAnsi="Calibri" w:cs="Calibri"/>
                <w:b/>
                <w:bCs/>
                <w:sz w:val="20"/>
                <w:szCs w:val="20"/>
              </w:rPr>
            </w:pPr>
          </w:p>
        </w:tc>
        <w:tc>
          <w:tcPr>
            <w:tcW w:w="361" w:type="dxa"/>
          </w:tcPr>
          <w:p w14:paraId="46CF231D"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1382E927" w14:textId="77777777" w:rsidR="00A70D06" w:rsidRPr="009B561A" w:rsidRDefault="00A70D06" w:rsidP="001B2A18">
            <w:pPr>
              <w:spacing w:line="360" w:lineRule="auto"/>
              <w:rPr>
                <w:rFonts w:ascii="Calibri" w:hAnsi="Calibri" w:cs="Calibri"/>
                <w:sz w:val="20"/>
                <w:szCs w:val="20"/>
              </w:rPr>
            </w:pPr>
          </w:p>
        </w:tc>
      </w:tr>
      <w:tr w:rsidR="00A70D06" w:rsidRPr="009B561A" w14:paraId="236782B9" w14:textId="77777777" w:rsidTr="001B2A18">
        <w:tc>
          <w:tcPr>
            <w:tcW w:w="323" w:type="dxa"/>
          </w:tcPr>
          <w:p w14:paraId="01B66B95"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18</w:t>
            </w:r>
          </w:p>
        </w:tc>
        <w:tc>
          <w:tcPr>
            <w:tcW w:w="1577" w:type="dxa"/>
          </w:tcPr>
          <w:p w14:paraId="4E49D9DE"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HPSC</w:t>
            </w:r>
          </w:p>
        </w:tc>
        <w:tc>
          <w:tcPr>
            <w:tcW w:w="777" w:type="dxa"/>
          </w:tcPr>
          <w:p w14:paraId="0237EFF9"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2017</w:t>
            </w:r>
          </w:p>
        </w:tc>
        <w:tc>
          <w:tcPr>
            <w:tcW w:w="4061" w:type="dxa"/>
          </w:tcPr>
          <w:p w14:paraId="36FDD12A"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9.4 Antimicrobial Resistance</w:t>
            </w:r>
          </w:p>
        </w:tc>
        <w:tc>
          <w:tcPr>
            <w:tcW w:w="375" w:type="dxa"/>
          </w:tcPr>
          <w:p w14:paraId="424E0A75" w14:textId="77777777" w:rsidR="00A70D06" w:rsidRPr="009B561A" w:rsidRDefault="00A70D06" w:rsidP="001B2A18">
            <w:pPr>
              <w:spacing w:line="360" w:lineRule="auto"/>
              <w:rPr>
                <w:rFonts w:ascii="Calibri" w:hAnsi="Calibri" w:cs="Calibri"/>
                <w:b/>
                <w:bCs/>
                <w:sz w:val="20"/>
                <w:szCs w:val="20"/>
              </w:rPr>
            </w:pPr>
          </w:p>
        </w:tc>
        <w:tc>
          <w:tcPr>
            <w:tcW w:w="364" w:type="dxa"/>
          </w:tcPr>
          <w:p w14:paraId="46F3FEF3" w14:textId="77777777" w:rsidR="00A70D06" w:rsidRPr="009B561A" w:rsidRDefault="00A70D06" w:rsidP="001B2A18">
            <w:pPr>
              <w:spacing w:line="360" w:lineRule="auto"/>
              <w:rPr>
                <w:rFonts w:ascii="Calibri" w:hAnsi="Calibri" w:cs="Calibri"/>
                <w:b/>
                <w:bCs/>
                <w:sz w:val="20"/>
                <w:szCs w:val="20"/>
              </w:rPr>
            </w:pPr>
          </w:p>
        </w:tc>
        <w:tc>
          <w:tcPr>
            <w:tcW w:w="361" w:type="dxa"/>
          </w:tcPr>
          <w:p w14:paraId="19887EF4"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247B25D8" w14:textId="77777777" w:rsidR="00A70D06" w:rsidRPr="009B561A" w:rsidRDefault="00A70D06" w:rsidP="001B2A18">
            <w:pPr>
              <w:spacing w:line="360" w:lineRule="auto"/>
              <w:rPr>
                <w:rFonts w:ascii="Calibri" w:hAnsi="Calibri" w:cs="Calibri"/>
                <w:sz w:val="20"/>
                <w:szCs w:val="20"/>
              </w:rPr>
            </w:pPr>
          </w:p>
        </w:tc>
      </w:tr>
      <w:tr w:rsidR="00A70D06" w:rsidRPr="009B561A" w14:paraId="39BB8F6A" w14:textId="77777777" w:rsidTr="001B2A18">
        <w:tc>
          <w:tcPr>
            <w:tcW w:w="323" w:type="dxa"/>
          </w:tcPr>
          <w:p w14:paraId="550EAFF9"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19</w:t>
            </w:r>
          </w:p>
        </w:tc>
        <w:tc>
          <w:tcPr>
            <w:tcW w:w="1577" w:type="dxa"/>
          </w:tcPr>
          <w:p w14:paraId="2F81C936"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HPSC</w:t>
            </w:r>
          </w:p>
        </w:tc>
        <w:tc>
          <w:tcPr>
            <w:tcW w:w="777" w:type="dxa"/>
          </w:tcPr>
          <w:p w14:paraId="2110E9B8"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2018</w:t>
            </w:r>
          </w:p>
        </w:tc>
        <w:tc>
          <w:tcPr>
            <w:tcW w:w="4061" w:type="dxa"/>
          </w:tcPr>
          <w:p w14:paraId="20E30E2A"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Point Prevalence Survey of Hospital-Acquired Infections &amp; Antimicrobial Use in European Acute Care Hospitals: May 2017 SUMMARY OF THE NATIONAL REPORT: IRELAND – DECEMBER 2018</w:t>
            </w:r>
          </w:p>
        </w:tc>
        <w:tc>
          <w:tcPr>
            <w:tcW w:w="375" w:type="dxa"/>
          </w:tcPr>
          <w:p w14:paraId="41A31E53" w14:textId="77777777" w:rsidR="00A70D06" w:rsidRPr="009B561A" w:rsidRDefault="00A70D06" w:rsidP="001B2A18">
            <w:pPr>
              <w:spacing w:line="360" w:lineRule="auto"/>
              <w:rPr>
                <w:rFonts w:ascii="Calibri" w:hAnsi="Calibri" w:cs="Calibri"/>
                <w:b/>
                <w:bCs/>
                <w:sz w:val="20"/>
                <w:szCs w:val="20"/>
              </w:rPr>
            </w:pPr>
          </w:p>
        </w:tc>
        <w:tc>
          <w:tcPr>
            <w:tcW w:w="364" w:type="dxa"/>
          </w:tcPr>
          <w:p w14:paraId="29CF316B" w14:textId="77777777" w:rsidR="00A70D06" w:rsidRPr="009B561A" w:rsidRDefault="00A70D06" w:rsidP="001B2A18">
            <w:pPr>
              <w:spacing w:line="360" w:lineRule="auto"/>
              <w:rPr>
                <w:rFonts w:ascii="Calibri" w:hAnsi="Calibri" w:cs="Calibri"/>
                <w:b/>
                <w:bCs/>
                <w:sz w:val="20"/>
                <w:szCs w:val="20"/>
              </w:rPr>
            </w:pPr>
          </w:p>
        </w:tc>
        <w:tc>
          <w:tcPr>
            <w:tcW w:w="361" w:type="dxa"/>
          </w:tcPr>
          <w:p w14:paraId="0CA7927E"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13AB9D3B" w14:textId="77777777" w:rsidR="00A70D06" w:rsidRPr="009B561A" w:rsidRDefault="00A70D06" w:rsidP="001B2A18">
            <w:pPr>
              <w:spacing w:line="360" w:lineRule="auto"/>
              <w:rPr>
                <w:rFonts w:ascii="Calibri" w:hAnsi="Calibri" w:cs="Calibri"/>
                <w:sz w:val="20"/>
                <w:szCs w:val="20"/>
              </w:rPr>
            </w:pPr>
          </w:p>
        </w:tc>
      </w:tr>
      <w:tr w:rsidR="00A70D06" w:rsidRPr="009B561A" w14:paraId="00280948" w14:textId="77777777" w:rsidTr="001B2A18">
        <w:tc>
          <w:tcPr>
            <w:tcW w:w="323" w:type="dxa"/>
          </w:tcPr>
          <w:p w14:paraId="6B79AB13"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w:t>
            </w:r>
          </w:p>
        </w:tc>
        <w:tc>
          <w:tcPr>
            <w:tcW w:w="1577" w:type="dxa"/>
          </w:tcPr>
          <w:p w14:paraId="35A4E260"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HPSC</w:t>
            </w:r>
          </w:p>
        </w:tc>
        <w:tc>
          <w:tcPr>
            <w:tcW w:w="777" w:type="dxa"/>
          </w:tcPr>
          <w:p w14:paraId="118D5B10"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2013</w:t>
            </w:r>
          </w:p>
        </w:tc>
        <w:tc>
          <w:tcPr>
            <w:tcW w:w="4061" w:type="dxa"/>
          </w:tcPr>
          <w:p w14:paraId="76EB34A6"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 xml:space="preserve">Point Prevalence Survey of   Healthcare‐Associated Infections &amp; Antimicrobial Use </w:t>
            </w:r>
            <w:r w:rsidRPr="009B561A">
              <w:rPr>
                <w:rFonts w:ascii="Calibri" w:hAnsi="Calibri" w:cs="Calibri"/>
                <w:sz w:val="20"/>
                <w:szCs w:val="20"/>
              </w:rPr>
              <w:lastRenderedPageBreak/>
              <w:t>in   Long‐Term Care Facilities (HALT):   May 2013 A Summary of Data from Intellectually Disabled Facilities</w:t>
            </w:r>
          </w:p>
        </w:tc>
        <w:tc>
          <w:tcPr>
            <w:tcW w:w="375" w:type="dxa"/>
          </w:tcPr>
          <w:p w14:paraId="384FBB37" w14:textId="77777777" w:rsidR="00A70D06" w:rsidRPr="009B561A" w:rsidRDefault="00A70D06" w:rsidP="001B2A18">
            <w:pPr>
              <w:spacing w:line="360" w:lineRule="auto"/>
              <w:rPr>
                <w:rFonts w:ascii="Calibri" w:hAnsi="Calibri" w:cs="Calibri"/>
                <w:b/>
                <w:bCs/>
                <w:sz w:val="20"/>
                <w:szCs w:val="20"/>
              </w:rPr>
            </w:pPr>
          </w:p>
        </w:tc>
        <w:tc>
          <w:tcPr>
            <w:tcW w:w="364" w:type="dxa"/>
          </w:tcPr>
          <w:p w14:paraId="65CE1102" w14:textId="77777777" w:rsidR="00A70D06" w:rsidRPr="009B561A" w:rsidRDefault="00A70D06" w:rsidP="001B2A18">
            <w:pPr>
              <w:spacing w:line="360" w:lineRule="auto"/>
              <w:rPr>
                <w:rFonts w:ascii="Calibri" w:hAnsi="Calibri" w:cs="Calibri"/>
                <w:b/>
                <w:bCs/>
                <w:sz w:val="20"/>
                <w:szCs w:val="20"/>
              </w:rPr>
            </w:pPr>
          </w:p>
        </w:tc>
        <w:tc>
          <w:tcPr>
            <w:tcW w:w="361" w:type="dxa"/>
          </w:tcPr>
          <w:p w14:paraId="2D6F6660"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25B732E4" w14:textId="77777777" w:rsidR="00A70D06" w:rsidRPr="009B561A" w:rsidRDefault="00A70D06" w:rsidP="001B2A18">
            <w:pPr>
              <w:spacing w:line="360" w:lineRule="auto"/>
              <w:rPr>
                <w:rFonts w:ascii="Calibri" w:hAnsi="Calibri" w:cs="Calibri"/>
                <w:sz w:val="20"/>
                <w:szCs w:val="20"/>
              </w:rPr>
            </w:pPr>
          </w:p>
        </w:tc>
      </w:tr>
      <w:tr w:rsidR="00A70D06" w:rsidRPr="009B561A" w14:paraId="1C2C329A" w14:textId="77777777" w:rsidTr="001B2A18">
        <w:tc>
          <w:tcPr>
            <w:tcW w:w="323" w:type="dxa"/>
          </w:tcPr>
          <w:p w14:paraId="1AF8C854"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21</w:t>
            </w:r>
          </w:p>
        </w:tc>
        <w:tc>
          <w:tcPr>
            <w:tcW w:w="1577" w:type="dxa"/>
          </w:tcPr>
          <w:p w14:paraId="552A08B2"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HPSC</w:t>
            </w:r>
          </w:p>
        </w:tc>
        <w:tc>
          <w:tcPr>
            <w:tcW w:w="777" w:type="dxa"/>
          </w:tcPr>
          <w:p w14:paraId="489C7625"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2017</w:t>
            </w:r>
          </w:p>
        </w:tc>
        <w:tc>
          <w:tcPr>
            <w:tcW w:w="4061" w:type="dxa"/>
          </w:tcPr>
          <w:p w14:paraId="356D4F58"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Point Prevalence Survey of Healthcare-Associated Infections &amp; Antimicrobial Use in Long-Term Care Facilities (HALT): May 2016 IRELAND: NATIONAL REPORT – MARCH 2017</w:t>
            </w:r>
          </w:p>
        </w:tc>
        <w:tc>
          <w:tcPr>
            <w:tcW w:w="375" w:type="dxa"/>
          </w:tcPr>
          <w:p w14:paraId="3D89BE02" w14:textId="77777777" w:rsidR="00A70D06" w:rsidRPr="009B561A" w:rsidRDefault="00A70D06" w:rsidP="001B2A18">
            <w:pPr>
              <w:spacing w:line="360" w:lineRule="auto"/>
              <w:rPr>
                <w:rFonts w:ascii="Calibri" w:hAnsi="Calibri" w:cs="Calibri"/>
                <w:sz w:val="20"/>
                <w:szCs w:val="20"/>
              </w:rPr>
            </w:pPr>
          </w:p>
        </w:tc>
        <w:tc>
          <w:tcPr>
            <w:tcW w:w="364" w:type="dxa"/>
          </w:tcPr>
          <w:p w14:paraId="684B20CD" w14:textId="77777777" w:rsidR="00A70D06" w:rsidRPr="009B561A" w:rsidRDefault="00A70D06" w:rsidP="001B2A18">
            <w:pPr>
              <w:spacing w:line="360" w:lineRule="auto"/>
              <w:rPr>
                <w:rFonts w:ascii="Calibri" w:hAnsi="Calibri" w:cs="Calibri"/>
                <w:sz w:val="20"/>
                <w:szCs w:val="20"/>
              </w:rPr>
            </w:pPr>
          </w:p>
        </w:tc>
        <w:tc>
          <w:tcPr>
            <w:tcW w:w="361" w:type="dxa"/>
          </w:tcPr>
          <w:p w14:paraId="25363CA7"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2CC1A6E4"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b/>
                <w:bCs/>
                <w:sz w:val="20"/>
                <w:szCs w:val="20"/>
              </w:rPr>
              <w:t>X</w:t>
            </w:r>
          </w:p>
        </w:tc>
      </w:tr>
      <w:tr w:rsidR="00A70D06" w:rsidRPr="009B561A" w14:paraId="6DF75EB2" w14:textId="77777777" w:rsidTr="001B2A18">
        <w:tc>
          <w:tcPr>
            <w:tcW w:w="323" w:type="dxa"/>
          </w:tcPr>
          <w:p w14:paraId="669DF324"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22</w:t>
            </w:r>
          </w:p>
        </w:tc>
        <w:tc>
          <w:tcPr>
            <w:tcW w:w="1577" w:type="dxa"/>
          </w:tcPr>
          <w:p w14:paraId="5485AAEE"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HPSC</w:t>
            </w:r>
          </w:p>
        </w:tc>
        <w:tc>
          <w:tcPr>
            <w:tcW w:w="777" w:type="dxa"/>
          </w:tcPr>
          <w:p w14:paraId="26FB5A28"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2013</w:t>
            </w:r>
          </w:p>
        </w:tc>
        <w:tc>
          <w:tcPr>
            <w:tcW w:w="4061" w:type="dxa"/>
          </w:tcPr>
          <w:p w14:paraId="13BE8760"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Point Prevalence Survey of Hospital‐Acquired Infections &amp;   Antimicrobial Use in European Acute Care Hospitals: May 2012 CRITICAL CARE REPORT: FEBRUARY 2013</w:t>
            </w:r>
          </w:p>
        </w:tc>
        <w:tc>
          <w:tcPr>
            <w:tcW w:w="375" w:type="dxa"/>
          </w:tcPr>
          <w:p w14:paraId="0F5C355C" w14:textId="77777777" w:rsidR="00A70D06" w:rsidRPr="009B561A" w:rsidRDefault="00A70D06" w:rsidP="001B2A18">
            <w:pPr>
              <w:spacing w:line="360" w:lineRule="auto"/>
              <w:rPr>
                <w:rFonts w:ascii="Calibri" w:hAnsi="Calibri" w:cs="Calibri"/>
                <w:sz w:val="20"/>
                <w:szCs w:val="20"/>
              </w:rPr>
            </w:pPr>
          </w:p>
        </w:tc>
        <w:tc>
          <w:tcPr>
            <w:tcW w:w="364" w:type="dxa"/>
          </w:tcPr>
          <w:p w14:paraId="5F77C8D6" w14:textId="77777777" w:rsidR="00A70D06" w:rsidRPr="009B561A" w:rsidRDefault="00A70D06" w:rsidP="001B2A18">
            <w:pPr>
              <w:spacing w:line="360" w:lineRule="auto"/>
              <w:rPr>
                <w:rFonts w:ascii="Calibri" w:hAnsi="Calibri" w:cs="Calibri"/>
                <w:sz w:val="20"/>
                <w:szCs w:val="20"/>
              </w:rPr>
            </w:pPr>
          </w:p>
        </w:tc>
        <w:tc>
          <w:tcPr>
            <w:tcW w:w="361" w:type="dxa"/>
          </w:tcPr>
          <w:p w14:paraId="11609F59"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42CDD87F" w14:textId="77777777" w:rsidR="00A70D06" w:rsidRPr="009B561A" w:rsidRDefault="00A70D06" w:rsidP="001B2A18">
            <w:pPr>
              <w:spacing w:line="360" w:lineRule="auto"/>
              <w:rPr>
                <w:rFonts w:ascii="Calibri" w:hAnsi="Calibri" w:cs="Calibri"/>
                <w:sz w:val="20"/>
                <w:szCs w:val="20"/>
              </w:rPr>
            </w:pPr>
          </w:p>
        </w:tc>
      </w:tr>
      <w:tr w:rsidR="00A70D06" w:rsidRPr="009B561A" w14:paraId="655789FD" w14:textId="77777777" w:rsidTr="001B2A18">
        <w:tc>
          <w:tcPr>
            <w:tcW w:w="323" w:type="dxa"/>
          </w:tcPr>
          <w:p w14:paraId="45F8B558"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23</w:t>
            </w:r>
          </w:p>
        </w:tc>
        <w:tc>
          <w:tcPr>
            <w:tcW w:w="1577" w:type="dxa"/>
          </w:tcPr>
          <w:p w14:paraId="7151D359"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HPSC</w:t>
            </w:r>
          </w:p>
        </w:tc>
        <w:tc>
          <w:tcPr>
            <w:tcW w:w="777" w:type="dxa"/>
          </w:tcPr>
          <w:p w14:paraId="6B25EA20"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2014</w:t>
            </w:r>
          </w:p>
        </w:tc>
        <w:tc>
          <w:tcPr>
            <w:tcW w:w="4061" w:type="dxa"/>
          </w:tcPr>
          <w:p w14:paraId="2893C3F0"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Annual Epidemiological Report 2014</w:t>
            </w:r>
          </w:p>
        </w:tc>
        <w:tc>
          <w:tcPr>
            <w:tcW w:w="375" w:type="dxa"/>
          </w:tcPr>
          <w:p w14:paraId="47D0A0D5" w14:textId="77777777" w:rsidR="00A70D06" w:rsidRPr="009B561A" w:rsidRDefault="00A70D06" w:rsidP="001B2A18">
            <w:pPr>
              <w:spacing w:line="360" w:lineRule="auto"/>
              <w:rPr>
                <w:rFonts w:ascii="Calibri" w:hAnsi="Calibri" w:cs="Calibri"/>
                <w:sz w:val="20"/>
                <w:szCs w:val="20"/>
              </w:rPr>
            </w:pPr>
          </w:p>
        </w:tc>
        <w:tc>
          <w:tcPr>
            <w:tcW w:w="364" w:type="dxa"/>
          </w:tcPr>
          <w:p w14:paraId="29B6F2A2" w14:textId="77777777" w:rsidR="00A70D06" w:rsidRPr="009B561A" w:rsidRDefault="00A70D06" w:rsidP="001B2A18">
            <w:pPr>
              <w:spacing w:line="360" w:lineRule="auto"/>
              <w:rPr>
                <w:rFonts w:ascii="Calibri" w:hAnsi="Calibri" w:cs="Calibri"/>
                <w:sz w:val="20"/>
                <w:szCs w:val="20"/>
              </w:rPr>
            </w:pPr>
          </w:p>
        </w:tc>
        <w:tc>
          <w:tcPr>
            <w:tcW w:w="361" w:type="dxa"/>
          </w:tcPr>
          <w:p w14:paraId="6A86EFDD"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55ACE845" w14:textId="77777777" w:rsidR="00A70D06" w:rsidRPr="009B561A" w:rsidRDefault="00A70D06" w:rsidP="001B2A18">
            <w:pPr>
              <w:spacing w:line="360" w:lineRule="auto"/>
              <w:rPr>
                <w:rFonts w:ascii="Calibri" w:hAnsi="Calibri" w:cs="Calibri"/>
                <w:sz w:val="20"/>
                <w:szCs w:val="20"/>
              </w:rPr>
            </w:pPr>
          </w:p>
        </w:tc>
      </w:tr>
      <w:tr w:rsidR="00A70D06" w:rsidRPr="009B561A" w14:paraId="7FA1841C" w14:textId="77777777" w:rsidTr="001B2A18">
        <w:tc>
          <w:tcPr>
            <w:tcW w:w="323" w:type="dxa"/>
          </w:tcPr>
          <w:p w14:paraId="6A559077"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24</w:t>
            </w:r>
          </w:p>
        </w:tc>
        <w:tc>
          <w:tcPr>
            <w:tcW w:w="1577" w:type="dxa"/>
          </w:tcPr>
          <w:p w14:paraId="6F941219"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HPSC</w:t>
            </w:r>
          </w:p>
        </w:tc>
        <w:tc>
          <w:tcPr>
            <w:tcW w:w="777" w:type="dxa"/>
          </w:tcPr>
          <w:p w14:paraId="1E87465D"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2020</w:t>
            </w:r>
          </w:p>
        </w:tc>
        <w:tc>
          <w:tcPr>
            <w:tcW w:w="4061" w:type="dxa"/>
          </w:tcPr>
          <w:p w14:paraId="46A32C3C" w14:textId="77777777" w:rsidR="00A70D06" w:rsidRPr="009B561A" w:rsidRDefault="00A70D06" w:rsidP="001B2A18">
            <w:pPr>
              <w:spacing w:line="360" w:lineRule="auto"/>
              <w:rPr>
                <w:rFonts w:ascii="Calibri" w:hAnsi="Calibri" w:cs="Calibri"/>
                <w:sz w:val="20"/>
                <w:szCs w:val="20"/>
              </w:rPr>
            </w:pPr>
            <w:r w:rsidRPr="009B561A">
              <w:rPr>
                <w:rFonts w:ascii="Calibri" w:hAnsi="Calibri" w:cs="Calibri"/>
                <w:sz w:val="20"/>
                <w:szCs w:val="20"/>
              </w:rPr>
              <w:t>Hospital Antimicrobial Point Prevalence Survey (PPS) in Ireland: 2020</w:t>
            </w:r>
          </w:p>
        </w:tc>
        <w:tc>
          <w:tcPr>
            <w:tcW w:w="375" w:type="dxa"/>
          </w:tcPr>
          <w:p w14:paraId="7CE4DA73" w14:textId="77777777" w:rsidR="00A70D06" w:rsidRPr="009B561A" w:rsidRDefault="00A70D06" w:rsidP="001B2A18">
            <w:pPr>
              <w:spacing w:line="360" w:lineRule="auto"/>
              <w:rPr>
                <w:rFonts w:ascii="Calibri" w:hAnsi="Calibri" w:cs="Calibri"/>
                <w:sz w:val="20"/>
                <w:szCs w:val="20"/>
              </w:rPr>
            </w:pPr>
          </w:p>
        </w:tc>
        <w:tc>
          <w:tcPr>
            <w:tcW w:w="364" w:type="dxa"/>
          </w:tcPr>
          <w:p w14:paraId="729D7A1E" w14:textId="77777777" w:rsidR="00A70D06" w:rsidRPr="009B561A" w:rsidRDefault="00A70D06" w:rsidP="001B2A18">
            <w:pPr>
              <w:spacing w:line="360" w:lineRule="auto"/>
              <w:rPr>
                <w:rFonts w:ascii="Calibri" w:hAnsi="Calibri" w:cs="Calibri"/>
                <w:sz w:val="20"/>
                <w:szCs w:val="20"/>
              </w:rPr>
            </w:pPr>
          </w:p>
        </w:tc>
        <w:tc>
          <w:tcPr>
            <w:tcW w:w="361" w:type="dxa"/>
          </w:tcPr>
          <w:p w14:paraId="1E62B2FB" w14:textId="77777777" w:rsidR="00A70D06" w:rsidRPr="009B561A" w:rsidRDefault="00A70D06" w:rsidP="001B2A18">
            <w:pPr>
              <w:spacing w:line="360" w:lineRule="auto"/>
              <w:jc w:val="center"/>
              <w:rPr>
                <w:rFonts w:ascii="Calibri" w:hAnsi="Calibri" w:cs="Calibri"/>
                <w:b/>
                <w:bCs/>
                <w:sz w:val="20"/>
                <w:szCs w:val="20"/>
              </w:rPr>
            </w:pPr>
            <w:r w:rsidRPr="009B561A">
              <w:rPr>
                <w:rFonts w:ascii="Calibri" w:hAnsi="Calibri" w:cs="Calibri"/>
                <w:b/>
                <w:bCs/>
                <w:sz w:val="20"/>
                <w:szCs w:val="20"/>
              </w:rPr>
              <w:t>X</w:t>
            </w:r>
          </w:p>
        </w:tc>
        <w:tc>
          <w:tcPr>
            <w:tcW w:w="383" w:type="dxa"/>
          </w:tcPr>
          <w:p w14:paraId="4B79182E" w14:textId="77777777" w:rsidR="00A70D06" w:rsidRPr="009B561A" w:rsidRDefault="00A70D06" w:rsidP="001B2A18">
            <w:pPr>
              <w:spacing w:line="360" w:lineRule="auto"/>
              <w:rPr>
                <w:rFonts w:ascii="Calibri" w:hAnsi="Calibri" w:cs="Calibri"/>
                <w:sz w:val="20"/>
                <w:szCs w:val="20"/>
              </w:rPr>
            </w:pPr>
          </w:p>
        </w:tc>
      </w:tr>
    </w:tbl>
    <w:p w14:paraId="7256197C" w14:textId="77777777" w:rsidR="00A70D06" w:rsidRPr="009B561A" w:rsidRDefault="00A70D06" w:rsidP="00A70D06">
      <w:pPr>
        <w:rPr>
          <w:rFonts w:ascii="Calibri" w:hAnsi="Calibri" w:cs="Calibri"/>
          <w:sz w:val="20"/>
          <w:szCs w:val="20"/>
          <w:lang w:val="en-US"/>
        </w:rPr>
      </w:pPr>
    </w:p>
    <w:p w14:paraId="6C1C98DD" w14:textId="77777777" w:rsidR="00A70D06" w:rsidRPr="009B561A" w:rsidRDefault="00A70D06" w:rsidP="00A70D06">
      <w:pPr>
        <w:rPr>
          <w:rFonts w:ascii="Calibri" w:hAnsi="Calibri" w:cs="Calibri"/>
          <w:sz w:val="20"/>
          <w:szCs w:val="20"/>
          <w:lang w:val="en-US"/>
        </w:rPr>
      </w:pPr>
    </w:p>
    <w:p w14:paraId="20214901" w14:textId="77777777" w:rsidR="00A70D06" w:rsidRPr="009B561A" w:rsidRDefault="00A70D06" w:rsidP="00A70D06">
      <w:pPr>
        <w:rPr>
          <w:rFonts w:ascii="Calibri" w:hAnsi="Calibri" w:cs="Calibri"/>
          <w:sz w:val="20"/>
          <w:szCs w:val="20"/>
          <w:lang w:val="en-US"/>
        </w:rPr>
      </w:pPr>
    </w:p>
    <w:p w14:paraId="37FA6270" w14:textId="77777777" w:rsidR="00A70D06" w:rsidRPr="009B561A" w:rsidRDefault="00A70D06" w:rsidP="00A70D06">
      <w:pPr>
        <w:rPr>
          <w:rFonts w:ascii="Calibri" w:hAnsi="Calibri" w:cs="Calibri"/>
          <w:sz w:val="20"/>
          <w:szCs w:val="20"/>
          <w:lang w:val="en-US"/>
        </w:rPr>
      </w:pPr>
    </w:p>
    <w:p w14:paraId="1B9F2992" w14:textId="77777777" w:rsidR="00A70D06" w:rsidRPr="009B561A" w:rsidRDefault="00A70D06" w:rsidP="00A70D06">
      <w:pPr>
        <w:rPr>
          <w:rFonts w:ascii="Calibri" w:hAnsi="Calibri" w:cs="Calibri"/>
          <w:sz w:val="20"/>
          <w:szCs w:val="20"/>
          <w:lang w:val="en-US"/>
        </w:rPr>
      </w:pPr>
    </w:p>
    <w:p w14:paraId="6E11E072" w14:textId="77777777" w:rsidR="00A020F5" w:rsidRPr="00AD772A" w:rsidRDefault="00A020F5" w:rsidP="00AD772A">
      <w:pPr>
        <w:spacing w:line="360" w:lineRule="auto"/>
        <w:rPr>
          <w:rFonts w:ascii="Calibri" w:hAnsi="Calibri" w:cs="Calibri"/>
          <w:b/>
          <w:bCs/>
          <w:color w:val="FF0000"/>
          <w:sz w:val="24"/>
          <w:szCs w:val="24"/>
          <w:lang w:val="en-US"/>
        </w:rPr>
      </w:pPr>
    </w:p>
    <w:p w14:paraId="6611918A" w14:textId="77777777" w:rsidR="00A020F5" w:rsidRDefault="00A020F5" w:rsidP="00AD772A">
      <w:pPr>
        <w:spacing w:line="360" w:lineRule="auto"/>
        <w:rPr>
          <w:rFonts w:ascii="Calibri" w:eastAsia="Times New Roman" w:hAnsi="Calibri" w:cs="Calibri"/>
          <w:color w:val="FF0000"/>
          <w:sz w:val="24"/>
          <w:szCs w:val="24"/>
          <w:lang w:val="en-GB" w:eastAsia="en-GB"/>
        </w:rPr>
      </w:pPr>
    </w:p>
    <w:p w14:paraId="3D7E0C65" w14:textId="77777777" w:rsidR="00A020F5" w:rsidRDefault="00A020F5" w:rsidP="00AD772A">
      <w:pPr>
        <w:spacing w:line="360" w:lineRule="auto"/>
        <w:rPr>
          <w:rFonts w:ascii="Calibri" w:eastAsia="Times New Roman" w:hAnsi="Calibri" w:cs="Calibri"/>
          <w:color w:val="FF0000"/>
          <w:sz w:val="24"/>
          <w:szCs w:val="24"/>
          <w:lang w:val="en-GB" w:eastAsia="en-GB"/>
        </w:rPr>
      </w:pPr>
    </w:p>
    <w:p w14:paraId="644B24D0" w14:textId="77777777" w:rsidR="00A020F5" w:rsidRDefault="00A020F5" w:rsidP="00AD772A">
      <w:pPr>
        <w:spacing w:line="360" w:lineRule="auto"/>
        <w:rPr>
          <w:rFonts w:ascii="Calibri" w:eastAsia="Times New Roman" w:hAnsi="Calibri" w:cs="Calibri"/>
          <w:color w:val="FF0000"/>
          <w:sz w:val="24"/>
          <w:szCs w:val="24"/>
          <w:lang w:val="en-GB" w:eastAsia="en-GB"/>
        </w:rPr>
      </w:pPr>
    </w:p>
    <w:p w14:paraId="1984DDE9" w14:textId="77777777" w:rsidR="00A020F5" w:rsidRDefault="00A020F5" w:rsidP="00AD772A">
      <w:pPr>
        <w:spacing w:line="360" w:lineRule="auto"/>
        <w:rPr>
          <w:rFonts w:ascii="Calibri" w:eastAsia="Times New Roman" w:hAnsi="Calibri" w:cs="Calibri"/>
          <w:color w:val="FF0000"/>
          <w:sz w:val="24"/>
          <w:szCs w:val="24"/>
          <w:lang w:val="en-GB" w:eastAsia="en-GB"/>
        </w:rPr>
      </w:pPr>
    </w:p>
    <w:p w14:paraId="0FB9C888" w14:textId="77777777" w:rsidR="00A020F5" w:rsidRDefault="00A020F5" w:rsidP="00AD772A">
      <w:pPr>
        <w:spacing w:line="360" w:lineRule="auto"/>
        <w:rPr>
          <w:rFonts w:ascii="Calibri" w:eastAsia="Times New Roman" w:hAnsi="Calibri" w:cs="Calibri"/>
          <w:color w:val="FF0000"/>
          <w:sz w:val="24"/>
          <w:szCs w:val="24"/>
          <w:lang w:val="en-GB" w:eastAsia="en-GB"/>
        </w:rPr>
      </w:pPr>
    </w:p>
    <w:p w14:paraId="1B5FFCDE" w14:textId="77777777" w:rsidR="00A020F5" w:rsidRDefault="00A020F5" w:rsidP="00AD772A">
      <w:pPr>
        <w:spacing w:line="360" w:lineRule="auto"/>
        <w:rPr>
          <w:rFonts w:ascii="Calibri" w:eastAsia="Times New Roman" w:hAnsi="Calibri" w:cs="Calibri"/>
          <w:color w:val="FF0000"/>
          <w:sz w:val="24"/>
          <w:szCs w:val="24"/>
          <w:lang w:val="en-GB" w:eastAsia="en-GB"/>
        </w:rPr>
      </w:pPr>
    </w:p>
    <w:p w14:paraId="2ECC5C7A" w14:textId="77777777" w:rsidR="00A020F5" w:rsidRDefault="00A020F5" w:rsidP="00AD772A">
      <w:pPr>
        <w:spacing w:line="360" w:lineRule="auto"/>
        <w:rPr>
          <w:rFonts w:ascii="Calibri" w:eastAsia="Times New Roman" w:hAnsi="Calibri" w:cs="Calibri"/>
          <w:color w:val="FF0000"/>
          <w:sz w:val="24"/>
          <w:szCs w:val="24"/>
          <w:lang w:val="en-GB" w:eastAsia="en-GB"/>
        </w:rPr>
      </w:pPr>
    </w:p>
    <w:p w14:paraId="550B40DF" w14:textId="77777777" w:rsidR="00A020F5" w:rsidRDefault="00A020F5" w:rsidP="00AD772A">
      <w:pPr>
        <w:spacing w:line="360" w:lineRule="auto"/>
        <w:rPr>
          <w:rFonts w:ascii="Calibri" w:eastAsia="Times New Roman" w:hAnsi="Calibri" w:cs="Calibri"/>
          <w:color w:val="FF0000"/>
          <w:sz w:val="24"/>
          <w:szCs w:val="24"/>
          <w:lang w:val="en-GB" w:eastAsia="en-GB"/>
        </w:rPr>
      </w:pPr>
    </w:p>
    <w:p w14:paraId="2C54BA70" w14:textId="77777777" w:rsidR="00A020F5" w:rsidRDefault="00A020F5" w:rsidP="00AD772A">
      <w:pPr>
        <w:spacing w:line="360" w:lineRule="auto"/>
        <w:rPr>
          <w:rFonts w:ascii="Calibri" w:eastAsia="Times New Roman" w:hAnsi="Calibri" w:cs="Calibri"/>
          <w:color w:val="FF0000"/>
          <w:sz w:val="24"/>
          <w:szCs w:val="24"/>
          <w:lang w:val="en-GB" w:eastAsia="en-GB"/>
        </w:rPr>
      </w:pPr>
    </w:p>
    <w:p w14:paraId="18139CB1" w14:textId="5597C3B9" w:rsidR="00637171" w:rsidRPr="00AD772A" w:rsidRDefault="00637171" w:rsidP="00AD772A">
      <w:pPr>
        <w:spacing w:line="360" w:lineRule="auto"/>
        <w:rPr>
          <w:rFonts w:ascii="Calibri" w:eastAsia="Times New Roman" w:hAnsi="Calibri" w:cs="Calibri"/>
          <w:b/>
          <w:bCs/>
          <w:color w:val="FF0000"/>
          <w:sz w:val="24"/>
          <w:szCs w:val="24"/>
          <w:lang w:val="en-GB" w:eastAsia="en-GB"/>
        </w:rPr>
      </w:pPr>
      <w:r w:rsidRPr="005C2D38">
        <w:rPr>
          <w:rFonts w:ascii="Calibri" w:eastAsia="Times New Roman" w:hAnsi="Calibri" w:cs="Calibri"/>
          <w:b/>
          <w:bCs/>
          <w:sz w:val="24"/>
          <w:szCs w:val="24"/>
          <w:lang w:val="en-GB" w:eastAsia="en-GB"/>
        </w:rPr>
        <w:lastRenderedPageBreak/>
        <w:t xml:space="preserve">Supplementary </w:t>
      </w:r>
      <w:r w:rsidR="005C0661" w:rsidRPr="005C2D38">
        <w:rPr>
          <w:rFonts w:ascii="Calibri" w:eastAsia="Times New Roman" w:hAnsi="Calibri" w:cs="Calibri"/>
          <w:b/>
          <w:bCs/>
          <w:sz w:val="24"/>
          <w:szCs w:val="24"/>
          <w:lang w:val="en-GB" w:eastAsia="en-GB"/>
        </w:rPr>
        <w:t>F</w:t>
      </w:r>
      <w:r w:rsidRPr="005C2D38">
        <w:rPr>
          <w:rFonts w:ascii="Calibri" w:eastAsia="Times New Roman" w:hAnsi="Calibri" w:cs="Calibri"/>
          <w:b/>
          <w:bCs/>
          <w:sz w:val="24"/>
          <w:szCs w:val="24"/>
          <w:lang w:val="en-GB" w:eastAsia="en-GB"/>
        </w:rPr>
        <w:t xml:space="preserve">ile </w:t>
      </w:r>
      <w:r w:rsidR="00077FFC" w:rsidRPr="005C2D38">
        <w:rPr>
          <w:rFonts w:ascii="Calibri" w:eastAsia="Times New Roman" w:hAnsi="Calibri" w:cs="Calibri"/>
          <w:b/>
          <w:bCs/>
          <w:sz w:val="24"/>
          <w:szCs w:val="24"/>
          <w:lang w:val="en-GB" w:eastAsia="en-GB"/>
        </w:rPr>
        <w:t>4</w:t>
      </w:r>
      <w:r w:rsidRPr="005C2D38">
        <w:rPr>
          <w:rFonts w:ascii="Calibri" w:eastAsia="Times New Roman" w:hAnsi="Calibri" w:cs="Calibri"/>
          <w:color w:val="000000" w:themeColor="text1"/>
          <w:sz w:val="24"/>
          <w:szCs w:val="24"/>
          <w:lang w:val="en-GB" w:eastAsia="en-GB"/>
        </w:rPr>
        <w:t>:</w:t>
      </w:r>
      <w:r w:rsidRPr="00AD772A">
        <w:rPr>
          <w:rFonts w:ascii="Calibri" w:eastAsia="Times New Roman" w:hAnsi="Calibri" w:cs="Calibri"/>
          <w:color w:val="000000" w:themeColor="text1"/>
          <w:sz w:val="24"/>
          <w:szCs w:val="24"/>
          <w:lang w:val="en-GB" w:eastAsia="en-GB"/>
        </w:rPr>
        <w:t xml:space="preserve"> </w:t>
      </w:r>
      <w:r w:rsidRPr="00AD772A">
        <w:rPr>
          <w:rFonts w:ascii="Calibri" w:eastAsia="Times New Roman" w:hAnsi="Calibri" w:cs="Calibri"/>
          <w:sz w:val="24"/>
          <w:szCs w:val="24"/>
          <w:lang w:val="en-GB" w:eastAsia="en-GB"/>
        </w:rPr>
        <w:t xml:space="preserve">Table showing </w:t>
      </w:r>
      <w:r w:rsidRPr="00AD772A">
        <w:rPr>
          <w:rFonts w:ascii="Calibri" w:hAnsi="Calibri" w:cs="Calibri"/>
          <w:sz w:val="24"/>
          <w:szCs w:val="24"/>
        </w:rPr>
        <w:t xml:space="preserve">SARI Hospital Antimicrobial Stewardship Working Group. A Strategy for the Control of Antimicrobial Resistance in Ireland (SARI) – Guidelines for Antimicrobial Stewardship in Hospitals in Ireland, 2009 - Executive </w:t>
      </w:r>
      <w:r w:rsidRPr="00D03B83">
        <w:rPr>
          <w:rFonts w:ascii="Calibri" w:hAnsi="Calibri" w:cs="Calibri"/>
          <w:sz w:val="24"/>
          <w:szCs w:val="24"/>
        </w:rPr>
        <w:t xml:space="preserve">Summary </w:t>
      </w:r>
      <w:r w:rsidR="00B26031" w:rsidRPr="00D03B83">
        <w:rPr>
          <w:rFonts w:ascii="Calibri" w:hAnsi="Calibri" w:cs="Calibri"/>
          <w:sz w:val="24"/>
          <w:szCs w:val="24"/>
        </w:rPr>
        <w:fldChar w:fldCharType="begin" w:fldLock="1"/>
      </w:r>
      <w:r w:rsidR="00B26031" w:rsidRPr="00D03B83">
        <w:rPr>
          <w:rFonts w:ascii="Calibri" w:hAnsi="Calibri" w:cs="Calibri"/>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D03B83">
        <w:rPr>
          <w:rFonts w:ascii="Calibri" w:hAnsi="Calibri" w:cs="Calibri"/>
          <w:sz w:val="24"/>
          <w:szCs w:val="24"/>
        </w:rPr>
        <w:fldChar w:fldCharType="separate"/>
      </w:r>
      <w:r w:rsidR="00B17730" w:rsidRPr="00D03B83">
        <w:rPr>
          <w:rFonts w:ascii="Calibri" w:hAnsi="Calibri" w:cs="Calibri"/>
          <w:noProof/>
          <w:sz w:val="24"/>
          <w:szCs w:val="24"/>
        </w:rPr>
        <w:t>[</w:t>
      </w:r>
      <w:r w:rsidR="00B26031" w:rsidRPr="00D03B83">
        <w:rPr>
          <w:rFonts w:ascii="Calibri" w:hAnsi="Calibri" w:cs="Calibri"/>
          <w:noProof/>
          <w:sz w:val="24"/>
          <w:szCs w:val="24"/>
        </w:rPr>
        <w:t>1</w:t>
      </w:r>
      <w:r w:rsidR="00AB0104" w:rsidRPr="00D03B83">
        <w:rPr>
          <w:rFonts w:ascii="Calibri" w:hAnsi="Calibri" w:cs="Calibri"/>
          <w:noProof/>
          <w:sz w:val="24"/>
          <w:szCs w:val="24"/>
        </w:rPr>
        <w:t>,</w:t>
      </w:r>
      <w:r w:rsidR="008D405D" w:rsidRPr="00D03B83">
        <w:rPr>
          <w:rFonts w:ascii="Calibri" w:hAnsi="Calibri" w:cs="Calibri"/>
          <w:noProof/>
          <w:sz w:val="24"/>
          <w:szCs w:val="24"/>
        </w:rPr>
        <w:t>p. 5-6</w:t>
      </w:r>
      <w:r w:rsidR="00B17730" w:rsidRPr="00D03B83">
        <w:rPr>
          <w:rFonts w:ascii="Calibri" w:hAnsi="Calibri" w:cs="Calibri"/>
          <w:noProof/>
          <w:sz w:val="24"/>
          <w:szCs w:val="24"/>
        </w:rPr>
        <w:t>]</w:t>
      </w:r>
      <w:r w:rsidR="00B26031" w:rsidRPr="00D03B83">
        <w:rPr>
          <w:rFonts w:ascii="Calibri" w:hAnsi="Calibri" w:cs="Calibri"/>
          <w:sz w:val="24"/>
          <w:szCs w:val="24"/>
        </w:rPr>
        <w:fldChar w:fldCharType="end"/>
      </w:r>
      <w:r w:rsidR="00B17730" w:rsidRPr="00AD772A">
        <w:rPr>
          <w:rFonts w:ascii="Calibri" w:eastAsia="Times New Roman" w:hAnsi="Calibri" w:cs="Calibri"/>
          <w:b/>
          <w:bCs/>
          <w:color w:val="FF0000"/>
          <w:sz w:val="24"/>
          <w:szCs w:val="24"/>
          <w:lang w:val="en-GB" w:eastAsia="en-GB"/>
        </w:rPr>
        <w:t xml:space="preserve"> </w:t>
      </w:r>
    </w:p>
    <w:tbl>
      <w:tblPr>
        <w:tblStyle w:val="TableGrid1"/>
        <w:tblW w:w="0" w:type="auto"/>
        <w:tblLook w:val="04A0" w:firstRow="1" w:lastRow="0" w:firstColumn="1" w:lastColumn="0" w:noHBand="0" w:noVBand="1"/>
      </w:tblPr>
      <w:tblGrid>
        <w:gridCol w:w="9016"/>
      </w:tblGrid>
      <w:tr w:rsidR="00637171" w:rsidRPr="00A70D06" w14:paraId="58064C27" w14:textId="77777777" w:rsidTr="0087653A">
        <w:tc>
          <w:tcPr>
            <w:tcW w:w="9016" w:type="dxa"/>
            <w:tcBorders>
              <w:top w:val="single" w:sz="4" w:space="0" w:color="auto"/>
              <w:left w:val="single" w:sz="4" w:space="0" w:color="auto"/>
              <w:bottom w:val="single" w:sz="4" w:space="0" w:color="auto"/>
              <w:right w:val="single" w:sz="4" w:space="0" w:color="auto"/>
            </w:tcBorders>
          </w:tcPr>
          <w:p w14:paraId="436EE4CD" w14:textId="77777777" w:rsidR="00637171" w:rsidRPr="00A70D06" w:rsidRDefault="00637171" w:rsidP="009B561A">
            <w:pPr>
              <w:spacing w:line="360" w:lineRule="auto"/>
              <w:rPr>
                <w:rFonts w:ascii="Calibri" w:hAnsi="Calibri" w:cs="Calibri"/>
                <w:b/>
                <w:bCs/>
                <w:sz w:val="20"/>
                <w:szCs w:val="20"/>
              </w:rPr>
            </w:pPr>
            <w:r w:rsidRPr="00A70D06">
              <w:rPr>
                <w:rFonts w:ascii="Calibri" w:hAnsi="Calibri" w:cs="Calibri"/>
                <w:b/>
                <w:bCs/>
                <w:sz w:val="20"/>
                <w:szCs w:val="20"/>
              </w:rPr>
              <w:t>A: Structure and Organisation of Antimicrobial Stewardship</w:t>
            </w:r>
          </w:p>
          <w:p w14:paraId="104C76A6" w14:textId="77777777" w:rsidR="00637171" w:rsidRPr="00A70D06" w:rsidRDefault="00637171" w:rsidP="009B561A">
            <w:pPr>
              <w:spacing w:line="360" w:lineRule="auto"/>
              <w:rPr>
                <w:rFonts w:ascii="Calibri" w:hAnsi="Calibri" w:cs="Calibri"/>
                <w:sz w:val="20"/>
                <w:szCs w:val="20"/>
              </w:rPr>
            </w:pPr>
            <w:r w:rsidRPr="00A70D06">
              <w:rPr>
                <w:rFonts w:ascii="Calibri" w:hAnsi="Calibri" w:cs="Calibri"/>
                <w:sz w:val="20"/>
                <w:szCs w:val="20"/>
              </w:rPr>
              <w:t>Development of hospital antimicrobial stewardship programmes, along with provision of appropriate resources, should be a priority for the Health Services Executive (HSE)</w:t>
            </w:r>
          </w:p>
          <w:p w14:paraId="6070808A" w14:textId="77777777" w:rsidR="00637171" w:rsidRPr="00A70D06" w:rsidRDefault="00637171" w:rsidP="009B561A">
            <w:pPr>
              <w:spacing w:line="360" w:lineRule="auto"/>
              <w:rPr>
                <w:rFonts w:ascii="Calibri" w:hAnsi="Calibri" w:cs="Calibri"/>
                <w:sz w:val="20"/>
                <w:szCs w:val="20"/>
              </w:rPr>
            </w:pPr>
          </w:p>
          <w:p w14:paraId="57001DDA" w14:textId="77777777" w:rsidR="00637171" w:rsidRPr="00A70D06" w:rsidRDefault="00637171" w:rsidP="009B561A">
            <w:pPr>
              <w:spacing w:line="360" w:lineRule="auto"/>
              <w:rPr>
                <w:rFonts w:ascii="Calibri" w:hAnsi="Calibri" w:cs="Calibri"/>
                <w:sz w:val="20"/>
                <w:szCs w:val="20"/>
              </w:rPr>
            </w:pPr>
            <w:r w:rsidRPr="00A70D06">
              <w:rPr>
                <w:rFonts w:ascii="Calibri" w:hAnsi="Calibri" w:cs="Calibri"/>
                <w:sz w:val="20"/>
                <w:szCs w:val="20"/>
              </w:rPr>
              <w:t xml:space="preserve">All acute hospitals should have an annually assessed antimicrobial stewardship programme </w:t>
            </w:r>
          </w:p>
          <w:p w14:paraId="3A86075E" w14:textId="77777777" w:rsidR="00637171" w:rsidRPr="00A70D06" w:rsidRDefault="00637171" w:rsidP="009B561A">
            <w:pPr>
              <w:spacing w:line="360" w:lineRule="auto"/>
              <w:rPr>
                <w:rFonts w:ascii="Calibri" w:hAnsi="Calibri" w:cs="Calibri"/>
                <w:sz w:val="20"/>
                <w:szCs w:val="20"/>
              </w:rPr>
            </w:pPr>
            <w:r w:rsidRPr="00A70D06">
              <w:rPr>
                <w:rFonts w:ascii="Calibri" w:hAnsi="Calibri" w:cs="Calibri"/>
                <w:sz w:val="20"/>
                <w:szCs w:val="20"/>
              </w:rPr>
              <w:t xml:space="preserve">• National treatment guidelines for common infections in hospital should be developed, for adaptation at local level </w:t>
            </w:r>
          </w:p>
          <w:p w14:paraId="42D56C74" w14:textId="77777777" w:rsidR="00637171" w:rsidRPr="00A70D06" w:rsidRDefault="00637171" w:rsidP="009B561A">
            <w:pPr>
              <w:spacing w:line="360" w:lineRule="auto"/>
              <w:rPr>
                <w:rFonts w:ascii="Calibri" w:hAnsi="Calibri" w:cs="Calibri"/>
                <w:sz w:val="20"/>
                <w:szCs w:val="20"/>
              </w:rPr>
            </w:pPr>
            <w:r w:rsidRPr="00A70D06">
              <w:rPr>
                <w:rFonts w:ascii="Calibri" w:hAnsi="Calibri" w:cs="Calibri"/>
                <w:sz w:val="20"/>
                <w:szCs w:val="20"/>
              </w:rPr>
              <w:t>• Undergraduate and postgraduate education of health professionals should include principles of prudent antimicrobial prescribing</w:t>
            </w:r>
          </w:p>
          <w:p w14:paraId="10AE66AD" w14:textId="77777777" w:rsidR="00637171" w:rsidRPr="00A70D06" w:rsidRDefault="00637171" w:rsidP="009B561A">
            <w:pPr>
              <w:spacing w:line="360" w:lineRule="auto"/>
              <w:rPr>
                <w:rFonts w:ascii="Calibri" w:hAnsi="Calibri" w:cs="Calibri"/>
                <w:sz w:val="20"/>
                <w:szCs w:val="20"/>
              </w:rPr>
            </w:pPr>
            <w:r w:rsidRPr="00A70D06">
              <w:rPr>
                <w:rFonts w:ascii="Calibri" w:hAnsi="Calibri" w:cs="Calibri"/>
                <w:sz w:val="20"/>
                <w:szCs w:val="20"/>
              </w:rPr>
              <w:t xml:space="preserve"> • All acute hospitals must have on-site presence of a medical microbiologist or infectious diseases physician, with responsibility for leading the antimicrobial stewardship programme, and 24-hour access to expert advice for management of infections </w:t>
            </w:r>
          </w:p>
          <w:p w14:paraId="0DA5A7BC" w14:textId="77777777" w:rsidR="00637171" w:rsidRPr="00A70D06" w:rsidRDefault="00637171" w:rsidP="009B561A">
            <w:pPr>
              <w:spacing w:line="360" w:lineRule="auto"/>
              <w:rPr>
                <w:rFonts w:ascii="Calibri" w:hAnsi="Calibri" w:cs="Calibri"/>
                <w:sz w:val="20"/>
                <w:szCs w:val="20"/>
              </w:rPr>
            </w:pPr>
            <w:r w:rsidRPr="00A70D06">
              <w:rPr>
                <w:rFonts w:ascii="Calibri" w:hAnsi="Calibri" w:cs="Calibri"/>
                <w:sz w:val="20"/>
                <w:szCs w:val="20"/>
              </w:rPr>
              <w:t xml:space="preserve">• All acute hospitals must have one or more clinical pharmacists with responsibility for antimicrobial stewardship </w:t>
            </w:r>
          </w:p>
          <w:p w14:paraId="27208335" w14:textId="77777777" w:rsidR="00637171" w:rsidRPr="00A70D06" w:rsidRDefault="00637171" w:rsidP="009B561A">
            <w:pPr>
              <w:spacing w:line="360" w:lineRule="auto"/>
              <w:rPr>
                <w:rFonts w:ascii="Calibri" w:hAnsi="Calibri" w:cs="Calibri"/>
                <w:sz w:val="20"/>
                <w:szCs w:val="20"/>
              </w:rPr>
            </w:pPr>
            <w:r w:rsidRPr="00A70D06">
              <w:rPr>
                <w:rFonts w:ascii="Calibri" w:hAnsi="Calibri" w:cs="Calibri"/>
                <w:sz w:val="20"/>
                <w:szCs w:val="20"/>
              </w:rPr>
              <w:t>• All pharmacists with responsibility for antimicrobial stewardship should have access to a structured training programme delivered at a national level</w:t>
            </w:r>
          </w:p>
          <w:p w14:paraId="25564CAA" w14:textId="77777777" w:rsidR="00637171" w:rsidRPr="00A70D06" w:rsidRDefault="00637171" w:rsidP="009B561A">
            <w:pPr>
              <w:spacing w:line="360" w:lineRule="auto"/>
              <w:rPr>
                <w:rFonts w:ascii="Calibri" w:hAnsi="Calibri" w:cs="Calibri"/>
                <w:sz w:val="20"/>
                <w:szCs w:val="20"/>
              </w:rPr>
            </w:pPr>
            <w:r w:rsidRPr="00A70D06">
              <w:rPr>
                <w:rFonts w:ascii="Calibri" w:hAnsi="Calibri" w:cs="Calibri"/>
                <w:sz w:val="20"/>
                <w:szCs w:val="20"/>
              </w:rPr>
              <w:t xml:space="preserve"> • All hospitals should have appropriate administrative and information technology support for antimicrobial stewardship, including an appropriate pharmacy information technology system </w:t>
            </w:r>
          </w:p>
          <w:p w14:paraId="7AC7E960" w14:textId="77777777" w:rsidR="00637171" w:rsidRPr="00A70D06" w:rsidRDefault="00637171" w:rsidP="009B561A">
            <w:pPr>
              <w:spacing w:line="360" w:lineRule="auto"/>
              <w:rPr>
                <w:rFonts w:ascii="Calibri" w:hAnsi="Calibri" w:cs="Calibri"/>
                <w:sz w:val="20"/>
                <w:szCs w:val="20"/>
              </w:rPr>
            </w:pPr>
            <w:r w:rsidRPr="00A70D06">
              <w:rPr>
                <w:rFonts w:ascii="Calibri" w:hAnsi="Calibri" w:cs="Calibri"/>
                <w:sz w:val="20"/>
                <w:szCs w:val="20"/>
              </w:rPr>
              <w:t xml:space="preserve">• The hospital chief executive/manager must ensure promotion of rational antimicrobial use is a strategic goal for the hospital </w:t>
            </w:r>
          </w:p>
          <w:p w14:paraId="6250FCFC" w14:textId="77777777" w:rsidR="00637171" w:rsidRPr="00A70D06" w:rsidRDefault="00637171" w:rsidP="009B561A">
            <w:pPr>
              <w:spacing w:line="360" w:lineRule="auto"/>
              <w:rPr>
                <w:rFonts w:ascii="Calibri" w:hAnsi="Calibri" w:cs="Calibri"/>
                <w:sz w:val="20"/>
                <w:szCs w:val="20"/>
              </w:rPr>
            </w:pPr>
            <w:r w:rsidRPr="00A70D06">
              <w:rPr>
                <w:rFonts w:ascii="Calibri" w:hAnsi="Calibri" w:cs="Calibri"/>
                <w:sz w:val="20"/>
                <w:szCs w:val="20"/>
              </w:rPr>
              <w:t>• All acute hospitals should have a multi-disciplinary Drugs and Therapeutics Committee</w:t>
            </w:r>
          </w:p>
        </w:tc>
      </w:tr>
      <w:tr w:rsidR="00637171" w:rsidRPr="00A70D06" w14:paraId="5F183E3E" w14:textId="77777777" w:rsidTr="0087653A">
        <w:tc>
          <w:tcPr>
            <w:tcW w:w="9016" w:type="dxa"/>
            <w:tcBorders>
              <w:top w:val="single" w:sz="4" w:space="0" w:color="auto"/>
              <w:left w:val="single" w:sz="4" w:space="0" w:color="auto"/>
              <w:bottom w:val="single" w:sz="4" w:space="0" w:color="auto"/>
              <w:right w:val="single" w:sz="4" w:space="0" w:color="auto"/>
            </w:tcBorders>
            <w:hideMark/>
          </w:tcPr>
          <w:p w14:paraId="04A450A2" w14:textId="77777777" w:rsidR="00637171" w:rsidRPr="00A70D06" w:rsidRDefault="00637171" w:rsidP="009B561A">
            <w:pPr>
              <w:spacing w:after="255" w:line="360" w:lineRule="auto"/>
              <w:contextualSpacing/>
              <w:rPr>
                <w:rFonts w:ascii="Calibri" w:hAnsi="Calibri" w:cs="Calibri"/>
                <w:b/>
                <w:bCs/>
                <w:sz w:val="20"/>
                <w:szCs w:val="20"/>
              </w:rPr>
            </w:pPr>
            <w:r w:rsidRPr="00A70D06">
              <w:rPr>
                <w:rFonts w:ascii="Calibri" w:hAnsi="Calibri" w:cs="Calibri"/>
                <w:b/>
                <w:bCs/>
                <w:sz w:val="20"/>
                <w:szCs w:val="20"/>
              </w:rPr>
              <w:t xml:space="preserve">B: Roles and Responsibilities for Prescribers  </w:t>
            </w:r>
          </w:p>
          <w:p w14:paraId="76B5AE1F" w14:textId="65096BBD" w:rsidR="00AD772A" w:rsidRPr="00A70D06" w:rsidRDefault="00637171" w:rsidP="009B561A">
            <w:pPr>
              <w:pStyle w:val="ListParagraph"/>
              <w:numPr>
                <w:ilvl w:val="0"/>
                <w:numId w:val="14"/>
              </w:numPr>
              <w:spacing w:line="360" w:lineRule="auto"/>
              <w:rPr>
                <w:rFonts w:ascii="Calibri" w:hAnsi="Calibri" w:cs="Calibri"/>
                <w:sz w:val="20"/>
                <w:szCs w:val="20"/>
              </w:rPr>
            </w:pPr>
            <w:r w:rsidRPr="00A70D06">
              <w:rPr>
                <w:rFonts w:ascii="Calibri" w:hAnsi="Calibri" w:cs="Calibri"/>
                <w:sz w:val="20"/>
                <w:szCs w:val="20"/>
              </w:rPr>
              <w:t xml:space="preserve">All prescribing of antimicrobials, either for treatment or prophylaxis, should follow the principles of prudent antimicrobial prescribing (from recommendations produced by the UK Specialist Advisory Committee on Antimicrobial Resistance (SACAR) </w:t>
            </w:r>
          </w:p>
          <w:p w14:paraId="7FBB4025" w14:textId="5F2B47B3" w:rsidR="00AD772A" w:rsidRPr="00A70D06" w:rsidRDefault="00637171" w:rsidP="009B561A">
            <w:pPr>
              <w:pStyle w:val="ListParagraph"/>
              <w:numPr>
                <w:ilvl w:val="0"/>
                <w:numId w:val="14"/>
              </w:numPr>
              <w:spacing w:line="360" w:lineRule="auto"/>
              <w:rPr>
                <w:rFonts w:ascii="Calibri" w:hAnsi="Calibri" w:cs="Calibri"/>
                <w:sz w:val="20"/>
                <w:szCs w:val="20"/>
              </w:rPr>
            </w:pPr>
            <w:r w:rsidRPr="00A70D06">
              <w:rPr>
                <w:rFonts w:ascii="Calibri" w:hAnsi="Calibri" w:cs="Calibri"/>
                <w:sz w:val="20"/>
                <w:szCs w:val="20"/>
              </w:rPr>
              <w:t xml:space="preserve">Rational antimicrobial prescribing should be included in clinical governance requirements for all clinicians </w:t>
            </w:r>
          </w:p>
          <w:p w14:paraId="68083D1A" w14:textId="0C899F43" w:rsidR="00B26031" w:rsidRPr="00F803DC" w:rsidRDefault="00637171" w:rsidP="009B561A">
            <w:pPr>
              <w:pStyle w:val="ListParagraph"/>
              <w:numPr>
                <w:ilvl w:val="0"/>
                <w:numId w:val="14"/>
              </w:numPr>
              <w:spacing w:line="360" w:lineRule="auto"/>
              <w:rPr>
                <w:rFonts w:ascii="Calibri" w:hAnsi="Calibri" w:cs="Calibri"/>
                <w:b/>
                <w:bCs/>
                <w:sz w:val="20"/>
                <w:szCs w:val="20"/>
              </w:rPr>
            </w:pPr>
            <w:r w:rsidRPr="00A70D06">
              <w:rPr>
                <w:rFonts w:ascii="Calibri" w:hAnsi="Calibri" w:cs="Calibri"/>
                <w:sz w:val="20"/>
                <w:szCs w:val="20"/>
              </w:rPr>
              <w:t>Patients, or their legal guardians, should be informed of the rationale for prescribing antimicrobials, and informed of any associated risks or adverse effects</w:t>
            </w:r>
          </w:p>
          <w:p w14:paraId="216948BD" w14:textId="47A0D294" w:rsidR="00FA13EB" w:rsidRPr="00FA13EB" w:rsidRDefault="00FA13EB" w:rsidP="009B561A">
            <w:pPr>
              <w:spacing w:line="360" w:lineRule="auto"/>
              <w:rPr>
                <w:rFonts w:ascii="Calibri" w:hAnsi="Calibri" w:cs="Calibri"/>
                <w:b/>
                <w:bCs/>
                <w:sz w:val="20"/>
                <w:szCs w:val="20"/>
              </w:rPr>
            </w:pPr>
          </w:p>
        </w:tc>
      </w:tr>
      <w:tr w:rsidR="00637171" w:rsidRPr="00A70D06" w14:paraId="0137471B" w14:textId="77777777" w:rsidTr="0087653A">
        <w:tc>
          <w:tcPr>
            <w:tcW w:w="9016" w:type="dxa"/>
            <w:tcBorders>
              <w:top w:val="single" w:sz="4" w:space="0" w:color="auto"/>
              <w:left w:val="single" w:sz="4" w:space="0" w:color="auto"/>
              <w:bottom w:val="single" w:sz="4" w:space="0" w:color="auto"/>
              <w:right w:val="single" w:sz="4" w:space="0" w:color="auto"/>
            </w:tcBorders>
            <w:hideMark/>
          </w:tcPr>
          <w:p w14:paraId="4018CA95" w14:textId="77777777" w:rsidR="00637171" w:rsidRPr="00A70D06" w:rsidRDefault="00637171" w:rsidP="009B561A">
            <w:pPr>
              <w:spacing w:after="255" w:line="360" w:lineRule="auto"/>
              <w:contextualSpacing/>
              <w:rPr>
                <w:rFonts w:ascii="Calibri" w:hAnsi="Calibri" w:cs="Calibri"/>
                <w:b/>
                <w:bCs/>
                <w:sz w:val="20"/>
                <w:szCs w:val="20"/>
              </w:rPr>
            </w:pPr>
            <w:r w:rsidRPr="00A70D06">
              <w:rPr>
                <w:rFonts w:ascii="Calibri" w:hAnsi="Calibri" w:cs="Calibri"/>
                <w:b/>
                <w:bCs/>
                <w:sz w:val="20"/>
                <w:szCs w:val="20"/>
              </w:rPr>
              <w:t>C: Antimicrobial Stewardship Interventions</w:t>
            </w:r>
          </w:p>
          <w:p w14:paraId="12208BDA" w14:textId="77777777" w:rsidR="00637171" w:rsidRPr="00A70D06" w:rsidRDefault="00637171" w:rsidP="009B561A">
            <w:pPr>
              <w:spacing w:line="360" w:lineRule="auto"/>
              <w:rPr>
                <w:rFonts w:ascii="Calibri" w:hAnsi="Calibri" w:cs="Calibri"/>
                <w:sz w:val="20"/>
                <w:szCs w:val="20"/>
              </w:rPr>
            </w:pPr>
            <w:r w:rsidRPr="00A70D06">
              <w:rPr>
                <w:rFonts w:ascii="Calibri" w:hAnsi="Calibri" w:cs="Calibri"/>
                <w:sz w:val="20"/>
                <w:szCs w:val="20"/>
              </w:rPr>
              <w:t xml:space="preserve">Clinical review of patients receiving antimicrobials by an antimicrobial stewardship team (microbiologist/infectious diseases physician/pharmacist), with direct advice and feedback to prescribers </w:t>
            </w:r>
          </w:p>
          <w:p w14:paraId="05A1D5E2" w14:textId="77777777" w:rsidR="00637171" w:rsidRPr="00A70D06" w:rsidRDefault="00637171" w:rsidP="009B561A">
            <w:pPr>
              <w:pStyle w:val="ListParagraph"/>
              <w:numPr>
                <w:ilvl w:val="0"/>
                <w:numId w:val="3"/>
              </w:numPr>
              <w:spacing w:line="360" w:lineRule="auto"/>
              <w:rPr>
                <w:rFonts w:ascii="Calibri" w:hAnsi="Calibri" w:cs="Calibri"/>
                <w:sz w:val="20"/>
                <w:szCs w:val="20"/>
              </w:rPr>
            </w:pPr>
            <w:r w:rsidRPr="00A70D06">
              <w:rPr>
                <w:rFonts w:ascii="Calibri" w:hAnsi="Calibri" w:cs="Calibri"/>
                <w:sz w:val="20"/>
                <w:szCs w:val="20"/>
              </w:rPr>
              <w:lastRenderedPageBreak/>
              <w:t xml:space="preserve">Regular surveillance/audit of antimicrobial use, with interactive feedback of results to prescribers </w:t>
            </w:r>
          </w:p>
          <w:p w14:paraId="2C96EE9C" w14:textId="77777777" w:rsidR="00637171" w:rsidRPr="00A70D06" w:rsidRDefault="00637171" w:rsidP="009B561A">
            <w:pPr>
              <w:pStyle w:val="ListParagraph"/>
              <w:numPr>
                <w:ilvl w:val="0"/>
                <w:numId w:val="3"/>
              </w:numPr>
              <w:spacing w:line="360" w:lineRule="auto"/>
              <w:rPr>
                <w:rFonts w:ascii="Calibri" w:hAnsi="Calibri" w:cs="Calibri"/>
                <w:sz w:val="20"/>
                <w:szCs w:val="20"/>
              </w:rPr>
            </w:pPr>
            <w:r w:rsidRPr="00A70D06">
              <w:rPr>
                <w:rFonts w:ascii="Calibri" w:hAnsi="Calibri" w:cs="Calibri"/>
                <w:sz w:val="20"/>
                <w:szCs w:val="20"/>
              </w:rPr>
              <w:t>Limiting the use of specific antimicrobial agents through restricting availability, restricting use to specified clinical settings, or requiring pre-authorisation by a member of the antimicrobial stewardship team prior to prescribing</w:t>
            </w:r>
          </w:p>
          <w:p w14:paraId="354C904B" w14:textId="77777777" w:rsidR="00637171" w:rsidRPr="00A70D06" w:rsidRDefault="00637171" w:rsidP="009B561A">
            <w:pPr>
              <w:spacing w:line="360" w:lineRule="auto"/>
              <w:rPr>
                <w:rFonts w:ascii="Calibri" w:hAnsi="Calibri" w:cs="Calibri"/>
                <w:b/>
                <w:bCs/>
                <w:sz w:val="20"/>
                <w:szCs w:val="20"/>
              </w:rPr>
            </w:pPr>
            <w:r w:rsidRPr="00A70D06">
              <w:rPr>
                <w:rFonts w:ascii="Calibri" w:hAnsi="Calibri" w:cs="Calibri"/>
                <w:b/>
                <w:bCs/>
                <w:sz w:val="20"/>
                <w:szCs w:val="20"/>
              </w:rPr>
              <w:t>The recommended therapeutic interventions to improve the quality of antimicrobial use are:</w:t>
            </w:r>
          </w:p>
          <w:p w14:paraId="55485ADF" w14:textId="77777777" w:rsidR="00637171" w:rsidRPr="00A70D06" w:rsidRDefault="00637171" w:rsidP="009B561A">
            <w:pPr>
              <w:pStyle w:val="ListParagraph"/>
              <w:numPr>
                <w:ilvl w:val="0"/>
                <w:numId w:val="4"/>
              </w:numPr>
              <w:spacing w:line="360" w:lineRule="auto"/>
              <w:rPr>
                <w:rFonts w:ascii="Calibri" w:hAnsi="Calibri" w:cs="Calibri"/>
                <w:sz w:val="20"/>
                <w:szCs w:val="20"/>
              </w:rPr>
            </w:pPr>
            <w:r w:rsidRPr="00A70D06">
              <w:rPr>
                <w:rFonts w:ascii="Calibri" w:hAnsi="Calibri" w:cs="Calibri"/>
                <w:sz w:val="20"/>
                <w:szCs w:val="20"/>
              </w:rPr>
              <w:t xml:space="preserve">Ensuring antimicrobial therapy is optimised to the individual patient including, where necessary, therapeutic drug monitoring </w:t>
            </w:r>
          </w:p>
          <w:p w14:paraId="53D2FDBE" w14:textId="77777777" w:rsidR="00637171" w:rsidRPr="00A70D06" w:rsidRDefault="00637171" w:rsidP="009B561A">
            <w:pPr>
              <w:pStyle w:val="ListParagraph"/>
              <w:numPr>
                <w:ilvl w:val="0"/>
                <w:numId w:val="4"/>
              </w:numPr>
              <w:spacing w:line="360" w:lineRule="auto"/>
              <w:rPr>
                <w:rFonts w:ascii="Calibri" w:hAnsi="Calibri" w:cs="Calibri"/>
                <w:sz w:val="20"/>
                <w:szCs w:val="20"/>
              </w:rPr>
            </w:pPr>
            <w:r w:rsidRPr="00A70D06">
              <w:rPr>
                <w:rFonts w:ascii="Calibri" w:hAnsi="Calibri" w:cs="Calibri"/>
                <w:sz w:val="20"/>
                <w:szCs w:val="20"/>
              </w:rPr>
              <w:t xml:space="preserve">Ensuring empiric antimicrobial therapy is streamlined as soon as possible, to ensure therapy is directed against the causative pathogen(s) </w:t>
            </w:r>
          </w:p>
          <w:p w14:paraId="605D4EF8" w14:textId="77777777" w:rsidR="00637171" w:rsidRPr="00A70D06" w:rsidRDefault="00637171" w:rsidP="009B561A">
            <w:pPr>
              <w:pStyle w:val="ListParagraph"/>
              <w:numPr>
                <w:ilvl w:val="0"/>
                <w:numId w:val="4"/>
              </w:numPr>
              <w:spacing w:line="360" w:lineRule="auto"/>
              <w:rPr>
                <w:rFonts w:ascii="Calibri" w:hAnsi="Calibri" w:cs="Calibri"/>
                <w:sz w:val="20"/>
                <w:szCs w:val="20"/>
              </w:rPr>
            </w:pPr>
            <w:r w:rsidRPr="00A70D06">
              <w:rPr>
                <w:rFonts w:ascii="Calibri" w:hAnsi="Calibri" w:cs="Calibri"/>
                <w:sz w:val="20"/>
                <w:szCs w:val="20"/>
              </w:rPr>
              <w:t xml:space="preserve">Having an effective programme for timely conversion of parenteral antimicrobial therapy to oral therapy </w:t>
            </w:r>
          </w:p>
          <w:p w14:paraId="76AB5DFA" w14:textId="77777777" w:rsidR="00637171" w:rsidRPr="00A70D06" w:rsidRDefault="00637171" w:rsidP="009B561A">
            <w:pPr>
              <w:pStyle w:val="ListParagraph"/>
              <w:numPr>
                <w:ilvl w:val="0"/>
                <w:numId w:val="4"/>
              </w:numPr>
              <w:spacing w:line="360" w:lineRule="auto"/>
              <w:rPr>
                <w:rFonts w:ascii="Calibri" w:hAnsi="Calibri" w:cs="Calibri"/>
                <w:sz w:val="20"/>
                <w:szCs w:val="20"/>
              </w:rPr>
            </w:pPr>
            <w:r w:rsidRPr="00A70D06">
              <w:rPr>
                <w:rFonts w:ascii="Calibri" w:hAnsi="Calibri" w:cs="Calibri"/>
                <w:sz w:val="20"/>
                <w:szCs w:val="20"/>
              </w:rPr>
              <w:t xml:space="preserve">Antimicrobial stewardship teams should promote the management of patients in Outpatient Parenteral Antimicrobial Therapy (OPAT) programmes, for selected clinical situations </w:t>
            </w:r>
          </w:p>
          <w:p w14:paraId="27413084" w14:textId="7F22467C" w:rsidR="00637171" w:rsidRPr="00A70D06" w:rsidRDefault="00637171" w:rsidP="009B561A">
            <w:pPr>
              <w:spacing w:line="360" w:lineRule="auto"/>
              <w:rPr>
                <w:rFonts w:ascii="Calibri" w:hAnsi="Calibri" w:cs="Calibri"/>
                <w:b/>
                <w:bCs/>
                <w:sz w:val="20"/>
                <w:szCs w:val="20"/>
              </w:rPr>
            </w:pPr>
            <w:r w:rsidRPr="00A70D06">
              <w:rPr>
                <w:rFonts w:ascii="Calibri" w:hAnsi="Calibri" w:cs="Calibri"/>
                <w:b/>
                <w:bCs/>
                <w:sz w:val="20"/>
                <w:szCs w:val="20"/>
              </w:rPr>
              <w:t xml:space="preserve">The recommended educational interventions and prescribing aids to improve the quality of antimicrobial use are: </w:t>
            </w:r>
          </w:p>
          <w:p w14:paraId="0AEEF2A0" w14:textId="0B14C62D" w:rsidR="00637171" w:rsidRPr="00A70D06" w:rsidRDefault="00637171" w:rsidP="009B561A">
            <w:pPr>
              <w:pStyle w:val="ListParagraph"/>
              <w:numPr>
                <w:ilvl w:val="0"/>
                <w:numId w:val="11"/>
              </w:numPr>
              <w:spacing w:line="360" w:lineRule="auto"/>
              <w:rPr>
                <w:rFonts w:ascii="Calibri" w:hAnsi="Calibri" w:cs="Calibri"/>
                <w:sz w:val="20"/>
                <w:szCs w:val="20"/>
              </w:rPr>
            </w:pPr>
            <w:r w:rsidRPr="00A70D06">
              <w:rPr>
                <w:rFonts w:ascii="Calibri" w:hAnsi="Calibri" w:cs="Calibri"/>
                <w:sz w:val="20"/>
                <w:szCs w:val="20"/>
              </w:rPr>
              <w:t xml:space="preserve">All hospitals should have a programme of ongoing education for prescribers </w:t>
            </w:r>
          </w:p>
          <w:p w14:paraId="0BDEA039" w14:textId="7F86158C" w:rsidR="00637171" w:rsidRPr="00A70D06" w:rsidRDefault="00637171" w:rsidP="009B561A">
            <w:pPr>
              <w:pStyle w:val="ListParagraph"/>
              <w:numPr>
                <w:ilvl w:val="0"/>
                <w:numId w:val="11"/>
              </w:numPr>
              <w:spacing w:line="360" w:lineRule="auto"/>
              <w:rPr>
                <w:rFonts w:ascii="Calibri" w:hAnsi="Calibri" w:cs="Calibri"/>
                <w:sz w:val="20"/>
                <w:szCs w:val="20"/>
              </w:rPr>
            </w:pPr>
            <w:r w:rsidRPr="00A70D06">
              <w:rPr>
                <w:rFonts w:ascii="Calibri" w:hAnsi="Calibri" w:cs="Calibri"/>
                <w:sz w:val="20"/>
                <w:szCs w:val="20"/>
              </w:rPr>
              <w:t>All hospitals should have local/regional antimicrobial prescribing guidelines, which are regularly updated and are based, whenever possible, on local antimicrobial resistance data</w:t>
            </w:r>
          </w:p>
          <w:p w14:paraId="76B551BE" w14:textId="148A79E4" w:rsidR="00637171" w:rsidRPr="00A70D06" w:rsidRDefault="00637171" w:rsidP="009B561A">
            <w:pPr>
              <w:pStyle w:val="ListParagraph"/>
              <w:numPr>
                <w:ilvl w:val="0"/>
                <w:numId w:val="11"/>
              </w:numPr>
              <w:spacing w:line="360" w:lineRule="auto"/>
              <w:rPr>
                <w:rFonts w:ascii="Calibri" w:hAnsi="Calibri" w:cs="Calibri"/>
                <w:sz w:val="20"/>
                <w:szCs w:val="20"/>
              </w:rPr>
            </w:pPr>
            <w:r w:rsidRPr="00A70D06">
              <w:rPr>
                <w:rFonts w:ascii="Calibri" w:hAnsi="Calibri" w:cs="Calibri"/>
                <w:sz w:val="20"/>
                <w:szCs w:val="20"/>
              </w:rPr>
              <w:t>All hospitals should consider using specific order forms or designate a section of the prescription chart for prescribing of antimicrobials.</w:t>
            </w:r>
          </w:p>
          <w:p w14:paraId="250DD837" w14:textId="1AA95C7C" w:rsidR="00637171" w:rsidRPr="00A70D06" w:rsidRDefault="00637171" w:rsidP="009B561A">
            <w:pPr>
              <w:pStyle w:val="ListParagraph"/>
              <w:numPr>
                <w:ilvl w:val="0"/>
                <w:numId w:val="11"/>
              </w:numPr>
              <w:spacing w:line="360" w:lineRule="auto"/>
              <w:rPr>
                <w:rFonts w:ascii="Calibri" w:hAnsi="Calibri" w:cs="Calibri"/>
                <w:sz w:val="20"/>
                <w:szCs w:val="20"/>
              </w:rPr>
            </w:pPr>
            <w:r w:rsidRPr="00A70D06">
              <w:rPr>
                <w:rFonts w:ascii="Calibri" w:hAnsi="Calibri" w:cs="Calibri"/>
                <w:sz w:val="20"/>
                <w:szCs w:val="20"/>
              </w:rPr>
              <w:t xml:space="preserve">Consideration should be given to using prescribing aids, such as standardised documentation of treatment decisions and information technology-based prescribing supports Commercial promotion of antimicrobials should follow the Code of Marketing Practice, produced by the Irish Pharmaceutical Healthcare Association, and local guidelines approved by the hospital’s Drugs and Therapeutics Committee </w:t>
            </w:r>
          </w:p>
          <w:p w14:paraId="1F2C88EE" w14:textId="280F38F4" w:rsidR="00637171" w:rsidRPr="00A70D06" w:rsidRDefault="00637171" w:rsidP="009B561A">
            <w:pPr>
              <w:spacing w:line="360" w:lineRule="auto"/>
              <w:rPr>
                <w:rFonts w:ascii="Calibri" w:hAnsi="Calibri" w:cs="Calibri"/>
                <w:b/>
                <w:bCs/>
                <w:sz w:val="20"/>
                <w:szCs w:val="20"/>
              </w:rPr>
            </w:pPr>
            <w:r w:rsidRPr="00A70D06">
              <w:rPr>
                <w:rFonts w:ascii="Calibri" w:hAnsi="Calibri" w:cs="Calibri"/>
                <w:b/>
                <w:bCs/>
                <w:sz w:val="20"/>
                <w:szCs w:val="20"/>
              </w:rPr>
              <w:t xml:space="preserve"> The recommended laboratory interventions to improve the quality of antimicrobial use are: </w:t>
            </w:r>
          </w:p>
          <w:p w14:paraId="0A8DC8DD" w14:textId="77777777" w:rsidR="00637171" w:rsidRPr="00A70D06" w:rsidRDefault="00637171" w:rsidP="009B561A">
            <w:pPr>
              <w:pStyle w:val="ListParagraph"/>
              <w:numPr>
                <w:ilvl w:val="0"/>
                <w:numId w:val="12"/>
              </w:numPr>
              <w:spacing w:line="360" w:lineRule="auto"/>
              <w:rPr>
                <w:rFonts w:ascii="Calibri" w:hAnsi="Calibri" w:cs="Calibri"/>
                <w:sz w:val="20"/>
                <w:szCs w:val="20"/>
              </w:rPr>
            </w:pPr>
            <w:r w:rsidRPr="00A70D06">
              <w:rPr>
                <w:rFonts w:ascii="Calibri" w:hAnsi="Calibri" w:cs="Calibri"/>
                <w:sz w:val="20"/>
                <w:szCs w:val="20"/>
              </w:rPr>
              <w:t xml:space="preserve">All acute hospitals should have 24-hour access to an accredited microbiology laboratory </w:t>
            </w:r>
          </w:p>
          <w:p w14:paraId="7C5F74D0" w14:textId="77777777" w:rsidR="00637171" w:rsidRPr="00A70D06" w:rsidRDefault="00637171" w:rsidP="009B561A">
            <w:pPr>
              <w:pStyle w:val="ListParagraph"/>
              <w:numPr>
                <w:ilvl w:val="0"/>
                <w:numId w:val="5"/>
              </w:numPr>
              <w:spacing w:line="360" w:lineRule="auto"/>
              <w:rPr>
                <w:rFonts w:ascii="Calibri" w:hAnsi="Calibri" w:cs="Calibri"/>
                <w:sz w:val="20"/>
                <w:szCs w:val="20"/>
              </w:rPr>
            </w:pPr>
            <w:r w:rsidRPr="00A70D06">
              <w:rPr>
                <w:rFonts w:ascii="Calibri" w:hAnsi="Calibri" w:cs="Calibri"/>
                <w:sz w:val="20"/>
                <w:szCs w:val="20"/>
              </w:rPr>
              <w:t xml:space="preserve">Laboratories should carry out local surveillance of antimicrobial resistance, including annual review of antibiograms where appropriate. </w:t>
            </w:r>
          </w:p>
          <w:p w14:paraId="7511480B" w14:textId="77777777" w:rsidR="00637171" w:rsidRPr="00A70D06" w:rsidRDefault="00637171" w:rsidP="009B561A">
            <w:pPr>
              <w:pStyle w:val="ListParagraph"/>
              <w:numPr>
                <w:ilvl w:val="0"/>
                <w:numId w:val="5"/>
              </w:numPr>
              <w:spacing w:line="360" w:lineRule="auto"/>
              <w:rPr>
                <w:rFonts w:ascii="Calibri" w:hAnsi="Calibri" w:cs="Calibri"/>
                <w:sz w:val="20"/>
                <w:szCs w:val="20"/>
              </w:rPr>
            </w:pPr>
            <w:r w:rsidRPr="00A70D06">
              <w:rPr>
                <w:rFonts w:ascii="Calibri" w:hAnsi="Calibri" w:cs="Calibri"/>
                <w:sz w:val="20"/>
                <w:szCs w:val="20"/>
              </w:rPr>
              <w:t xml:space="preserve">Laboratories should report antimicrobial susceptibilities in a restrictive manner, and reports should include interpretative comments to guide prescribers </w:t>
            </w:r>
          </w:p>
          <w:p w14:paraId="3305D132" w14:textId="77777777" w:rsidR="00637171" w:rsidRPr="00A70D06" w:rsidRDefault="00637171" w:rsidP="009B561A">
            <w:pPr>
              <w:pStyle w:val="ListParagraph"/>
              <w:numPr>
                <w:ilvl w:val="0"/>
                <w:numId w:val="5"/>
              </w:numPr>
              <w:spacing w:line="360" w:lineRule="auto"/>
              <w:rPr>
                <w:rFonts w:ascii="Calibri" w:hAnsi="Calibri" w:cs="Calibri"/>
                <w:b/>
                <w:bCs/>
                <w:sz w:val="20"/>
                <w:szCs w:val="20"/>
              </w:rPr>
            </w:pPr>
            <w:r w:rsidRPr="00A70D06">
              <w:rPr>
                <w:rFonts w:ascii="Calibri" w:hAnsi="Calibri" w:cs="Calibri"/>
                <w:sz w:val="20"/>
                <w:szCs w:val="20"/>
              </w:rPr>
              <w:t>Laboratories should develop, or provide access to, rapid diagnostic methods and key inflammatory markers</w:t>
            </w:r>
          </w:p>
        </w:tc>
      </w:tr>
      <w:tr w:rsidR="00637171" w:rsidRPr="00A70D06" w14:paraId="034FD31D" w14:textId="77777777" w:rsidTr="0087653A">
        <w:trPr>
          <w:trHeight w:val="6228"/>
        </w:trPr>
        <w:tc>
          <w:tcPr>
            <w:tcW w:w="9016" w:type="dxa"/>
            <w:tcBorders>
              <w:top w:val="single" w:sz="4" w:space="0" w:color="auto"/>
              <w:left w:val="single" w:sz="4" w:space="0" w:color="auto"/>
              <w:bottom w:val="single" w:sz="4" w:space="0" w:color="auto"/>
              <w:right w:val="single" w:sz="4" w:space="0" w:color="auto"/>
            </w:tcBorders>
            <w:hideMark/>
          </w:tcPr>
          <w:p w14:paraId="40AF856A" w14:textId="77777777" w:rsidR="00637171" w:rsidRPr="00A70D06" w:rsidRDefault="00637171" w:rsidP="009B561A">
            <w:pPr>
              <w:spacing w:after="255" w:line="360" w:lineRule="auto"/>
              <w:contextualSpacing/>
              <w:rPr>
                <w:rFonts w:ascii="Calibri" w:hAnsi="Calibri" w:cs="Calibri"/>
                <w:b/>
                <w:bCs/>
                <w:sz w:val="20"/>
                <w:szCs w:val="20"/>
              </w:rPr>
            </w:pPr>
            <w:r w:rsidRPr="00A70D06">
              <w:rPr>
                <w:rFonts w:ascii="Calibri" w:hAnsi="Calibri" w:cs="Calibri"/>
                <w:b/>
                <w:bCs/>
                <w:sz w:val="20"/>
                <w:szCs w:val="20"/>
              </w:rPr>
              <w:lastRenderedPageBreak/>
              <w:t>D: Recommendations for Non-Acute Residential Healthcare Institutions</w:t>
            </w:r>
          </w:p>
          <w:p w14:paraId="289E0C9A" w14:textId="77777777" w:rsidR="00637171" w:rsidRPr="00A70D06" w:rsidRDefault="00637171" w:rsidP="009B561A">
            <w:pPr>
              <w:spacing w:line="360" w:lineRule="auto"/>
              <w:rPr>
                <w:rFonts w:ascii="Calibri" w:hAnsi="Calibri" w:cs="Calibri"/>
                <w:b/>
                <w:bCs/>
                <w:sz w:val="20"/>
                <w:szCs w:val="20"/>
              </w:rPr>
            </w:pPr>
            <w:r w:rsidRPr="00A70D06">
              <w:rPr>
                <w:rFonts w:ascii="Calibri" w:hAnsi="Calibri" w:cs="Calibri"/>
                <w:b/>
                <w:bCs/>
                <w:sz w:val="20"/>
                <w:szCs w:val="20"/>
              </w:rPr>
              <w:t xml:space="preserve">Structure and organisation: </w:t>
            </w:r>
          </w:p>
          <w:p w14:paraId="52562DC3" w14:textId="77777777" w:rsidR="00637171" w:rsidRPr="00A70D06" w:rsidRDefault="00637171" w:rsidP="009B561A">
            <w:pPr>
              <w:pStyle w:val="ListParagraph"/>
              <w:numPr>
                <w:ilvl w:val="0"/>
                <w:numId w:val="2"/>
              </w:numPr>
              <w:spacing w:line="360" w:lineRule="auto"/>
              <w:rPr>
                <w:rFonts w:ascii="Calibri" w:hAnsi="Calibri" w:cs="Calibri"/>
                <w:sz w:val="20"/>
                <w:szCs w:val="20"/>
              </w:rPr>
            </w:pPr>
            <w:r w:rsidRPr="00A70D06">
              <w:rPr>
                <w:rFonts w:ascii="Calibri" w:hAnsi="Calibri" w:cs="Calibri"/>
                <w:sz w:val="20"/>
                <w:szCs w:val="20"/>
              </w:rPr>
              <w:t>All non-acute residential healthcare institutions should have an antimicrobial stewardship programme, appropriate to local requirements</w:t>
            </w:r>
          </w:p>
          <w:p w14:paraId="4F26660F" w14:textId="77777777" w:rsidR="00637171" w:rsidRPr="00A70D06" w:rsidRDefault="00637171" w:rsidP="009B561A">
            <w:pPr>
              <w:pStyle w:val="ListParagraph"/>
              <w:numPr>
                <w:ilvl w:val="0"/>
                <w:numId w:val="2"/>
              </w:numPr>
              <w:spacing w:line="360" w:lineRule="auto"/>
              <w:rPr>
                <w:rFonts w:ascii="Calibri" w:hAnsi="Calibri" w:cs="Calibri"/>
                <w:sz w:val="20"/>
                <w:szCs w:val="20"/>
              </w:rPr>
            </w:pPr>
            <w:r w:rsidRPr="00A70D06">
              <w:rPr>
                <w:rFonts w:ascii="Calibri" w:hAnsi="Calibri" w:cs="Calibri"/>
                <w:sz w:val="20"/>
                <w:szCs w:val="20"/>
              </w:rPr>
              <w:t xml:space="preserve">Each institution should have access to antimicrobial stewardship advice from a consultant microbiologist or infectious diseases physician, and antimicrobial pharmacist </w:t>
            </w:r>
          </w:p>
          <w:p w14:paraId="0F262D96" w14:textId="77777777" w:rsidR="00637171" w:rsidRPr="00A70D06" w:rsidRDefault="00637171" w:rsidP="009B561A">
            <w:pPr>
              <w:pStyle w:val="ListParagraph"/>
              <w:numPr>
                <w:ilvl w:val="0"/>
                <w:numId w:val="2"/>
              </w:numPr>
              <w:spacing w:line="360" w:lineRule="auto"/>
              <w:rPr>
                <w:rFonts w:ascii="Calibri" w:hAnsi="Calibri" w:cs="Calibri"/>
                <w:sz w:val="20"/>
                <w:szCs w:val="20"/>
              </w:rPr>
            </w:pPr>
            <w:r w:rsidRPr="00A70D06">
              <w:rPr>
                <w:rFonts w:ascii="Calibri" w:hAnsi="Calibri" w:cs="Calibri"/>
                <w:sz w:val="20"/>
                <w:szCs w:val="20"/>
              </w:rPr>
              <w:t xml:space="preserve">Each institution should have a designated person, or team, responsible for antimicrobial audit and implementation of stewardship interventions </w:t>
            </w:r>
          </w:p>
          <w:p w14:paraId="46AF88B1" w14:textId="77777777" w:rsidR="00637171" w:rsidRPr="00A70D06" w:rsidRDefault="00637171" w:rsidP="009B561A">
            <w:pPr>
              <w:spacing w:line="360" w:lineRule="auto"/>
              <w:rPr>
                <w:rFonts w:ascii="Calibri" w:hAnsi="Calibri" w:cs="Calibri"/>
                <w:b/>
                <w:bCs/>
                <w:sz w:val="20"/>
                <w:szCs w:val="20"/>
              </w:rPr>
            </w:pPr>
            <w:r w:rsidRPr="00A70D06">
              <w:rPr>
                <w:rFonts w:ascii="Calibri" w:hAnsi="Calibri" w:cs="Calibri"/>
                <w:sz w:val="20"/>
                <w:szCs w:val="20"/>
              </w:rPr>
              <w:t xml:space="preserve"> </w:t>
            </w:r>
            <w:r w:rsidRPr="00A70D06">
              <w:rPr>
                <w:rFonts w:ascii="Calibri" w:hAnsi="Calibri" w:cs="Calibri"/>
                <w:b/>
                <w:bCs/>
                <w:sz w:val="20"/>
                <w:szCs w:val="20"/>
              </w:rPr>
              <w:t xml:space="preserve">Stewardship interventions: </w:t>
            </w:r>
          </w:p>
          <w:p w14:paraId="6B889633" w14:textId="3E81722E" w:rsidR="00637171" w:rsidRPr="00A70D06" w:rsidRDefault="00637171" w:rsidP="009B561A">
            <w:pPr>
              <w:pStyle w:val="ListParagraph"/>
              <w:widowControl w:val="0"/>
              <w:numPr>
                <w:ilvl w:val="0"/>
                <w:numId w:val="13"/>
              </w:numPr>
              <w:autoSpaceDE w:val="0"/>
              <w:autoSpaceDN w:val="0"/>
              <w:adjustRightInd w:val="0"/>
              <w:spacing w:before="100" w:after="100" w:line="360" w:lineRule="auto"/>
              <w:rPr>
                <w:rFonts w:ascii="Calibri" w:hAnsi="Calibri" w:cs="Calibri"/>
                <w:b/>
                <w:bCs/>
                <w:noProof/>
                <w:sz w:val="20"/>
                <w:szCs w:val="20"/>
              </w:rPr>
            </w:pPr>
            <w:r w:rsidRPr="00A70D06">
              <w:rPr>
                <w:rFonts w:ascii="Calibri" w:hAnsi="Calibri" w:cs="Calibri"/>
                <w:sz w:val="20"/>
                <w:szCs w:val="20"/>
              </w:rPr>
              <w:t xml:space="preserve">Where possible, institutions may implement any of the recommended interventions listed in Section C   </w:t>
            </w:r>
          </w:p>
          <w:p w14:paraId="31388EE4" w14:textId="77777777" w:rsidR="00637171" w:rsidRPr="00A70D06" w:rsidRDefault="00637171" w:rsidP="009B561A">
            <w:pPr>
              <w:pStyle w:val="ListParagraph"/>
              <w:widowControl w:val="0"/>
              <w:numPr>
                <w:ilvl w:val="0"/>
                <w:numId w:val="13"/>
              </w:numPr>
              <w:autoSpaceDE w:val="0"/>
              <w:autoSpaceDN w:val="0"/>
              <w:adjustRightInd w:val="0"/>
              <w:spacing w:before="100" w:after="100" w:line="360" w:lineRule="auto"/>
              <w:rPr>
                <w:rFonts w:ascii="Calibri" w:hAnsi="Calibri" w:cs="Calibri"/>
                <w:sz w:val="20"/>
                <w:szCs w:val="20"/>
              </w:rPr>
            </w:pPr>
            <w:r w:rsidRPr="00A70D06">
              <w:rPr>
                <w:rFonts w:ascii="Calibri" w:hAnsi="Calibri" w:cs="Calibri"/>
                <w:sz w:val="20"/>
                <w:szCs w:val="20"/>
              </w:rPr>
              <w:t>All institutions should have local or regional guidelines for empiric antimicrobial</w:t>
            </w:r>
          </w:p>
          <w:p w14:paraId="571BC6CA" w14:textId="118BD6AE" w:rsidR="00637171" w:rsidRPr="00A70D06" w:rsidRDefault="00637171" w:rsidP="009B561A">
            <w:pPr>
              <w:pStyle w:val="ListParagraph"/>
              <w:widowControl w:val="0"/>
              <w:numPr>
                <w:ilvl w:val="0"/>
                <w:numId w:val="13"/>
              </w:numPr>
              <w:autoSpaceDE w:val="0"/>
              <w:autoSpaceDN w:val="0"/>
              <w:adjustRightInd w:val="0"/>
              <w:spacing w:before="100" w:after="100" w:line="360" w:lineRule="auto"/>
              <w:rPr>
                <w:rFonts w:ascii="Calibri" w:hAnsi="Calibri" w:cs="Calibri"/>
                <w:sz w:val="20"/>
                <w:szCs w:val="20"/>
              </w:rPr>
            </w:pPr>
            <w:r w:rsidRPr="00A70D06">
              <w:rPr>
                <w:rFonts w:ascii="Calibri" w:hAnsi="Calibri" w:cs="Calibri"/>
                <w:sz w:val="20"/>
                <w:szCs w:val="20"/>
              </w:rPr>
              <w:t xml:space="preserve">therapy of commonly encountered infections </w:t>
            </w:r>
          </w:p>
          <w:p w14:paraId="5FA62114" w14:textId="77777777" w:rsidR="00637171" w:rsidRPr="00A70D06" w:rsidRDefault="00637171" w:rsidP="009B561A">
            <w:pPr>
              <w:pStyle w:val="ListParagraph"/>
              <w:numPr>
                <w:ilvl w:val="0"/>
                <w:numId w:val="13"/>
              </w:numPr>
              <w:spacing w:line="360" w:lineRule="auto"/>
              <w:rPr>
                <w:rFonts w:ascii="Calibri" w:hAnsi="Calibri" w:cs="Calibri"/>
                <w:sz w:val="20"/>
                <w:szCs w:val="20"/>
              </w:rPr>
            </w:pPr>
            <w:r w:rsidRPr="00A70D06">
              <w:rPr>
                <w:rFonts w:ascii="Calibri" w:hAnsi="Calibri" w:cs="Calibri"/>
                <w:sz w:val="20"/>
                <w:szCs w:val="20"/>
              </w:rPr>
              <w:t>All institutions should carry out point prevalence surveys of antimicrobial use</w:t>
            </w:r>
          </w:p>
        </w:tc>
      </w:tr>
    </w:tbl>
    <w:p w14:paraId="3B9B4005" w14:textId="77777777" w:rsidR="00A020F5" w:rsidRDefault="00A020F5" w:rsidP="00AD772A">
      <w:pPr>
        <w:spacing w:line="360" w:lineRule="auto"/>
        <w:rPr>
          <w:rFonts w:ascii="Calibri" w:hAnsi="Calibri" w:cs="Calibri"/>
          <w:b/>
          <w:bCs/>
          <w:sz w:val="20"/>
          <w:szCs w:val="20"/>
        </w:rPr>
        <w:sectPr w:rsidR="00A020F5" w:rsidSect="00A020F5">
          <w:footerReference w:type="default" r:id="rId10"/>
          <w:pgSz w:w="11906" w:h="16838"/>
          <w:pgMar w:top="1440" w:right="1440" w:bottom="1440" w:left="1440" w:header="709" w:footer="709" w:gutter="0"/>
          <w:cols w:space="708"/>
          <w:docGrid w:linePitch="360"/>
        </w:sectPr>
      </w:pPr>
    </w:p>
    <w:p w14:paraId="1E48A9B1" w14:textId="41E53EFD" w:rsidR="00D82224" w:rsidRPr="0094788B" w:rsidRDefault="00D82224" w:rsidP="0012110D">
      <w:pPr>
        <w:rPr>
          <w:rFonts w:ascii="Calibri" w:hAnsi="Calibri" w:cs="Calibri"/>
          <w:b/>
          <w:bCs/>
          <w:sz w:val="24"/>
          <w:szCs w:val="24"/>
        </w:rPr>
      </w:pPr>
      <w:r w:rsidRPr="005C2D38">
        <w:rPr>
          <w:rFonts w:ascii="Calibri" w:hAnsi="Calibri" w:cs="Calibri"/>
          <w:b/>
          <w:bCs/>
          <w:sz w:val="24"/>
          <w:szCs w:val="24"/>
        </w:rPr>
        <w:lastRenderedPageBreak/>
        <w:t xml:space="preserve">Supplemental File </w:t>
      </w:r>
      <w:r w:rsidR="00CB1E23" w:rsidRPr="005C2D38">
        <w:rPr>
          <w:rFonts w:ascii="Calibri" w:hAnsi="Calibri" w:cs="Calibri"/>
          <w:b/>
          <w:bCs/>
          <w:sz w:val="24"/>
          <w:szCs w:val="24"/>
        </w:rPr>
        <w:t>5</w:t>
      </w:r>
      <w:r w:rsidRPr="0094788B">
        <w:rPr>
          <w:rFonts w:ascii="Calibri" w:hAnsi="Calibri" w:cs="Calibri"/>
          <w:b/>
          <w:bCs/>
          <w:sz w:val="24"/>
          <w:szCs w:val="24"/>
        </w:rPr>
        <w:t xml:space="preserve">: Table </w:t>
      </w:r>
      <w:r w:rsidR="007F6257" w:rsidRPr="0094788B">
        <w:rPr>
          <w:rFonts w:ascii="Calibri" w:hAnsi="Calibri" w:cs="Calibri"/>
          <w:b/>
          <w:bCs/>
          <w:sz w:val="24"/>
          <w:szCs w:val="24"/>
        </w:rPr>
        <w:t>8</w:t>
      </w:r>
      <w:r w:rsidRPr="0094788B">
        <w:rPr>
          <w:rFonts w:ascii="Calibri" w:hAnsi="Calibri" w:cs="Calibri"/>
          <w:b/>
          <w:bCs/>
          <w:sz w:val="24"/>
          <w:szCs w:val="24"/>
        </w:rPr>
        <w:t xml:space="preserve"> a SARI Recommendations Category (SRC) A Structure and Organisation of Antimicrobial Stewardship</w:t>
      </w:r>
      <w:r w:rsidRPr="0094788B">
        <w:rPr>
          <w:rFonts w:ascii="Calibri" w:hAnsi="Calibri" w:cs="Calibri"/>
          <w:b/>
          <w:bCs/>
          <w:sz w:val="24"/>
          <w:szCs w:val="24"/>
          <w:vertAlign w:val="superscript"/>
        </w:rPr>
        <w:t xml:space="preserve"> </w:t>
      </w:r>
      <w:r w:rsidRPr="0094788B">
        <w:rPr>
          <w:rFonts w:ascii="Calibri" w:hAnsi="Calibri" w:cs="Calibri"/>
          <w:b/>
          <w:bCs/>
          <w:sz w:val="24"/>
          <w:szCs w:val="24"/>
        </w:rPr>
        <w:t>(Peer reviewed studies n=6</w:t>
      </w:r>
      <w:r w:rsidRPr="00443DC1">
        <w:rPr>
          <w:rFonts w:ascii="Calibri" w:hAnsi="Calibri" w:cs="Calibri"/>
          <w:b/>
          <w:bCs/>
          <w:sz w:val="24"/>
          <w:szCs w:val="24"/>
        </w:rPr>
        <w:t xml:space="preserve">) </w:t>
      </w:r>
      <w:r w:rsidR="00B26031" w:rsidRPr="00443DC1">
        <w:rPr>
          <w:rFonts w:ascii="Calibri" w:hAnsi="Calibri" w:cs="Calibri"/>
          <w:b/>
          <w:bCs/>
          <w:sz w:val="24"/>
          <w:szCs w:val="24"/>
        </w:rPr>
        <w:fldChar w:fldCharType="begin" w:fldLock="1"/>
      </w:r>
      <w:r w:rsidR="00B26031" w:rsidRPr="00443DC1">
        <w:rPr>
          <w:rFonts w:ascii="Calibri" w:hAnsi="Calibri" w:cs="Calibri"/>
          <w:b/>
          <w:bCs/>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443DC1">
        <w:rPr>
          <w:rFonts w:ascii="Calibri" w:hAnsi="Calibri" w:cs="Calibri"/>
          <w:b/>
          <w:bCs/>
          <w:sz w:val="24"/>
          <w:szCs w:val="24"/>
        </w:rPr>
        <w:fldChar w:fldCharType="separate"/>
      </w:r>
      <w:r w:rsidR="00961FD2" w:rsidRPr="00443DC1">
        <w:rPr>
          <w:rFonts w:ascii="Calibri" w:hAnsi="Calibri" w:cs="Calibri"/>
          <w:bCs/>
          <w:noProof/>
          <w:sz w:val="24"/>
          <w:szCs w:val="24"/>
        </w:rPr>
        <w:t>[</w:t>
      </w:r>
      <w:r w:rsidR="00B26031" w:rsidRPr="00443DC1">
        <w:rPr>
          <w:rFonts w:ascii="Calibri" w:hAnsi="Calibri" w:cs="Calibri"/>
          <w:bCs/>
          <w:noProof/>
          <w:sz w:val="24"/>
          <w:szCs w:val="24"/>
        </w:rPr>
        <w:t>1</w:t>
      </w:r>
      <w:r w:rsidR="00961FD2" w:rsidRPr="00443DC1">
        <w:rPr>
          <w:rFonts w:ascii="Calibri" w:hAnsi="Calibri" w:cs="Calibri"/>
          <w:bCs/>
          <w:noProof/>
          <w:sz w:val="24"/>
          <w:szCs w:val="24"/>
        </w:rPr>
        <w:t>]</w:t>
      </w:r>
      <w:r w:rsidR="00B26031" w:rsidRPr="00443DC1">
        <w:rPr>
          <w:rFonts w:ascii="Calibri" w:hAnsi="Calibri" w:cs="Calibri"/>
          <w:b/>
          <w:bCs/>
          <w:sz w:val="24"/>
          <w:szCs w:val="24"/>
        </w:rPr>
        <w:fldChar w:fldCharType="end"/>
      </w:r>
      <w:r w:rsidR="00961FD2" w:rsidRPr="0094788B">
        <w:rPr>
          <w:rFonts w:ascii="Calibri" w:hAnsi="Calibri" w:cs="Calibri"/>
          <w:b/>
          <w:bCs/>
          <w:sz w:val="24"/>
          <w:szCs w:val="24"/>
        </w:rPr>
        <w:t xml:space="preserve"> </w:t>
      </w:r>
    </w:p>
    <w:tbl>
      <w:tblPr>
        <w:tblStyle w:val="TableGrid4"/>
        <w:tblW w:w="14170" w:type="dxa"/>
        <w:tblLook w:val="04A0" w:firstRow="1" w:lastRow="0" w:firstColumn="1" w:lastColumn="0" w:noHBand="0" w:noVBand="1"/>
      </w:tblPr>
      <w:tblGrid>
        <w:gridCol w:w="421"/>
        <w:gridCol w:w="2268"/>
        <w:gridCol w:w="3685"/>
        <w:gridCol w:w="3119"/>
        <w:gridCol w:w="4677"/>
      </w:tblGrid>
      <w:tr w:rsidR="00D82224" w:rsidRPr="00CF6373" w14:paraId="38AE50DF" w14:textId="77777777" w:rsidTr="0087653A">
        <w:trPr>
          <w:tblHeader/>
        </w:trPr>
        <w:tc>
          <w:tcPr>
            <w:tcW w:w="421" w:type="dxa"/>
          </w:tcPr>
          <w:p w14:paraId="64A2ACA3" w14:textId="77777777" w:rsidR="00D82224" w:rsidRPr="009B561A" w:rsidRDefault="00D82224" w:rsidP="009B561A">
            <w:pPr>
              <w:rPr>
                <w:rFonts w:ascii="Calibri" w:hAnsi="Calibri" w:cs="Calibri"/>
                <w:color w:val="FF0000"/>
                <w:sz w:val="20"/>
                <w:szCs w:val="20"/>
              </w:rPr>
            </w:pPr>
            <w:bookmarkStart w:id="0" w:name="_Hlk150631389"/>
          </w:p>
        </w:tc>
        <w:tc>
          <w:tcPr>
            <w:tcW w:w="2268" w:type="dxa"/>
          </w:tcPr>
          <w:p w14:paraId="4FC5D20A" w14:textId="77777777" w:rsidR="00D82224" w:rsidRPr="009B561A" w:rsidRDefault="00D82224" w:rsidP="009B561A">
            <w:pPr>
              <w:jc w:val="center"/>
              <w:rPr>
                <w:rFonts w:ascii="Calibri" w:hAnsi="Calibri" w:cs="Calibri"/>
                <w:b/>
                <w:bCs/>
                <w:color w:val="000000" w:themeColor="text1"/>
                <w:sz w:val="20"/>
                <w:szCs w:val="20"/>
              </w:rPr>
            </w:pPr>
            <w:r w:rsidRPr="009B561A">
              <w:rPr>
                <w:rFonts w:ascii="Calibri" w:hAnsi="Calibri" w:cs="Calibri"/>
                <w:b/>
                <w:bCs/>
                <w:color w:val="000000" w:themeColor="text1"/>
                <w:sz w:val="20"/>
                <w:szCs w:val="20"/>
              </w:rPr>
              <w:t>Study</w:t>
            </w:r>
          </w:p>
        </w:tc>
        <w:tc>
          <w:tcPr>
            <w:tcW w:w="3685" w:type="dxa"/>
          </w:tcPr>
          <w:p w14:paraId="7317A7E4" w14:textId="77777777" w:rsidR="00D82224" w:rsidRPr="009B561A" w:rsidRDefault="00D82224" w:rsidP="009B561A">
            <w:pPr>
              <w:jc w:val="center"/>
              <w:rPr>
                <w:rFonts w:ascii="Calibri" w:hAnsi="Calibri" w:cs="Calibri"/>
                <w:b/>
                <w:bCs/>
                <w:color w:val="000000" w:themeColor="text1"/>
                <w:sz w:val="20"/>
                <w:szCs w:val="20"/>
              </w:rPr>
            </w:pPr>
            <w:r w:rsidRPr="009B561A">
              <w:rPr>
                <w:rFonts w:ascii="Calibri" w:hAnsi="Calibri" w:cs="Calibri"/>
                <w:b/>
                <w:bCs/>
                <w:color w:val="000000" w:themeColor="text1"/>
                <w:sz w:val="20"/>
                <w:szCs w:val="20"/>
              </w:rPr>
              <w:t>Aims methods participants</w:t>
            </w:r>
          </w:p>
        </w:tc>
        <w:tc>
          <w:tcPr>
            <w:tcW w:w="3119" w:type="dxa"/>
          </w:tcPr>
          <w:p w14:paraId="6D90C2FF" w14:textId="77777777" w:rsidR="00D82224" w:rsidRPr="009B561A" w:rsidRDefault="00D82224" w:rsidP="009B561A">
            <w:pPr>
              <w:jc w:val="center"/>
              <w:rPr>
                <w:rFonts w:ascii="Calibri" w:hAnsi="Calibri" w:cs="Calibri"/>
                <w:b/>
                <w:bCs/>
                <w:color w:val="000000" w:themeColor="text1"/>
                <w:sz w:val="20"/>
                <w:szCs w:val="20"/>
              </w:rPr>
            </w:pPr>
            <w:r w:rsidRPr="009B561A">
              <w:rPr>
                <w:rFonts w:ascii="Calibri" w:hAnsi="Calibri" w:cs="Calibri"/>
                <w:b/>
                <w:bCs/>
                <w:color w:val="000000" w:themeColor="text1"/>
                <w:sz w:val="20"/>
                <w:szCs w:val="20"/>
              </w:rPr>
              <w:t>Results</w:t>
            </w:r>
          </w:p>
        </w:tc>
        <w:tc>
          <w:tcPr>
            <w:tcW w:w="4677" w:type="dxa"/>
          </w:tcPr>
          <w:p w14:paraId="6595A380" w14:textId="77777777" w:rsidR="00D82224" w:rsidRPr="009B561A" w:rsidRDefault="00D82224" w:rsidP="009B561A">
            <w:pPr>
              <w:jc w:val="center"/>
              <w:rPr>
                <w:rFonts w:ascii="Calibri" w:hAnsi="Calibri" w:cs="Calibri"/>
                <w:b/>
                <w:bCs/>
                <w:color w:val="FF0000"/>
                <w:sz w:val="20"/>
                <w:szCs w:val="20"/>
              </w:rPr>
            </w:pPr>
            <w:r w:rsidRPr="009B561A">
              <w:rPr>
                <w:rFonts w:ascii="Calibri" w:hAnsi="Calibri" w:cs="Calibri"/>
                <w:b/>
                <w:bCs/>
                <w:sz w:val="20"/>
                <w:szCs w:val="20"/>
              </w:rPr>
              <w:t>Discussion/Conclusion</w:t>
            </w:r>
          </w:p>
        </w:tc>
      </w:tr>
      <w:tr w:rsidR="00D82224" w:rsidRPr="00CF6373" w14:paraId="408AE561" w14:textId="77777777" w:rsidTr="0087653A">
        <w:tc>
          <w:tcPr>
            <w:tcW w:w="421" w:type="dxa"/>
          </w:tcPr>
          <w:p w14:paraId="12616005" w14:textId="77777777" w:rsidR="00D82224" w:rsidRPr="009B561A" w:rsidRDefault="00D82224" w:rsidP="009B561A">
            <w:pPr>
              <w:rPr>
                <w:rFonts w:ascii="Calibri" w:hAnsi="Calibri" w:cs="Calibri"/>
                <w:color w:val="000000" w:themeColor="text1"/>
                <w:sz w:val="20"/>
                <w:szCs w:val="20"/>
              </w:rPr>
            </w:pPr>
            <w:r w:rsidRPr="009B561A">
              <w:rPr>
                <w:rFonts w:ascii="Calibri" w:hAnsi="Calibri" w:cs="Calibri"/>
                <w:color w:val="000000" w:themeColor="text1"/>
                <w:sz w:val="20"/>
                <w:szCs w:val="20"/>
              </w:rPr>
              <w:t>1</w:t>
            </w:r>
          </w:p>
        </w:tc>
        <w:tc>
          <w:tcPr>
            <w:tcW w:w="2268" w:type="dxa"/>
          </w:tcPr>
          <w:p w14:paraId="3CAD4D99" w14:textId="7170BE4C" w:rsidR="00D82224" w:rsidRPr="00443DC1" w:rsidRDefault="00D82224" w:rsidP="009B561A">
            <w:pPr>
              <w:rPr>
                <w:rFonts w:ascii="Calibri" w:hAnsi="Calibri" w:cs="Calibri"/>
                <w:b/>
                <w:bCs/>
                <w:sz w:val="20"/>
                <w:szCs w:val="20"/>
                <w:vertAlign w:val="superscript"/>
              </w:rPr>
            </w:pPr>
            <w:r w:rsidRPr="009B561A">
              <w:rPr>
                <w:rFonts w:ascii="Calibri" w:hAnsi="Calibri" w:cs="Calibri"/>
                <w:b/>
                <w:bCs/>
                <w:color w:val="000000" w:themeColor="text1"/>
                <w:sz w:val="20"/>
                <w:szCs w:val="20"/>
              </w:rPr>
              <w:t>Fleming et al (2013</w:t>
            </w:r>
            <w:r w:rsidRPr="00443DC1">
              <w:rPr>
                <w:rFonts w:ascii="Calibri" w:hAnsi="Calibri" w:cs="Calibri"/>
                <w:b/>
                <w:bCs/>
                <w:color w:val="000000" w:themeColor="text1"/>
                <w:sz w:val="20"/>
                <w:szCs w:val="20"/>
              </w:rPr>
              <w:t>)</w:t>
            </w:r>
            <w:r w:rsidRPr="00443DC1">
              <w:rPr>
                <w:rFonts w:ascii="Calibri" w:hAnsi="Calibri" w:cs="Calibri"/>
                <w:b/>
                <w:bCs/>
                <w:sz w:val="20"/>
                <w:szCs w:val="20"/>
                <w:vertAlign w:val="superscript"/>
              </w:rPr>
              <w:t xml:space="preserve"> </w:t>
            </w:r>
            <w:r w:rsidR="005C0661" w:rsidRPr="00443DC1">
              <w:rPr>
                <w:rFonts w:ascii="Calibri" w:hAnsi="Calibri" w:cs="Calibri"/>
                <w:b/>
                <w:bCs/>
                <w:sz w:val="20"/>
                <w:szCs w:val="20"/>
                <w:vertAlign w:val="superscript"/>
              </w:rPr>
              <w:fldChar w:fldCharType="begin" w:fldLock="1"/>
            </w:r>
            <w:r w:rsidR="005C0661" w:rsidRPr="00443DC1">
              <w:rPr>
                <w:rFonts w:ascii="Calibri" w:hAnsi="Calibri" w:cs="Calibri"/>
                <w:b/>
                <w:bCs/>
                <w:sz w:val="20"/>
                <w:szCs w:val="20"/>
                <w:vertAlign w:val="superscript"/>
              </w:rPr>
              <w:instrText>ADDIN CSL_CITATION {"citationItems":[{"id":"ITEM-1","itemData":{"DOI":"10.1007/s11096-013-9907-4","ISSN":"22107703","PMID":"24382694","abstract":"Background: Surveillance of antimicrobial prescribing, in order to control the increase in antimicrobial resistance, is recommended by the Guidelines for Antimicrobial Stewardship in Hospitals in Ireland. Objective: The objective of the study is to determine the profile and activities of Antimicrobial Management Teams (AMTs) in Irish Hospitals by surveying hospital pharmacists. Setting: Hospitals in Ireland. Method: A self-completion postal questionnaire was developed from a recent study conducted by members of the authoring team in the United Kingdom, adapted for the Irish context. It was issued to all hospitals in Ireland (n = 70). Differences in responses, using Pearson's Chi squared tests, were evaluated between public and private hospitals to determine whether the funding category had an effect on activities. Main outcome measures: (1) A profile of AMTs in Ireland. (2) The presence and content of antimicrobial prescribing policies and how adherence to the policies is measured. Results: The response rate was 73 % (n = 51, 71 % public). 57 % (29/51) of hospitals have an antimicrobial management team in place with 93 % (27/29) having a Consultant Medical Microbiologist, 24 % (7/29) having a Consultant in Infectious Diseases and 69 % (20/29) having an Antimicrobial Pharmacist. There is an antimicrobial prescribing policy in place in 88 % (45/51) of hospitals responding. 80 % (36/51) of replies report that the volume of antibiotics prescribed is monitored, 47 % (24/51) conduct audits to measure appropriateness of all antibiotics prescribed and 43 % (22/51) conduct audits of appropriate prescribing of restricted antibiotics. Public hospitals were significantly more likely than private hospitals to review the volume of antibiotics prescribed (p = 0.021) and to audit the appropriateness of restricted antibiotics use (p = 0.003). A lack of resources was reported as the main barrier to antimicrobial surveillance by hospital pharmacists. Conclusion: Around half of Irish hospitals do not have an antimicrobial management team in place but most hospitals have an antimicrobial prescribing policy. Most AMTs have representation by Consultants and Pharmacists, but audit and feedback of antibiotic prescribing activities is limited. Significant differences in audit activities were found between public and private hospitals, with private hospitals performing less well. © 2013 Koninklijke Nederlandse Maatschappij ter bevordering der Pharmacie.","author":[{"dropping-particle":"","family":"Fleming","given":"Aoife","non-dropping-particle":"","parse-names":false,"suffix":""},{"dropping-particle":"","family":"Tonna","given":"Antonella","non-dropping-particle":"","parse-names":false,"suffix":""},{"dropping-particle":"","family":"O'Connor","given":"Sile","non-dropping-particle":"","parse-names":false,"suffix":""},{"dropping-particle":"","family":"Byrne","given":"Stephen","non-dropping-particle":"","parse-names":false,"suffix":""},{"dropping-particle":"","family":"Stewart","given":"Derek","non-dropping-particle":"","parse-names":false,"suffix":""}],"container-title":"International Journal of Clinical Pharmacy","id":"ITEM-1","issue":"2","issued":{"date-parts":[["2014"]]},"page":"377-383","publisher":"Kluwer Academic Publishers","title":"A cross-sectional survey of the profile and activities of Antimicrobial Management Teams in Irish Hospitals","type":"article-journal","volume":"36"},"uris":["http://www.mendeley.com/documents/?uuid=82ac464d-6d2d-3bac-9e95-f38a3d0e6025"]}],"mendeley":{"formattedCitation":"(2)","plainTextFormattedCitation":"(2)","previouslyFormattedCitation":"(2)"},"properties":{"noteIndex":0},"schema":"https://github.com/citation-style-language/schema/raw/master/csl-citation.json"}</w:instrText>
            </w:r>
            <w:r w:rsidR="005C0661" w:rsidRPr="00443DC1">
              <w:rPr>
                <w:rFonts w:ascii="Calibri" w:hAnsi="Calibri" w:cs="Calibri"/>
                <w:b/>
                <w:bCs/>
                <w:sz w:val="20"/>
                <w:szCs w:val="20"/>
                <w:vertAlign w:val="superscript"/>
              </w:rPr>
              <w:fldChar w:fldCharType="separate"/>
            </w:r>
            <w:r w:rsidR="00C46A65" w:rsidRPr="00443DC1">
              <w:rPr>
                <w:rFonts w:ascii="Calibri" w:hAnsi="Calibri" w:cs="Calibri"/>
                <w:bCs/>
                <w:noProof/>
                <w:sz w:val="20"/>
                <w:szCs w:val="20"/>
              </w:rPr>
              <w:t>[</w:t>
            </w:r>
            <w:r w:rsidR="005C0661" w:rsidRPr="00443DC1">
              <w:rPr>
                <w:rFonts w:ascii="Calibri" w:hAnsi="Calibri" w:cs="Calibri"/>
                <w:bCs/>
                <w:noProof/>
                <w:sz w:val="20"/>
                <w:szCs w:val="20"/>
              </w:rPr>
              <w:t>2</w:t>
            </w:r>
            <w:r w:rsidR="00C46A65" w:rsidRPr="00443DC1">
              <w:rPr>
                <w:rFonts w:ascii="Calibri" w:hAnsi="Calibri" w:cs="Calibri"/>
                <w:bCs/>
                <w:noProof/>
                <w:sz w:val="20"/>
                <w:szCs w:val="20"/>
              </w:rPr>
              <w:t>]</w:t>
            </w:r>
            <w:r w:rsidR="005C0661" w:rsidRPr="00443DC1">
              <w:rPr>
                <w:rFonts w:ascii="Calibri" w:hAnsi="Calibri" w:cs="Calibri"/>
                <w:b/>
                <w:bCs/>
                <w:sz w:val="20"/>
                <w:szCs w:val="20"/>
                <w:vertAlign w:val="superscript"/>
              </w:rPr>
              <w:fldChar w:fldCharType="end"/>
            </w:r>
            <w:r w:rsidR="00443DC1" w:rsidRPr="00443DC1">
              <w:rPr>
                <w:rFonts w:ascii="Calibri" w:hAnsi="Calibri" w:cs="Calibri"/>
                <w:b/>
                <w:bCs/>
                <w:sz w:val="20"/>
                <w:szCs w:val="20"/>
                <w:vertAlign w:val="superscript"/>
              </w:rPr>
              <w:t xml:space="preserve"> </w:t>
            </w:r>
          </w:p>
          <w:p w14:paraId="5F86BFBF" w14:textId="77777777" w:rsidR="00D82224" w:rsidRPr="009B561A" w:rsidRDefault="00D82224" w:rsidP="009B561A">
            <w:pPr>
              <w:rPr>
                <w:rFonts w:ascii="Calibri" w:hAnsi="Calibri" w:cs="Calibri"/>
                <w:color w:val="000000" w:themeColor="text1"/>
                <w:sz w:val="20"/>
                <w:szCs w:val="20"/>
              </w:rPr>
            </w:pPr>
            <w:r w:rsidRPr="00443DC1">
              <w:rPr>
                <w:rFonts w:ascii="Calibri" w:hAnsi="Calibri" w:cs="Calibri"/>
                <w:color w:val="000000" w:themeColor="text1"/>
                <w:sz w:val="20"/>
                <w:szCs w:val="20"/>
              </w:rPr>
              <w:t>A cross-sectional survey</w:t>
            </w:r>
            <w:r w:rsidRPr="009B561A">
              <w:rPr>
                <w:rFonts w:ascii="Calibri" w:hAnsi="Calibri" w:cs="Calibri"/>
                <w:color w:val="000000" w:themeColor="text1"/>
                <w:sz w:val="20"/>
                <w:szCs w:val="20"/>
              </w:rPr>
              <w:t xml:space="preserve"> of the profile and activities of Antimicrobial Management Teams in Irish Hospitals</w:t>
            </w:r>
          </w:p>
          <w:p w14:paraId="4F76E212" w14:textId="77777777" w:rsidR="00D82224" w:rsidRPr="009B561A" w:rsidRDefault="00D82224" w:rsidP="009B561A">
            <w:pPr>
              <w:rPr>
                <w:rFonts w:ascii="Calibri" w:hAnsi="Calibri" w:cs="Calibri"/>
                <w:b/>
                <w:bCs/>
                <w:color w:val="000000" w:themeColor="text1"/>
                <w:sz w:val="20"/>
                <w:szCs w:val="20"/>
              </w:rPr>
            </w:pPr>
          </w:p>
        </w:tc>
        <w:tc>
          <w:tcPr>
            <w:tcW w:w="3685" w:type="dxa"/>
          </w:tcPr>
          <w:p w14:paraId="1ECBA4A8" w14:textId="77777777" w:rsidR="00D82224" w:rsidRPr="009B561A" w:rsidRDefault="00D82224" w:rsidP="009B561A">
            <w:pPr>
              <w:rPr>
                <w:rFonts w:ascii="Calibri" w:hAnsi="Calibri" w:cs="Calibri"/>
                <w:color w:val="000000" w:themeColor="text1"/>
                <w:sz w:val="20"/>
                <w:szCs w:val="20"/>
              </w:rPr>
            </w:pPr>
            <w:r w:rsidRPr="009B561A">
              <w:rPr>
                <w:rFonts w:ascii="Calibri" w:hAnsi="Calibri" w:cs="Calibri"/>
                <w:b/>
                <w:bCs/>
                <w:color w:val="000000" w:themeColor="text1"/>
                <w:sz w:val="20"/>
                <w:szCs w:val="20"/>
              </w:rPr>
              <w:t xml:space="preserve">Aims: </w:t>
            </w:r>
            <w:r w:rsidRPr="009B561A">
              <w:rPr>
                <w:rFonts w:ascii="Calibri" w:hAnsi="Calibri" w:cs="Calibri"/>
                <w:color w:val="000000" w:themeColor="text1"/>
                <w:sz w:val="20"/>
                <w:szCs w:val="20"/>
              </w:rPr>
              <w:t>To determine the profile and activities of Antimicrobial Management Teams (AMTs) in Irish Hospitals by surveying hospital pharmacists.</w:t>
            </w:r>
          </w:p>
          <w:p w14:paraId="05788BE3" w14:textId="77777777" w:rsidR="00D82224" w:rsidRPr="009B561A" w:rsidRDefault="00D82224" w:rsidP="009B561A">
            <w:pPr>
              <w:rPr>
                <w:rFonts w:ascii="Calibri" w:hAnsi="Calibri" w:cs="Calibri"/>
                <w:color w:val="000000" w:themeColor="text1"/>
                <w:sz w:val="20"/>
                <w:szCs w:val="20"/>
              </w:rPr>
            </w:pPr>
            <w:r w:rsidRPr="009B561A">
              <w:rPr>
                <w:rFonts w:ascii="Calibri" w:hAnsi="Calibri" w:cs="Calibri"/>
                <w:b/>
                <w:bCs/>
                <w:color w:val="000000" w:themeColor="text1"/>
                <w:sz w:val="20"/>
                <w:szCs w:val="20"/>
              </w:rPr>
              <w:t>Methods:</w:t>
            </w:r>
            <w:r w:rsidRPr="009B561A">
              <w:rPr>
                <w:rFonts w:ascii="Calibri" w:hAnsi="Calibri" w:cs="Calibri"/>
                <w:color w:val="000000" w:themeColor="text1"/>
                <w:sz w:val="20"/>
                <w:szCs w:val="20"/>
              </w:rPr>
              <w:t xml:space="preserve"> Survey</w:t>
            </w:r>
          </w:p>
          <w:p w14:paraId="7C9B488C" w14:textId="77777777" w:rsidR="00D82224" w:rsidRPr="009B561A" w:rsidRDefault="00D82224" w:rsidP="009B561A">
            <w:pPr>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Hospitals in Ireland</w:t>
            </w:r>
          </w:p>
          <w:p w14:paraId="6C3B0ED4" w14:textId="77777777" w:rsidR="00D82224" w:rsidRPr="009B561A" w:rsidRDefault="00D82224" w:rsidP="009B561A">
            <w:pPr>
              <w:rPr>
                <w:rFonts w:ascii="Calibri" w:hAnsi="Calibri" w:cs="Calibri"/>
                <w:color w:val="000000" w:themeColor="text1"/>
                <w:sz w:val="20"/>
                <w:szCs w:val="20"/>
              </w:rPr>
            </w:pPr>
            <w:r w:rsidRPr="009B561A">
              <w:rPr>
                <w:rFonts w:ascii="Calibri" w:hAnsi="Calibri" w:cs="Calibri"/>
                <w:color w:val="000000" w:themeColor="text1"/>
                <w:sz w:val="20"/>
                <w:szCs w:val="20"/>
              </w:rPr>
              <w:t xml:space="preserve"> (n = 70)</w:t>
            </w:r>
          </w:p>
          <w:p w14:paraId="30B4D17B" w14:textId="77777777" w:rsidR="00D82224" w:rsidRPr="009B561A" w:rsidRDefault="00D82224" w:rsidP="009B561A">
            <w:pPr>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Recruitment: </w:t>
            </w:r>
            <w:r w:rsidRPr="009B561A">
              <w:rPr>
                <w:rFonts w:ascii="Calibri" w:hAnsi="Calibri" w:cs="Calibri"/>
                <w:color w:val="000000" w:themeColor="text1"/>
                <w:sz w:val="20"/>
                <w:szCs w:val="20"/>
              </w:rPr>
              <w:t>Hospitals</w:t>
            </w:r>
          </w:p>
          <w:p w14:paraId="23D515E8" w14:textId="77777777" w:rsidR="00D82224" w:rsidRPr="009B561A" w:rsidRDefault="00D82224" w:rsidP="009B561A">
            <w:pPr>
              <w:rPr>
                <w:rFonts w:ascii="Calibri" w:hAnsi="Calibri" w:cs="Calibri"/>
                <w:color w:val="FF0000"/>
                <w:sz w:val="20"/>
                <w:szCs w:val="20"/>
              </w:rPr>
            </w:pPr>
          </w:p>
        </w:tc>
        <w:tc>
          <w:tcPr>
            <w:tcW w:w="3119" w:type="dxa"/>
          </w:tcPr>
          <w:p w14:paraId="40B61DED" w14:textId="77777777" w:rsidR="00D82224" w:rsidRPr="009B561A" w:rsidRDefault="00D82224" w:rsidP="009B561A">
            <w:pPr>
              <w:rPr>
                <w:rFonts w:ascii="Calibri" w:hAnsi="Calibri" w:cs="Calibri"/>
                <w:color w:val="FF0000"/>
                <w:sz w:val="20"/>
                <w:szCs w:val="20"/>
              </w:rPr>
            </w:pPr>
            <w:r w:rsidRPr="009B561A">
              <w:rPr>
                <w:rFonts w:ascii="Calibri" w:hAnsi="Calibri" w:cs="Calibri"/>
                <w:sz w:val="20"/>
                <w:szCs w:val="20"/>
              </w:rPr>
              <w:t>The response rate was 73 % (n = 51, 71 % public). 57 % (29/ 51) of hospitals have an antimicrobial management team in place with 93 % (27/29) having a Consultant Medical Microbiologist, 24 % (7/29) having a Consultant in Infectious Diseases and 69 % (20/29) having an Antimicrobial Pharmacist. There is an antimicrobial prescribing policy in place in 88 % (45/51) of hospitals responding. 80 % (36/ 51) of replies report that the volume of antibiotics prescribed is monitored, 47 % (24/51) conduct audits to measure appropriateness of all antibiotics prescribed and 43 % (22/51) conduct audits of appropriate prescribing of restricted antibiotics. Public hospitals were significantly more likely than private hospitals to review the volume of antibiotics prescribed (p = 0.021) and to audit the appropriateness of restricted antibiotics use (p = 0.003).</w:t>
            </w:r>
          </w:p>
        </w:tc>
        <w:tc>
          <w:tcPr>
            <w:tcW w:w="4677" w:type="dxa"/>
          </w:tcPr>
          <w:p w14:paraId="25A6F33A" w14:textId="77777777" w:rsidR="00D82224" w:rsidRPr="009B561A" w:rsidRDefault="00D82224" w:rsidP="009B561A">
            <w:pPr>
              <w:rPr>
                <w:rFonts w:ascii="Calibri" w:hAnsi="Calibri" w:cs="Calibri"/>
                <w:b/>
                <w:bCs/>
                <w:sz w:val="20"/>
                <w:szCs w:val="20"/>
              </w:rPr>
            </w:pPr>
            <w:r w:rsidRPr="009B561A">
              <w:rPr>
                <w:rFonts w:ascii="Calibri" w:hAnsi="Calibri" w:cs="Calibri"/>
                <w:sz w:val="20"/>
                <w:szCs w:val="20"/>
              </w:rPr>
              <w:t>A lack of resources was reported as the main barrier to antimicrobial surveillance by hospital pharmacists.</w:t>
            </w:r>
          </w:p>
          <w:p w14:paraId="10CDC1A7" w14:textId="77777777" w:rsidR="00D82224" w:rsidRPr="009B561A" w:rsidRDefault="00D82224" w:rsidP="009B561A">
            <w:pPr>
              <w:rPr>
                <w:rFonts w:ascii="Calibri" w:hAnsi="Calibri" w:cs="Calibri"/>
                <w:b/>
                <w:bCs/>
                <w:color w:val="FF0000"/>
                <w:sz w:val="20"/>
                <w:szCs w:val="20"/>
              </w:rPr>
            </w:pPr>
          </w:p>
        </w:tc>
      </w:tr>
      <w:tr w:rsidR="00D82224" w:rsidRPr="009B561A" w14:paraId="41EDEA4E" w14:textId="77777777" w:rsidTr="0087653A">
        <w:tc>
          <w:tcPr>
            <w:tcW w:w="421" w:type="dxa"/>
          </w:tcPr>
          <w:p w14:paraId="2B8E9F8B"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2</w:t>
            </w:r>
          </w:p>
        </w:tc>
        <w:tc>
          <w:tcPr>
            <w:tcW w:w="2268" w:type="dxa"/>
          </w:tcPr>
          <w:p w14:paraId="198B6127" w14:textId="02B596FF" w:rsidR="00D82224" w:rsidRPr="00443DC1" w:rsidRDefault="00D82224" w:rsidP="009B561A">
            <w:pPr>
              <w:spacing w:line="276" w:lineRule="auto"/>
              <w:rPr>
                <w:rFonts w:ascii="Calibri" w:hAnsi="Calibri" w:cs="Calibri"/>
                <w:b/>
                <w:bCs/>
                <w:sz w:val="20"/>
                <w:szCs w:val="20"/>
                <w:vertAlign w:val="superscript"/>
              </w:rPr>
            </w:pPr>
            <w:r w:rsidRPr="00443DC1">
              <w:rPr>
                <w:rFonts w:ascii="Calibri" w:hAnsi="Calibri" w:cs="Calibri"/>
                <w:b/>
                <w:bCs/>
                <w:sz w:val="20"/>
                <w:szCs w:val="20"/>
              </w:rPr>
              <w:t xml:space="preserve">Fleming et al (2015) </w:t>
            </w:r>
            <w:r w:rsidR="005C0661" w:rsidRPr="00443DC1">
              <w:rPr>
                <w:rFonts w:ascii="Calibri" w:hAnsi="Calibri" w:cs="Calibri"/>
                <w:b/>
                <w:bCs/>
                <w:sz w:val="20"/>
                <w:szCs w:val="20"/>
              </w:rPr>
              <w:fldChar w:fldCharType="begin" w:fldLock="1"/>
            </w:r>
            <w:r w:rsidR="005C0661" w:rsidRPr="00443DC1">
              <w:rPr>
                <w:rFonts w:ascii="Calibri" w:hAnsi="Calibri" w:cs="Calibri"/>
                <w:b/>
                <w:bCs/>
                <w:sz w:val="20"/>
                <w:szCs w:val="20"/>
              </w:rPr>
              <w:instrText>ADDIN CSL_CITATION {"citationItems":[{"id":"ITEM-1","itemData":{"DOI":"10.1007/s11096-015-0114-3","ISSN":"22107711","PMID":"25851503","abstract":"Background Best practice guidelines recommend that a multidisciplinary Antimicrobial Management Team (AMT) conduct antimicrobial stewardship (AMS) activities in hospitals. In order to continuously improve AMS activities in Irish hospitals it is important to benchmark performance by comparison with other countries. Objective To compare the membership of AMTs and AMS activities conducted in Irish and United Kingdom (UK) hospitals. Methods A postal questionnaire to determine the membership and activities of AMTs was issued to the specialist antimicrobial pharmacist or pharmacist in charge at all Irish Hospitals and all UK National Health Service Hospitals. The membership of AMTs and the extent of AMS activities conducted were compared between the countries. Results The response rates to the surveys were 73 % (n = 51) in Ireland and 33 % in the UK (n = 273). 57 % of Irish respondents reported having an AMT compared to 82 % in the UK (p &lt; 0.001). Significantly more AMTs in the UK had a specialist antimicrobial pharmacist on the team (95 % UK, 69 % Ireland, p &lt; 0.001). A higher proportion of Irish respondents reported measuring the overall volume of antimicrobial prescribing (Ireland 85 %, UK 72 %, p = 0.057). A higher proportion of UK respondents reported measuring the appropriateness of antimicrobial prescribing (76 % UK, 58 % Ireland, p = 0.019) and the appropriateness of restricted antimicrobial prescribing (64 % UK, 52 % Ireland, p = 0.140). Conclusion Irish and UK AMTs need to be supported to recruit and retain specialist antimicrobial pharmacists and to achieve higher rates of audit, prescription appropriateness review and feedback activities.","author":[{"dropping-particle":"","family":"Fleming","given":"Aoife","non-dropping-particle":"","parse-names":false,"suffix":""},{"dropping-particle":"","family":"Tonna","given":"Antonella","non-dropping-particle":"","parse-names":false,"suffix":""},{"dropping-particle":"","family":"O’Connor","given":"Síle","non-dropping-particle":"","parse-names":false,"suffix":""},{"dropping-particle":"","family":"Byrne","given":"Stephen","non-dropping-particle":"","parse-names":false,"suffix":""},{"dropping-particle":"","family":"Stewart","given":"Derek","non-dropping-particle":"","parse-names":false,"suffix":""}],"container-title":"International Journal of Clinical Pharmacy","id":"ITEM-1","issue":"5","issued":{"date-parts":[["2015","10","1"]]},"page":"776-781","publisher":"Kluwer Academic Publishers","title":"Antimicrobial stewardship activities in hospitals in Ireland and the United Kingdom: a comparison of two national surveys","type":"article-journal","volume":"37"},"uris":["http://www.mendeley.com/documents/?uuid=96d9be14-cfba-330f-a9e9-ca6cf8e2d3bc"]}],"mendeley":{"formattedCitation":"(3)","plainTextFormattedCitation":"(3)","previouslyFormattedCitation":"(3)"},"properties":{"noteIndex":0},"schema":"https://github.com/citation-style-language/schema/raw/master/csl-citation.json"}</w:instrText>
            </w:r>
            <w:r w:rsidR="005C0661" w:rsidRPr="00443DC1">
              <w:rPr>
                <w:rFonts w:ascii="Calibri" w:hAnsi="Calibri" w:cs="Calibri"/>
                <w:b/>
                <w:bCs/>
                <w:sz w:val="20"/>
                <w:szCs w:val="20"/>
              </w:rPr>
              <w:fldChar w:fldCharType="separate"/>
            </w:r>
            <w:r w:rsidR="00C46A65" w:rsidRPr="00443DC1">
              <w:rPr>
                <w:rFonts w:ascii="Calibri" w:hAnsi="Calibri" w:cs="Calibri"/>
                <w:bCs/>
                <w:noProof/>
                <w:sz w:val="20"/>
                <w:szCs w:val="20"/>
              </w:rPr>
              <w:t>[</w:t>
            </w:r>
            <w:r w:rsidR="005C0661" w:rsidRPr="00443DC1">
              <w:rPr>
                <w:rFonts w:ascii="Calibri" w:hAnsi="Calibri" w:cs="Calibri"/>
                <w:bCs/>
                <w:noProof/>
                <w:sz w:val="20"/>
                <w:szCs w:val="20"/>
              </w:rPr>
              <w:t>3</w:t>
            </w:r>
            <w:r w:rsidR="00C46A65" w:rsidRPr="00443DC1">
              <w:rPr>
                <w:rFonts w:ascii="Calibri" w:hAnsi="Calibri" w:cs="Calibri"/>
                <w:bCs/>
                <w:noProof/>
                <w:sz w:val="20"/>
                <w:szCs w:val="20"/>
              </w:rPr>
              <w:t>]</w:t>
            </w:r>
            <w:r w:rsidR="005C0661" w:rsidRPr="00443DC1">
              <w:rPr>
                <w:rFonts w:ascii="Calibri" w:hAnsi="Calibri" w:cs="Calibri"/>
                <w:b/>
                <w:bCs/>
                <w:sz w:val="20"/>
                <w:szCs w:val="20"/>
              </w:rPr>
              <w:fldChar w:fldCharType="end"/>
            </w:r>
            <w:r w:rsidR="00443DC1" w:rsidRPr="00443DC1">
              <w:rPr>
                <w:rFonts w:ascii="Calibri" w:hAnsi="Calibri" w:cs="Calibri"/>
                <w:b/>
                <w:bCs/>
                <w:sz w:val="20"/>
                <w:szCs w:val="20"/>
                <w:vertAlign w:val="superscript"/>
              </w:rPr>
              <w:t xml:space="preserve"> </w:t>
            </w:r>
          </w:p>
          <w:p w14:paraId="131ADDDA" w14:textId="77777777" w:rsidR="00D82224" w:rsidRPr="00443DC1" w:rsidRDefault="00D82224" w:rsidP="009B561A">
            <w:pPr>
              <w:spacing w:line="276" w:lineRule="auto"/>
              <w:rPr>
                <w:rFonts w:ascii="Calibri" w:hAnsi="Calibri" w:cs="Calibri"/>
                <w:sz w:val="20"/>
                <w:szCs w:val="20"/>
              </w:rPr>
            </w:pPr>
            <w:r w:rsidRPr="00443DC1">
              <w:rPr>
                <w:rFonts w:ascii="Calibri" w:hAnsi="Calibri" w:cs="Calibri"/>
                <w:sz w:val="20"/>
                <w:szCs w:val="20"/>
              </w:rPr>
              <w:t xml:space="preserve">Antimicrobial stewardship activities in hospitals in Ireland and the United Kingdom: a </w:t>
            </w:r>
            <w:r w:rsidRPr="00443DC1">
              <w:rPr>
                <w:rFonts w:ascii="Calibri" w:hAnsi="Calibri" w:cs="Calibri"/>
                <w:sz w:val="20"/>
                <w:szCs w:val="20"/>
              </w:rPr>
              <w:lastRenderedPageBreak/>
              <w:t>comparison of two national survey</w:t>
            </w:r>
          </w:p>
          <w:p w14:paraId="08BDAF05" w14:textId="77777777" w:rsidR="00D82224" w:rsidRPr="00443DC1" w:rsidRDefault="00D82224" w:rsidP="009B561A">
            <w:pPr>
              <w:spacing w:line="276" w:lineRule="auto"/>
              <w:rPr>
                <w:rFonts w:ascii="Calibri" w:hAnsi="Calibri" w:cs="Calibri"/>
                <w:color w:val="FF0000"/>
                <w:sz w:val="20"/>
                <w:szCs w:val="20"/>
              </w:rPr>
            </w:pPr>
          </w:p>
        </w:tc>
        <w:tc>
          <w:tcPr>
            <w:tcW w:w="3685" w:type="dxa"/>
          </w:tcPr>
          <w:p w14:paraId="6FEFF67B" w14:textId="77777777" w:rsidR="00D82224" w:rsidRPr="00443DC1" w:rsidRDefault="00D82224" w:rsidP="009B561A">
            <w:pPr>
              <w:spacing w:line="276" w:lineRule="auto"/>
              <w:rPr>
                <w:rFonts w:ascii="Calibri" w:hAnsi="Calibri" w:cs="Calibri"/>
                <w:b/>
                <w:bCs/>
                <w:sz w:val="20"/>
                <w:szCs w:val="20"/>
              </w:rPr>
            </w:pPr>
            <w:r w:rsidRPr="00443DC1">
              <w:rPr>
                <w:rFonts w:ascii="Calibri" w:hAnsi="Calibri" w:cs="Calibri"/>
                <w:b/>
                <w:bCs/>
                <w:sz w:val="20"/>
                <w:szCs w:val="20"/>
              </w:rPr>
              <w:lastRenderedPageBreak/>
              <w:t>Aim:</w:t>
            </w:r>
            <w:r w:rsidRPr="00443DC1">
              <w:rPr>
                <w:rFonts w:ascii="Calibri" w:hAnsi="Calibri" w:cs="Calibri"/>
                <w:sz w:val="20"/>
                <w:szCs w:val="20"/>
              </w:rPr>
              <w:t xml:space="preserve"> To compare the results of the</w:t>
            </w:r>
          </w:p>
          <w:p w14:paraId="63CFB834" w14:textId="77777777" w:rsidR="00D82224" w:rsidRPr="00443DC1" w:rsidRDefault="00D82224" w:rsidP="009B561A">
            <w:pPr>
              <w:autoSpaceDE w:val="0"/>
              <w:autoSpaceDN w:val="0"/>
              <w:adjustRightInd w:val="0"/>
              <w:spacing w:line="276" w:lineRule="auto"/>
              <w:rPr>
                <w:rFonts w:ascii="Calibri" w:hAnsi="Calibri" w:cs="Calibri"/>
                <w:sz w:val="20"/>
                <w:szCs w:val="20"/>
              </w:rPr>
            </w:pPr>
            <w:r w:rsidRPr="00443DC1">
              <w:rPr>
                <w:rFonts w:ascii="Calibri" w:hAnsi="Calibri" w:cs="Calibri"/>
                <w:sz w:val="20"/>
                <w:szCs w:val="20"/>
              </w:rPr>
              <w:t xml:space="preserve">AMS in hospitals survey between the UK and Ireland </w:t>
            </w:r>
            <w:proofErr w:type="gramStart"/>
            <w:r w:rsidRPr="00443DC1">
              <w:rPr>
                <w:rFonts w:ascii="Calibri" w:hAnsi="Calibri" w:cs="Calibri"/>
                <w:sz w:val="20"/>
                <w:szCs w:val="20"/>
              </w:rPr>
              <w:t>in order to</w:t>
            </w:r>
            <w:proofErr w:type="gramEnd"/>
            <w:r w:rsidRPr="00443DC1">
              <w:rPr>
                <w:rFonts w:ascii="Calibri" w:hAnsi="Calibri" w:cs="Calibri"/>
                <w:sz w:val="20"/>
                <w:szCs w:val="20"/>
              </w:rPr>
              <w:t xml:space="preserve"> identify any differences in practice that could be</w:t>
            </w:r>
          </w:p>
          <w:p w14:paraId="32DA95E8" w14:textId="77777777" w:rsidR="00D82224" w:rsidRPr="00443DC1" w:rsidRDefault="00D82224" w:rsidP="009B561A">
            <w:pPr>
              <w:spacing w:line="276" w:lineRule="auto"/>
              <w:rPr>
                <w:rFonts w:ascii="Calibri" w:hAnsi="Calibri" w:cs="Calibri"/>
                <w:sz w:val="20"/>
                <w:szCs w:val="20"/>
              </w:rPr>
            </w:pPr>
            <w:r w:rsidRPr="00443DC1">
              <w:rPr>
                <w:rFonts w:ascii="Calibri" w:hAnsi="Calibri" w:cs="Calibri"/>
                <w:sz w:val="20"/>
                <w:szCs w:val="20"/>
              </w:rPr>
              <w:t>addressed in either jurisdiction.</w:t>
            </w:r>
          </w:p>
          <w:p w14:paraId="06B5B828" w14:textId="77777777" w:rsidR="00D82224" w:rsidRPr="00443DC1" w:rsidRDefault="00D82224" w:rsidP="009B561A">
            <w:pPr>
              <w:spacing w:line="276" w:lineRule="auto"/>
              <w:rPr>
                <w:rFonts w:ascii="Calibri" w:hAnsi="Calibri" w:cs="Calibri"/>
                <w:sz w:val="20"/>
                <w:szCs w:val="20"/>
              </w:rPr>
            </w:pPr>
            <w:r w:rsidRPr="00443DC1">
              <w:rPr>
                <w:rFonts w:ascii="Calibri" w:hAnsi="Calibri" w:cs="Calibri"/>
                <w:b/>
                <w:bCs/>
                <w:sz w:val="20"/>
                <w:szCs w:val="20"/>
              </w:rPr>
              <w:lastRenderedPageBreak/>
              <w:t>Method:</w:t>
            </w:r>
            <w:r w:rsidRPr="00443DC1">
              <w:rPr>
                <w:rFonts w:ascii="Calibri" w:hAnsi="Calibri" w:cs="Calibri"/>
                <w:sz w:val="20"/>
                <w:szCs w:val="20"/>
              </w:rPr>
              <w:t xml:space="preserve"> Survey</w:t>
            </w:r>
          </w:p>
          <w:p w14:paraId="046685F7" w14:textId="77777777" w:rsidR="00D82224" w:rsidRPr="00443DC1" w:rsidRDefault="00D82224" w:rsidP="009B561A">
            <w:pPr>
              <w:spacing w:line="276" w:lineRule="auto"/>
              <w:rPr>
                <w:rFonts w:ascii="Calibri" w:hAnsi="Calibri" w:cs="Calibri"/>
                <w:sz w:val="20"/>
                <w:szCs w:val="20"/>
              </w:rPr>
            </w:pPr>
            <w:r w:rsidRPr="00443DC1">
              <w:rPr>
                <w:rFonts w:ascii="Calibri" w:hAnsi="Calibri" w:cs="Calibri"/>
                <w:b/>
                <w:bCs/>
                <w:sz w:val="20"/>
                <w:szCs w:val="20"/>
              </w:rPr>
              <w:t>Participants:</w:t>
            </w:r>
            <w:r w:rsidRPr="00443DC1">
              <w:rPr>
                <w:rFonts w:ascii="Calibri" w:hAnsi="Calibri" w:cs="Calibri"/>
                <w:sz w:val="20"/>
                <w:szCs w:val="20"/>
              </w:rPr>
              <w:t xml:space="preserve"> Irish and UK hospitals</w:t>
            </w:r>
          </w:p>
          <w:p w14:paraId="6C2E0761" w14:textId="77777777" w:rsidR="00D82224" w:rsidRPr="00443DC1" w:rsidRDefault="00D82224" w:rsidP="009B561A">
            <w:pPr>
              <w:spacing w:line="276" w:lineRule="auto"/>
              <w:rPr>
                <w:rFonts w:ascii="Calibri" w:hAnsi="Calibri" w:cs="Calibri"/>
                <w:sz w:val="20"/>
                <w:szCs w:val="20"/>
              </w:rPr>
            </w:pPr>
            <w:r w:rsidRPr="00443DC1">
              <w:rPr>
                <w:rFonts w:ascii="Calibri" w:hAnsi="Calibri" w:cs="Calibri"/>
                <w:b/>
                <w:bCs/>
                <w:sz w:val="20"/>
                <w:szCs w:val="20"/>
              </w:rPr>
              <w:t>Recruitment:</w:t>
            </w:r>
            <w:r w:rsidRPr="00443DC1">
              <w:rPr>
                <w:rFonts w:ascii="Calibri" w:hAnsi="Calibri" w:cs="Calibri"/>
                <w:sz w:val="20"/>
                <w:szCs w:val="20"/>
              </w:rPr>
              <w:t xml:space="preserve"> Hospitals</w:t>
            </w:r>
          </w:p>
          <w:p w14:paraId="3CDE0C59" w14:textId="77777777" w:rsidR="00D82224" w:rsidRPr="00443DC1" w:rsidRDefault="00D82224" w:rsidP="009B561A">
            <w:pPr>
              <w:autoSpaceDE w:val="0"/>
              <w:autoSpaceDN w:val="0"/>
              <w:adjustRightInd w:val="0"/>
              <w:spacing w:line="276" w:lineRule="auto"/>
              <w:rPr>
                <w:rFonts w:ascii="Calibri" w:hAnsi="Calibri" w:cs="Calibri"/>
                <w:b/>
                <w:bCs/>
                <w:color w:val="000000" w:themeColor="text1"/>
                <w:sz w:val="20"/>
                <w:szCs w:val="20"/>
              </w:rPr>
            </w:pPr>
          </w:p>
        </w:tc>
        <w:tc>
          <w:tcPr>
            <w:tcW w:w="3119" w:type="dxa"/>
          </w:tcPr>
          <w:p w14:paraId="2D8C92C4"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 xml:space="preserve">Irish hospitals have fewer specialist antimicrobial pharmacists on the antimicrobial team (95 % UK, 69 % Ireland), less monitoring the appropriateness of antimicrobial </w:t>
            </w:r>
            <w:r w:rsidRPr="009B561A">
              <w:rPr>
                <w:rFonts w:ascii="Calibri" w:hAnsi="Calibri" w:cs="Calibri"/>
                <w:sz w:val="20"/>
                <w:szCs w:val="20"/>
              </w:rPr>
              <w:lastRenderedPageBreak/>
              <w:t>prescribing and restrictions (76 % UK, 58 % Ireland) and are less likely to provide feedback to ward teams on their prescribing. (62% UK ,29% Ireland)</w:t>
            </w:r>
          </w:p>
        </w:tc>
        <w:tc>
          <w:tcPr>
            <w:tcW w:w="4677" w:type="dxa"/>
          </w:tcPr>
          <w:p w14:paraId="04E73A48"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Improve AMS activities by bench marking performance against another country.</w:t>
            </w:r>
          </w:p>
          <w:p w14:paraId="35B37DCD" w14:textId="77777777" w:rsidR="00D82224" w:rsidRPr="009B561A" w:rsidRDefault="00D82224" w:rsidP="009B561A">
            <w:pPr>
              <w:spacing w:line="276" w:lineRule="auto"/>
              <w:rPr>
                <w:rFonts w:ascii="Calibri" w:hAnsi="Calibri" w:cs="Calibri"/>
                <w:color w:val="000000" w:themeColor="text1"/>
                <w:sz w:val="20"/>
                <w:szCs w:val="20"/>
                <w:shd w:val="clear" w:color="auto" w:fill="FFFFFF"/>
              </w:rPr>
            </w:pPr>
          </w:p>
        </w:tc>
      </w:tr>
      <w:tr w:rsidR="00D82224" w:rsidRPr="009B561A" w14:paraId="27B4B498" w14:textId="77777777" w:rsidTr="0087653A">
        <w:tc>
          <w:tcPr>
            <w:tcW w:w="421" w:type="dxa"/>
          </w:tcPr>
          <w:p w14:paraId="5F427B17"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3</w:t>
            </w:r>
          </w:p>
        </w:tc>
        <w:tc>
          <w:tcPr>
            <w:tcW w:w="2268" w:type="dxa"/>
          </w:tcPr>
          <w:p w14:paraId="14790982" w14:textId="112A3F83" w:rsidR="00D82224" w:rsidRPr="00443DC1" w:rsidRDefault="00D82224" w:rsidP="009B561A">
            <w:pPr>
              <w:spacing w:line="276" w:lineRule="auto"/>
              <w:rPr>
                <w:rFonts w:ascii="Calibri" w:hAnsi="Calibri" w:cs="Calibri"/>
                <w:b/>
                <w:bCs/>
                <w:sz w:val="20"/>
                <w:szCs w:val="20"/>
                <w:vertAlign w:val="superscript"/>
              </w:rPr>
            </w:pPr>
            <w:r w:rsidRPr="00443DC1">
              <w:rPr>
                <w:rFonts w:ascii="Calibri" w:hAnsi="Calibri" w:cs="Calibri"/>
                <w:b/>
                <w:bCs/>
                <w:sz w:val="20"/>
                <w:szCs w:val="20"/>
              </w:rPr>
              <w:t>Martin et al (2021)</w:t>
            </w:r>
            <w:r w:rsidRPr="00443DC1">
              <w:rPr>
                <w:rFonts w:ascii="Calibri" w:hAnsi="Calibri" w:cs="Calibri"/>
                <w:b/>
                <w:bCs/>
                <w:sz w:val="20"/>
                <w:szCs w:val="20"/>
                <w:vertAlign w:val="superscript"/>
              </w:rPr>
              <w:t xml:space="preserve"> </w:t>
            </w:r>
            <w:r w:rsidR="005C0661" w:rsidRPr="00443DC1">
              <w:rPr>
                <w:rFonts w:ascii="Calibri" w:hAnsi="Calibri" w:cs="Calibri"/>
                <w:b/>
                <w:bCs/>
                <w:sz w:val="20"/>
                <w:szCs w:val="20"/>
                <w:vertAlign w:val="superscript"/>
              </w:rPr>
              <w:fldChar w:fldCharType="begin" w:fldLock="1"/>
            </w:r>
            <w:r w:rsidR="005C0661" w:rsidRPr="00443DC1">
              <w:rPr>
                <w:rFonts w:ascii="Calibri" w:hAnsi="Calibri" w:cs="Calibri"/>
                <w:b/>
                <w:bCs/>
                <w:sz w:val="20"/>
                <w:szCs w:val="20"/>
                <w:vertAlign w:val="superscript"/>
              </w:rPr>
              <w:instrText>ADDIN CSL_CITATION {"citationItems":[{"id":"ITEM-1","itemData":{"DOI":"10.1093/JAC/DKAA400","ISSN":"14602091","PMID":"33011763","author":[{"dropping-particle":"","family":"Martin","given":"Ellen","non-dropping-particle":"","parse-names":false,"suffix":""},{"dropping-particle":"","family":"Philbin","given":"Marie","non-dropping-particle":"","parse-names":false,"suffix":""},{"dropping-particle":"","family":"Hughes","given":"Gerry","non-dropping-particle":"","parse-names":false,"suffix":""},{"dropping-particle":"","family":"Bergin","given":"Colm","non-dropping-particle":"","parse-names":false,"suffix":""},{"dropping-particle":"","family":"Fe Talento","given":"Alida","non-dropping-particle":"","parse-names":false,"suffix":""}],"container-title":"Journal of Antimicrobial Chemotherapy","id":"ITEM-1","issue":"1","issued":{"date-parts":[["2021"]]},"page":"272-275","title":"Antimicrobial stewardship challenges and innovative initiatives in the acute hospital setting during the COVID-19 pandemic","type":"article-journal","volume":"76"},"uris":["http://www.mendeley.com/documents/?uuid=fe84fda7-f2b4-45b3-a830-e974c5d71833"]}],"mendeley":{"formattedCitation":"(4)","plainTextFormattedCitation":"(4)","previouslyFormattedCitation":"(4)"},"properties":{"noteIndex":0},"schema":"https://github.com/citation-style-language/schema/raw/master/csl-citation.json"}</w:instrText>
            </w:r>
            <w:r w:rsidR="005C0661" w:rsidRPr="00443DC1">
              <w:rPr>
                <w:rFonts w:ascii="Calibri" w:hAnsi="Calibri" w:cs="Calibri"/>
                <w:b/>
                <w:bCs/>
                <w:sz w:val="20"/>
                <w:szCs w:val="20"/>
                <w:vertAlign w:val="superscript"/>
              </w:rPr>
              <w:fldChar w:fldCharType="separate"/>
            </w:r>
            <w:r w:rsidR="00C46A65" w:rsidRPr="00443DC1">
              <w:rPr>
                <w:rFonts w:ascii="Calibri" w:hAnsi="Calibri" w:cs="Calibri"/>
                <w:bCs/>
                <w:noProof/>
                <w:sz w:val="20"/>
                <w:szCs w:val="20"/>
              </w:rPr>
              <w:t>[</w:t>
            </w:r>
            <w:r w:rsidR="005C0661" w:rsidRPr="00443DC1">
              <w:rPr>
                <w:rFonts w:ascii="Calibri" w:hAnsi="Calibri" w:cs="Calibri"/>
                <w:bCs/>
                <w:noProof/>
                <w:sz w:val="20"/>
                <w:szCs w:val="20"/>
              </w:rPr>
              <w:t>4</w:t>
            </w:r>
            <w:r w:rsidR="00C46A65" w:rsidRPr="00443DC1">
              <w:rPr>
                <w:rFonts w:ascii="Calibri" w:hAnsi="Calibri" w:cs="Calibri"/>
                <w:bCs/>
                <w:noProof/>
                <w:sz w:val="20"/>
                <w:szCs w:val="20"/>
              </w:rPr>
              <w:t>]</w:t>
            </w:r>
            <w:r w:rsidR="005C0661" w:rsidRPr="00443DC1">
              <w:rPr>
                <w:rFonts w:ascii="Calibri" w:hAnsi="Calibri" w:cs="Calibri"/>
                <w:b/>
                <w:bCs/>
                <w:sz w:val="20"/>
                <w:szCs w:val="20"/>
                <w:vertAlign w:val="superscript"/>
              </w:rPr>
              <w:fldChar w:fldCharType="end"/>
            </w:r>
            <w:r w:rsidR="00443DC1" w:rsidRPr="00443DC1">
              <w:rPr>
                <w:rFonts w:ascii="Calibri" w:hAnsi="Calibri" w:cs="Calibri"/>
                <w:b/>
                <w:bCs/>
                <w:sz w:val="20"/>
                <w:szCs w:val="20"/>
                <w:vertAlign w:val="superscript"/>
              </w:rPr>
              <w:t xml:space="preserve"> </w:t>
            </w:r>
          </w:p>
          <w:p w14:paraId="026E8624" w14:textId="77777777" w:rsidR="00D82224" w:rsidRPr="00443DC1" w:rsidRDefault="00D82224" w:rsidP="009B561A">
            <w:pPr>
              <w:spacing w:line="276" w:lineRule="auto"/>
              <w:rPr>
                <w:rFonts w:ascii="Calibri" w:hAnsi="Calibri" w:cs="Calibri"/>
                <w:sz w:val="20"/>
                <w:szCs w:val="20"/>
              </w:rPr>
            </w:pPr>
            <w:r w:rsidRPr="00443DC1">
              <w:rPr>
                <w:rFonts w:ascii="Calibri" w:hAnsi="Calibri" w:cs="Calibri"/>
                <w:sz w:val="20"/>
                <w:szCs w:val="20"/>
              </w:rPr>
              <w:t>Antimicrobial stewardship challenges and innovative initiatives in the acute hospital setting during the COVID-19 pandemic</w:t>
            </w:r>
          </w:p>
          <w:p w14:paraId="651CB23F" w14:textId="77777777" w:rsidR="00D82224" w:rsidRPr="00443DC1" w:rsidRDefault="00D82224" w:rsidP="009B561A">
            <w:pPr>
              <w:spacing w:line="276" w:lineRule="auto"/>
              <w:rPr>
                <w:rFonts w:ascii="Calibri" w:hAnsi="Calibri" w:cs="Calibri"/>
                <w:b/>
                <w:bCs/>
                <w:color w:val="FF0000"/>
                <w:sz w:val="20"/>
                <w:szCs w:val="20"/>
              </w:rPr>
            </w:pPr>
            <w:r w:rsidRPr="00443DC1">
              <w:rPr>
                <w:rFonts w:ascii="Calibri" w:hAnsi="Calibri" w:cs="Calibri"/>
                <w:b/>
                <w:bCs/>
                <w:color w:val="000000" w:themeColor="text1"/>
                <w:sz w:val="20"/>
                <w:szCs w:val="20"/>
              </w:rPr>
              <w:t>*Links with Tables SRC C</w:t>
            </w:r>
          </w:p>
        </w:tc>
        <w:tc>
          <w:tcPr>
            <w:tcW w:w="3685" w:type="dxa"/>
          </w:tcPr>
          <w:p w14:paraId="18EF0A4F" w14:textId="77777777" w:rsidR="00D82224" w:rsidRPr="00443DC1" w:rsidRDefault="00D82224" w:rsidP="009B561A">
            <w:pPr>
              <w:autoSpaceDE w:val="0"/>
              <w:autoSpaceDN w:val="0"/>
              <w:adjustRightInd w:val="0"/>
              <w:spacing w:line="276" w:lineRule="auto"/>
              <w:rPr>
                <w:rFonts w:ascii="Calibri" w:hAnsi="Calibri" w:cs="Calibri"/>
                <w:color w:val="000000" w:themeColor="text1"/>
                <w:sz w:val="20"/>
                <w:szCs w:val="20"/>
              </w:rPr>
            </w:pPr>
            <w:r w:rsidRPr="00443DC1">
              <w:rPr>
                <w:rFonts w:ascii="Calibri" w:hAnsi="Calibri" w:cs="Calibri"/>
                <w:b/>
                <w:bCs/>
                <w:color w:val="000000" w:themeColor="text1"/>
                <w:sz w:val="20"/>
                <w:szCs w:val="20"/>
              </w:rPr>
              <w:t>Aim:</w:t>
            </w:r>
            <w:r w:rsidRPr="00443DC1">
              <w:rPr>
                <w:rFonts w:ascii="Calibri" w:hAnsi="Calibri" w:cs="Calibri"/>
                <w:color w:val="000000" w:themeColor="text1"/>
                <w:sz w:val="20"/>
                <w:szCs w:val="20"/>
              </w:rPr>
              <w:t xml:space="preserve"> To investigate challenges, if</w:t>
            </w:r>
          </w:p>
          <w:p w14:paraId="256B4700" w14:textId="77777777" w:rsidR="00D82224" w:rsidRPr="00443DC1" w:rsidRDefault="00D82224" w:rsidP="009B561A">
            <w:pPr>
              <w:autoSpaceDE w:val="0"/>
              <w:autoSpaceDN w:val="0"/>
              <w:adjustRightInd w:val="0"/>
              <w:spacing w:line="276" w:lineRule="auto"/>
              <w:rPr>
                <w:rFonts w:ascii="Calibri" w:hAnsi="Calibri" w:cs="Calibri"/>
                <w:color w:val="000000" w:themeColor="text1"/>
                <w:sz w:val="20"/>
                <w:szCs w:val="20"/>
              </w:rPr>
            </w:pPr>
            <w:r w:rsidRPr="00443DC1">
              <w:rPr>
                <w:rFonts w:ascii="Calibri" w:hAnsi="Calibri" w:cs="Calibri"/>
                <w:color w:val="000000" w:themeColor="text1"/>
                <w:sz w:val="20"/>
                <w:szCs w:val="20"/>
              </w:rPr>
              <w:t>any, the COVID-19 pandemic posed to the effective delivery of</w:t>
            </w:r>
          </w:p>
          <w:p w14:paraId="1F8F9DB9" w14:textId="77777777" w:rsidR="00D82224" w:rsidRPr="00443DC1" w:rsidRDefault="00D82224" w:rsidP="009B561A">
            <w:pPr>
              <w:autoSpaceDE w:val="0"/>
              <w:autoSpaceDN w:val="0"/>
              <w:adjustRightInd w:val="0"/>
              <w:spacing w:line="276" w:lineRule="auto"/>
              <w:rPr>
                <w:rFonts w:ascii="Calibri" w:hAnsi="Calibri" w:cs="Calibri"/>
                <w:color w:val="000000" w:themeColor="text1"/>
                <w:sz w:val="20"/>
                <w:szCs w:val="20"/>
              </w:rPr>
            </w:pPr>
            <w:r w:rsidRPr="00443DC1">
              <w:rPr>
                <w:rFonts w:ascii="Calibri" w:hAnsi="Calibri" w:cs="Calibri"/>
                <w:color w:val="000000" w:themeColor="text1"/>
                <w:sz w:val="20"/>
                <w:szCs w:val="20"/>
              </w:rPr>
              <w:t>AMS with a view to informing interventions to optimize delivery of</w:t>
            </w:r>
          </w:p>
          <w:p w14:paraId="63A28A10" w14:textId="77777777" w:rsidR="00D82224" w:rsidRPr="00443DC1" w:rsidRDefault="00D82224" w:rsidP="009B561A">
            <w:pPr>
              <w:spacing w:line="276" w:lineRule="auto"/>
              <w:rPr>
                <w:rFonts w:ascii="Calibri" w:hAnsi="Calibri" w:cs="Calibri"/>
                <w:b/>
                <w:bCs/>
                <w:color w:val="000000" w:themeColor="text1"/>
                <w:sz w:val="20"/>
                <w:szCs w:val="20"/>
              </w:rPr>
            </w:pPr>
            <w:r w:rsidRPr="00443DC1">
              <w:rPr>
                <w:rFonts w:ascii="Calibri" w:hAnsi="Calibri" w:cs="Calibri"/>
                <w:color w:val="000000" w:themeColor="text1"/>
                <w:sz w:val="20"/>
                <w:szCs w:val="20"/>
              </w:rPr>
              <w:t>AMS in the COVID-19 era.</w:t>
            </w:r>
          </w:p>
          <w:p w14:paraId="6D976911" w14:textId="77777777" w:rsidR="00D82224" w:rsidRPr="00443DC1" w:rsidRDefault="00D82224" w:rsidP="009B561A">
            <w:pPr>
              <w:spacing w:line="276" w:lineRule="auto"/>
              <w:rPr>
                <w:rFonts w:ascii="Calibri" w:hAnsi="Calibri" w:cs="Calibri"/>
                <w:color w:val="000000" w:themeColor="text1"/>
                <w:sz w:val="20"/>
                <w:szCs w:val="20"/>
              </w:rPr>
            </w:pPr>
            <w:r w:rsidRPr="00443DC1">
              <w:rPr>
                <w:rFonts w:ascii="Calibri" w:hAnsi="Calibri" w:cs="Calibri"/>
                <w:b/>
                <w:bCs/>
                <w:color w:val="000000" w:themeColor="text1"/>
                <w:sz w:val="20"/>
                <w:szCs w:val="20"/>
              </w:rPr>
              <w:t>Method:</w:t>
            </w:r>
            <w:r w:rsidRPr="00443DC1">
              <w:rPr>
                <w:rFonts w:ascii="Calibri" w:hAnsi="Calibri" w:cs="Calibri"/>
                <w:color w:val="000000" w:themeColor="text1"/>
                <w:sz w:val="20"/>
                <w:szCs w:val="20"/>
              </w:rPr>
              <w:t xml:space="preserve"> Survey</w:t>
            </w:r>
          </w:p>
          <w:p w14:paraId="64A6A889" w14:textId="77777777" w:rsidR="00D82224" w:rsidRPr="00443DC1" w:rsidRDefault="00D82224" w:rsidP="009B561A">
            <w:pPr>
              <w:autoSpaceDE w:val="0"/>
              <w:autoSpaceDN w:val="0"/>
              <w:adjustRightInd w:val="0"/>
              <w:spacing w:line="276" w:lineRule="auto"/>
              <w:rPr>
                <w:rFonts w:ascii="Calibri" w:hAnsi="Calibri" w:cs="Calibri"/>
                <w:color w:val="000000" w:themeColor="text1"/>
                <w:sz w:val="20"/>
                <w:szCs w:val="20"/>
              </w:rPr>
            </w:pPr>
            <w:r w:rsidRPr="00443DC1">
              <w:rPr>
                <w:rFonts w:ascii="Calibri" w:hAnsi="Calibri" w:cs="Calibri"/>
                <w:b/>
                <w:bCs/>
                <w:color w:val="000000" w:themeColor="text1"/>
                <w:sz w:val="20"/>
                <w:szCs w:val="20"/>
              </w:rPr>
              <w:t>Participants:</w:t>
            </w:r>
            <w:r w:rsidRPr="00443DC1">
              <w:rPr>
                <w:rFonts w:ascii="Calibri" w:hAnsi="Calibri" w:cs="Calibri"/>
                <w:color w:val="000000" w:themeColor="text1"/>
                <w:sz w:val="20"/>
                <w:szCs w:val="20"/>
              </w:rPr>
              <w:t xml:space="preserve"> healthcare professionals involved in AMS programmes</w:t>
            </w:r>
          </w:p>
          <w:p w14:paraId="689C773E" w14:textId="77777777" w:rsidR="00D82224" w:rsidRPr="00443DC1" w:rsidRDefault="00D82224" w:rsidP="009B561A">
            <w:pPr>
              <w:spacing w:line="276" w:lineRule="auto"/>
              <w:rPr>
                <w:rFonts w:ascii="Calibri" w:hAnsi="Calibri" w:cs="Calibri"/>
                <w:color w:val="000000" w:themeColor="text1"/>
                <w:sz w:val="20"/>
                <w:szCs w:val="20"/>
              </w:rPr>
            </w:pPr>
            <w:r w:rsidRPr="00443DC1">
              <w:rPr>
                <w:rFonts w:ascii="Calibri" w:hAnsi="Calibri" w:cs="Calibri"/>
                <w:color w:val="000000" w:themeColor="text1"/>
                <w:sz w:val="20"/>
                <w:szCs w:val="20"/>
              </w:rPr>
              <w:t>in the acute hospital setting (public and private sector)</w:t>
            </w:r>
          </w:p>
          <w:p w14:paraId="55977FCE" w14:textId="77777777" w:rsidR="00D82224" w:rsidRPr="00443DC1" w:rsidRDefault="00D82224" w:rsidP="009B561A">
            <w:pPr>
              <w:spacing w:line="276" w:lineRule="auto"/>
              <w:rPr>
                <w:rFonts w:ascii="Calibri" w:hAnsi="Calibri" w:cs="Calibri"/>
                <w:b/>
                <w:bCs/>
                <w:color w:val="000000" w:themeColor="text1"/>
                <w:sz w:val="20"/>
                <w:szCs w:val="20"/>
              </w:rPr>
            </w:pPr>
            <w:r w:rsidRPr="00443DC1">
              <w:rPr>
                <w:rFonts w:ascii="Calibri" w:hAnsi="Calibri" w:cs="Calibri"/>
                <w:b/>
                <w:bCs/>
                <w:sz w:val="20"/>
                <w:szCs w:val="20"/>
              </w:rPr>
              <w:t xml:space="preserve">Recruitment: </w:t>
            </w:r>
            <w:r w:rsidRPr="00443DC1">
              <w:rPr>
                <w:rFonts w:ascii="Calibri" w:hAnsi="Calibri" w:cs="Calibri"/>
                <w:sz w:val="20"/>
                <w:szCs w:val="20"/>
              </w:rPr>
              <w:t>HPSC</w:t>
            </w:r>
          </w:p>
        </w:tc>
        <w:tc>
          <w:tcPr>
            <w:tcW w:w="3119" w:type="dxa"/>
          </w:tcPr>
          <w:p w14:paraId="300EEC76"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Seventy-six percent (65/86) reported that COVID-19 had impacted on the effective implementation of AMS programmes locally with a statistically significant decrease in the median score for the effectiveness of AMS programmes from 7 pre-COVID-19 to 5 during COVID-19 (z= 6.584, P, 0.001)</w:t>
            </w:r>
          </w:p>
        </w:tc>
        <w:tc>
          <w:tcPr>
            <w:tcW w:w="4677" w:type="dxa"/>
          </w:tcPr>
          <w:p w14:paraId="4792308D" w14:textId="77777777" w:rsidR="00D82224" w:rsidRPr="009B561A" w:rsidRDefault="00D82224" w:rsidP="009B561A">
            <w:pPr>
              <w:spacing w:line="276" w:lineRule="auto"/>
              <w:jc w:val="both"/>
              <w:rPr>
                <w:rFonts w:ascii="Calibri" w:hAnsi="Calibri" w:cs="Calibri"/>
                <w:sz w:val="20"/>
                <w:szCs w:val="20"/>
              </w:rPr>
            </w:pPr>
            <w:r w:rsidRPr="009B561A">
              <w:rPr>
                <w:rFonts w:ascii="Calibri" w:hAnsi="Calibri" w:cs="Calibri"/>
                <w:sz w:val="20"/>
                <w:szCs w:val="20"/>
              </w:rPr>
              <w:t xml:space="preserve">Focus removed from AMS </w:t>
            </w:r>
          </w:p>
          <w:p w14:paraId="4E5D6837" w14:textId="77777777" w:rsidR="00D82224" w:rsidRPr="009B561A" w:rsidRDefault="00D82224" w:rsidP="009B561A">
            <w:pPr>
              <w:spacing w:line="276" w:lineRule="auto"/>
              <w:jc w:val="both"/>
              <w:rPr>
                <w:rFonts w:ascii="Calibri" w:hAnsi="Calibri" w:cs="Calibri"/>
                <w:b/>
                <w:bCs/>
                <w:sz w:val="20"/>
                <w:szCs w:val="20"/>
              </w:rPr>
            </w:pPr>
            <w:r w:rsidRPr="009B561A">
              <w:rPr>
                <w:rFonts w:ascii="Calibri" w:hAnsi="Calibri" w:cs="Calibri"/>
                <w:sz w:val="20"/>
                <w:szCs w:val="20"/>
              </w:rPr>
              <w:t>Identified deficits for the post-Covid era-technology, diagnostics, and guideline development.</w:t>
            </w:r>
          </w:p>
          <w:p w14:paraId="7073DB65" w14:textId="77777777" w:rsidR="00D82224" w:rsidRPr="009B561A" w:rsidRDefault="00D82224" w:rsidP="009B561A">
            <w:pPr>
              <w:spacing w:line="276" w:lineRule="auto"/>
              <w:rPr>
                <w:rFonts w:ascii="Calibri" w:hAnsi="Calibri" w:cs="Calibri"/>
                <w:sz w:val="20"/>
                <w:szCs w:val="20"/>
              </w:rPr>
            </w:pPr>
          </w:p>
        </w:tc>
      </w:tr>
      <w:tr w:rsidR="00D82224" w:rsidRPr="009B561A" w14:paraId="1543E10F" w14:textId="77777777" w:rsidTr="0087653A">
        <w:tc>
          <w:tcPr>
            <w:tcW w:w="421" w:type="dxa"/>
          </w:tcPr>
          <w:p w14:paraId="5A80EB48"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4</w:t>
            </w:r>
          </w:p>
        </w:tc>
        <w:tc>
          <w:tcPr>
            <w:tcW w:w="2268" w:type="dxa"/>
          </w:tcPr>
          <w:p w14:paraId="1ECF0E9D" w14:textId="40695E86" w:rsidR="00D82224" w:rsidRPr="009B561A" w:rsidRDefault="00D82224" w:rsidP="009B561A">
            <w:pPr>
              <w:spacing w:line="276" w:lineRule="auto"/>
              <w:rPr>
                <w:rFonts w:ascii="Calibri" w:hAnsi="Calibri" w:cs="Calibri"/>
                <w:b/>
                <w:bCs/>
                <w:color w:val="000000" w:themeColor="text1"/>
                <w:sz w:val="20"/>
                <w:szCs w:val="20"/>
                <w:vertAlign w:val="superscript"/>
              </w:rPr>
            </w:pPr>
            <w:r w:rsidRPr="009B561A">
              <w:rPr>
                <w:rFonts w:ascii="Calibri" w:hAnsi="Calibri" w:cs="Calibri"/>
                <w:b/>
                <w:bCs/>
                <w:color w:val="000000" w:themeColor="text1"/>
                <w:sz w:val="20"/>
                <w:szCs w:val="20"/>
              </w:rPr>
              <w:t>O Sullivan (2020</w:t>
            </w:r>
            <w:r w:rsidRPr="00443DC1">
              <w:rPr>
                <w:rFonts w:ascii="Calibri" w:hAnsi="Calibri" w:cs="Calibri"/>
                <w:b/>
                <w:bCs/>
                <w:color w:val="000000" w:themeColor="text1"/>
                <w:sz w:val="20"/>
                <w:szCs w:val="20"/>
              </w:rPr>
              <w:t>)</w:t>
            </w:r>
            <w:r w:rsidRPr="00443DC1">
              <w:rPr>
                <w:rFonts w:ascii="Calibri" w:hAnsi="Calibri" w:cs="Calibri"/>
                <w:b/>
                <w:bCs/>
                <w:color w:val="000000" w:themeColor="text1"/>
                <w:sz w:val="20"/>
                <w:szCs w:val="20"/>
                <w:vertAlign w:val="superscript"/>
              </w:rPr>
              <w:t xml:space="preserve"> </w:t>
            </w:r>
            <w:r w:rsidR="005C0661" w:rsidRPr="00443DC1">
              <w:rPr>
                <w:rFonts w:ascii="Calibri" w:hAnsi="Calibri" w:cs="Calibri"/>
                <w:b/>
                <w:bCs/>
                <w:color w:val="000000" w:themeColor="text1"/>
                <w:sz w:val="20"/>
                <w:szCs w:val="20"/>
                <w:vertAlign w:val="superscript"/>
              </w:rPr>
              <w:fldChar w:fldCharType="begin" w:fldLock="1"/>
            </w:r>
            <w:r w:rsidR="005C0661" w:rsidRPr="00443DC1">
              <w:rPr>
                <w:rFonts w:ascii="Calibri" w:hAnsi="Calibri" w:cs="Calibri"/>
                <w:b/>
                <w:bCs/>
                <w:color w:val="000000" w:themeColor="text1"/>
                <w:sz w:val="20"/>
                <w:szCs w:val="20"/>
                <w:vertAlign w:val="superscript"/>
              </w:rPr>
              <w:instrText>ADDIN CSL_CITATION {"citationItems":[{"id":"ITEM-1","itemData":{"DOI":"10.1093/jac/dkaa006","ISSN":"14602091","PMID":"32068845","abstract":"There are now 10 years of national antimicrobial consumption data in Ireland. Despite the creation of an 'antimicrobial stewardship and infection control industrial complex' over this period, the data demonstrate a 16% increase in consumption nationally. Given the ongoing challenges with carbapenemase-producing Enterobacterales and Clostridioides difficile within the acute hospital system, the data point to the ineffectiveness of the national antimicrobial stewardship programme/model. A different model of antimicrobial stewardship is therefore needed. This new model is one based around the collection and dissemination of physician-specific consumption, together with greater education of clinicians in the management of infections. By shining a light on individual clinician antibiotic prescribing, outlier identification, along with peer to peer (or clinician to clinician) pressure, can be brought to bear on the problem and shift the emphasis from the current 'policing' oversight, to self-regulation instead.","author":[{"dropping-particle":"","family":"O'Sullivan","given":"Cathal E.","non-dropping-particle":"","parse-names":false,"suffix":""}],"container-title":"Journal of Antimicrobial Chemotherapy","id":"ITEM-1","issue":"5","issued":{"date-parts":[["2020","5","1"]]},"page":"1087-1090","publisher":"Oxford University Press","title":"Antimicrobial stewardship failure: Time for a new model","type":"article-journal","volume":"75"},"uris":["http://www.mendeley.com/documents/?uuid=6b58ea81-3c26-3321-9b33-1710cbd7fd51"]}],"mendeley":{"formattedCitation":"(5)","plainTextFormattedCitation":"(5)","previouslyFormattedCitation":"(5)"},"properties":{"noteIndex":0},"schema":"https://github.com/citation-style-language/schema/raw/master/csl-citation.json"}</w:instrText>
            </w:r>
            <w:r w:rsidR="005C0661" w:rsidRPr="00443DC1">
              <w:rPr>
                <w:rFonts w:ascii="Calibri" w:hAnsi="Calibri" w:cs="Calibri"/>
                <w:b/>
                <w:bCs/>
                <w:color w:val="000000" w:themeColor="text1"/>
                <w:sz w:val="20"/>
                <w:szCs w:val="20"/>
                <w:vertAlign w:val="superscript"/>
              </w:rPr>
              <w:fldChar w:fldCharType="separate"/>
            </w:r>
            <w:r w:rsidR="00C46A65" w:rsidRPr="00443DC1">
              <w:rPr>
                <w:rFonts w:ascii="Calibri" w:hAnsi="Calibri" w:cs="Calibri"/>
                <w:bCs/>
                <w:noProof/>
                <w:color w:val="000000" w:themeColor="text1"/>
                <w:sz w:val="20"/>
                <w:szCs w:val="20"/>
              </w:rPr>
              <w:t>[</w:t>
            </w:r>
            <w:r w:rsidR="005C0661" w:rsidRPr="00443DC1">
              <w:rPr>
                <w:rFonts w:ascii="Calibri" w:hAnsi="Calibri" w:cs="Calibri"/>
                <w:bCs/>
                <w:noProof/>
                <w:color w:val="000000" w:themeColor="text1"/>
                <w:sz w:val="20"/>
                <w:szCs w:val="20"/>
              </w:rPr>
              <w:t>5</w:t>
            </w:r>
            <w:r w:rsidR="00C46A65" w:rsidRPr="00443DC1">
              <w:rPr>
                <w:rFonts w:ascii="Calibri" w:hAnsi="Calibri" w:cs="Calibri"/>
                <w:bCs/>
                <w:noProof/>
                <w:color w:val="000000" w:themeColor="text1"/>
                <w:sz w:val="20"/>
                <w:szCs w:val="20"/>
              </w:rPr>
              <w:t>]</w:t>
            </w:r>
            <w:r w:rsidR="005C0661" w:rsidRPr="00443DC1">
              <w:rPr>
                <w:rFonts w:ascii="Calibri" w:hAnsi="Calibri" w:cs="Calibri"/>
                <w:b/>
                <w:bCs/>
                <w:color w:val="000000" w:themeColor="text1"/>
                <w:sz w:val="20"/>
                <w:szCs w:val="20"/>
                <w:vertAlign w:val="superscript"/>
              </w:rPr>
              <w:fldChar w:fldCharType="end"/>
            </w:r>
            <w:r w:rsidR="00443DC1" w:rsidRPr="009B561A">
              <w:rPr>
                <w:rFonts w:ascii="Calibri" w:hAnsi="Calibri" w:cs="Calibri"/>
                <w:b/>
                <w:bCs/>
                <w:color w:val="000000" w:themeColor="text1"/>
                <w:sz w:val="20"/>
                <w:szCs w:val="20"/>
                <w:vertAlign w:val="superscript"/>
              </w:rPr>
              <w:t xml:space="preserve"> </w:t>
            </w:r>
          </w:p>
          <w:p w14:paraId="08704E44"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Antimicrobial stewardship failure: time for a new model</w:t>
            </w:r>
          </w:p>
          <w:p w14:paraId="57774724" w14:textId="77777777" w:rsidR="00D82224" w:rsidRPr="009B561A" w:rsidRDefault="00D82224" w:rsidP="009B561A">
            <w:pPr>
              <w:spacing w:line="276" w:lineRule="auto"/>
              <w:rPr>
                <w:rFonts w:ascii="Calibri" w:hAnsi="Calibri" w:cs="Calibri"/>
                <w:color w:val="000000" w:themeColor="text1"/>
                <w:sz w:val="20"/>
                <w:szCs w:val="20"/>
              </w:rPr>
            </w:pPr>
          </w:p>
          <w:p w14:paraId="15F11203"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*Links with Tables SRC C</w:t>
            </w:r>
          </w:p>
        </w:tc>
        <w:tc>
          <w:tcPr>
            <w:tcW w:w="3685" w:type="dxa"/>
          </w:tcPr>
          <w:p w14:paraId="5C4CC013" w14:textId="77777777" w:rsidR="00D82224" w:rsidRPr="009B561A" w:rsidRDefault="00D82224" w:rsidP="009B561A">
            <w:pPr>
              <w:autoSpaceDE w:val="0"/>
              <w:autoSpaceDN w:val="0"/>
              <w:adjustRightInd w:val="0"/>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Aim:</w:t>
            </w:r>
            <w:r w:rsidRPr="009B561A">
              <w:rPr>
                <w:rFonts w:ascii="Calibri" w:hAnsi="Calibri" w:cs="Calibri"/>
                <w:color w:val="000000" w:themeColor="text1"/>
                <w:sz w:val="20"/>
                <w:szCs w:val="20"/>
              </w:rPr>
              <w:t xml:space="preserve"> A review of the national antimicrobial stewardship programme/model over ten years</w:t>
            </w:r>
          </w:p>
          <w:p w14:paraId="07718195"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Method:</w:t>
            </w:r>
            <w:r w:rsidRPr="009B561A">
              <w:rPr>
                <w:rFonts w:ascii="Calibri" w:hAnsi="Calibri" w:cs="Calibri"/>
                <w:color w:val="000000" w:themeColor="text1"/>
                <w:sz w:val="20"/>
                <w:szCs w:val="20"/>
              </w:rPr>
              <w:t xml:space="preserve"> Debate</w:t>
            </w:r>
          </w:p>
          <w:p w14:paraId="2884DB17"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NA</w:t>
            </w:r>
          </w:p>
          <w:p w14:paraId="0BD5D069"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b/>
                <w:bCs/>
                <w:sz w:val="20"/>
                <w:szCs w:val="20"/>
              </w:rPr>
              <w:t>Recruitment:</w:t>
            </w:r>
            <w:r w:rsidRPr="009B561A">
              <w:rPr>
                <w:rFonts w:ascii="Calibri" w:hAnsi="Calibri" w:cs="Calibri"/>
                <w:sz w:val="20"/>
                <w:szCs w:val="20"/>
              </w:rPr>
              <w:t xml:space="preserve"> NA</w:t>
            </w:r>
          </w:p>
          <w:p w14:paraId="24A8F176" w14:textId="77777777" w:rsidR="00D82224" w:rsidRPr="009B561A" w:rsidRDefault="00D82224" w:rsidP="009B561A">
            <w:pPr>
              <w:spacing w:line="276" w:lineRule="auto"/>
              <w:rPr>
                <w:rFonts w:ascii="Calibri" w:hAnsi="Calibri" w:cs="Calibri"/>
                <w:b/>
                <w:bCs/>
                <w:sz w:val="20"/>
                <w:szCs w:val="20"/>
              </w:rPr>
            </w:pPr>
          </w:p>
        </w:tc>
        <w:tc>
          <w:tcPr>
            <w:tcW w:w="3119" w:type="dxa"/>
          </w:tcPr>
          <w:p w14:paraId="004400E1" w14:textId="77777777" w:rsidR="00D82224" w:rsidRPr="009B561A" w:rsidRDefault="00D82224" w:rsidP="009B561A">
            <w:pPr>
              <w:spacing w:line="276" w:lineRule="auto"/>
              <w:rPr>
                <w:rFonts w:ascii="Calibri" w:hAnsi="Calibri" w:cs="Calibri"/>
                <w:sz w:val="20"/>
                <w:szCs w:val="20"/>
                <w:shd w:val="clear" w:color="auto" w:fill="FFFFFF"/>
              </w:rPr>
            </w:pPr>
            <w:r w:rsidRPr="009B561A">
              <w:rPr>
                <w:rFonts w:ascii="Calibri" w:hAnsi="Calibri" w:cs="Calibri"/>
                <w:sz w:val="20"/>
                <w:szCs w:val="20"/>
              </w:rPr>
              <w:t>There has been a 16% increase in consumption between 2009 and 2018, from 76.2 DDD/100 BDU in 2009 to 88.4 DDD/100 BDU in 2018</w:t>
            </w:r>
          </w:p>
          <w:p w14:paraId="4BE27661" w14:textId="77777777" w:rsidR="00D82224" w:rsidRPr="009B561A" w:rsidRDefault="00D82224" w:rsidP="009B561A">
            <w:pPr>
              <w:spacing w:line="276" w:lineRule="auto"/>
              <w:rPr>
                <w:rFonts w:ascii="Calibri" w:hAnsi="Calibri" w:cs="Calibri"/>
                <w:sz w:val="20"/>
                <w:szCs w:val="20"/>
              </w:rPr>
            </w:pPr>
          </w:p>
        </w:tc>
        <w:tc>
          <w:tcPr>
            <w:tcW w:w="4677" w:type="dxa"/>
          </w:tcPr>
          <w:p w14:paraId="49E43B62"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shd w:val="clear" w:color="auto" w:fill="FFFFFF"/>
              </w:rPr>
              <w:t>Critique of the first ten years of AMS in ROI in which there has been limited progress in relation to antibiotic consumption despite an increase in recruitment of staff.</w:t>
            </w:r>
            <w:r w:rsidRPr="009B561A">
              <w:rPr>
                <w:rFonts w:ascii="Calibri" w:hAnsi="Calibri" w:cs="Calibri"/>
                <w:color w:val="000000" w:themeColor="text1"/>
                <w:sz w:val="20"/>
                <w:szCs w:val="20"/>
              </w:rPr>
              <w:t xml:space="preserve"> </w:t>
            </w:r>
          </w:p>
          <w:p w14:paraId="53C70627" w14:textId="77777777" w:rsidR="00D82224" w:rsidRPr="009B561A" w:rsidRDefault="00D82224" w:rsidP="009B561A">
            <w:pPr>
              <w:spacing w:line="276" w:lineRule="auto"/>
              <w:rPr>
                <w:rFonts w:ascii="Calibri" w:hAnsi="Calibri" w:cs="Calibri"/>
                <w:sz w:val="20"/>
                <w:szCs w:val="20"/>
              </w:rPr>
            </w:pPr>
          </w:p>
        </w:tc>
      </w:tr>
      <w:tr w:rsidR="00D82224" w:rsidRPr="009B561A" w14:paraId="0AC56A8F" w14:textId="77777777" w:rsidTr="0087653A">
        <w:tc>
          <w:tcPr>
            <w:tcW w:w="421" w:type="dxa"/>
          </w:tcPr>
          <w:p w14:paraId="681DBC96"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5</w:t>
            </w:r>
          </w:p>
        </w:tc>
        <w:tc>
          <w:tcPr>
            <w:tcW w:w="2268" w:type="dxa"/>
          </w:tcPr>
          <w:p w14:paraId="57D8B2EA" w14:textId="61F0082F" w:rsidR="00D82224" w:rsidRPr="00443DC1" w:rsidRDefault="00D82224" w:rsidP="009B561A">
            <w:pPr>
              <w:spacing w:line="276" w:lineRule="auto"/>
              <w:rPr>
                <w:rFonts w:ascii="Calibri" w:hAnsi="Calibri" w:cs="Calibri"/>
                <w:b/>
                <w:bCs/>
                <w:sz w:val="20"/>
                <w:szCs w:val="20"/>
                <w:vertAlign w:val="superscript"/>
              </w:rPr>
            </w:pPr>
            <w:proofErr w:type="spellStart"/>
            <w:r w:rsidRPr="00443DC1">
              <w:rPr>
                <w:rFonts w:ascii="Calibri" w:hAnsi="Calibri" w:cs="Calibri"/>
                <w:b/>
                <w:bCs/>
                <w:sz w:val="20"/>
                <w:szCs w:val="20"/>
              </w:rPr>
              <w:t>Plachouras</w:t>
            </w:r>
            <w:proofErr w:type="spellEnd"/>
            <w:r w:rsidRPr="00443DC1">
              <w:rPr>
                <w:rFonts w:ascii="Calibri" w:hAnsi="Calibri" w:cs="Calibri"/>
                <w:b/>
                <w:bCs/>
                <w:sz w:val="20"/>
                <w:szCs w:val="20"/>
              </w:rPr>
              <w:t xml:space="preserve"> et al (2018)</w:t>
            </w:r>
            <w:r w:rsidRPr="00443DC1">
              <w:rPr>
                <w:rFonts w:ascii="Calibri" w:hAnsi="Calibri" w:cs="Calibri"/>
                <w:b/>
                <w:bCs/>
                <w:sz w:val="20"/>
                <w:szCs w:val="20"/>
                <w:vertAlign w:val="superscript"/>
              </w:rPr>
              <w:t xml:space="preserve"> </w:t>
            </w:r>
            <w:r w:rsidR="005C0661" w:rsidRPr="00443DC1">
              <w:rPr>
                <w:rFonts w:ascii="Calibri" w:hAnsi="Calibri" w:cs="Calibri"/>
                <w:b/>
                <w:bCs/>
                <w:sz w:val="20"/>
                <w:szCs w:val="20"/>
                <w:vertAlign w:val="superscript"/>
              </w:rPr>
              <w:fldChar w:fldCharType="begin" w:fldLock="1"/>
            </w:r>
            <w:r w:rsidR="005C0661" w:rsidRPr="00443DC1">
              <w:rPr>
                <w:rFonts w:ascii="Calibri" w:hAnsi="Calibri" w:cs="Calibri"/>
                <w:b/>
                <w:bCs/>
                <w:sz w:val="20"/>
                <w:szCs w:val="20"/>
                <w:vertAlign w:val="superscript"/>
              </w:rPr>
              <w:instrText>ADDIN CSL_CITATION {"citationItems":[{"id":"ITEM-1","itemData":{"DOI":"10.2807/1560-7917.ES.23.46.1800393","ISSN":"15607917","PMID":"30458917","abstract":"Antimicrobial agents used to treat infections are lifesaving. Overuse may result in more frequent adverse effects and emergence of multidrug-resistant microorganisms. In 2016–17, we performed the second point-prevalence survey (PPS) of healthcare-associated infections (HAIs) and antimicrobial use in European acute care hospitals. We included 1,209 hospitals and 310,755 patients in 28 of 31 European Union/European Economic Area (EU/EEA) countries. The weighted prevalence of antimicrobial use in the EU/EEA was 30.5% (95% CI: 29.2–31.9%). The most common indication for prescribing antimicrobials was treatment of a commu-nity-acquired infection, followed by treatment of HAI and surgical prophylaxis. Over half (54.2%) of antimicrobials for surgical prophylaxis were prescribed for more than 1 day. The most common infections treated by antimicrobials were respiratory tract infections and the most commonly prescribed antimicrobial agents were penicillins with beta-lactamase inhibitors. There was wide variation of patients on antimicrobials, in the selection of antimicrobial agents and in antimicrobial stewardship resources and activities across the participating countries. The results of the PPS provide detailed information on antimicrobial use in European acute care hospitals, enable comparisons between countries and hospitals, and highlight key areas for national and European action that will support efforts towards prudent use of antimicrobials.","author":[{"dropping-particle":"","family":"Plachouras","given":"Diamantis","non-dropping-particle":"","parse-names":false,"suffix":""},{"dropping-particle":"","family":"Kärki","given":"Tommi","non-dropping-particle":"","parse-names":false,"suffix":""},{"dropping-particle":"","family":"Hansen","given":"Sonja","non-dropping-particle":"","parse-names":false,"suffix":""},{"dropping-particle":"","family":"Hopkins","given":"Susan","non-dropping-particle":"","parse-names":false,"suffix":""},{"dropping-particle":"","family":"Lyytikäinen","given":"Outi","non-dropping-particle":"","parse-names":false,"suffix":""},{"dropping-particle":"","family":"Moro","given":"Maria Luisa","non-dropping-particle":"","parse-names":false,"suffix":""},{"dropping-particle":"","family":"Reilly","given":"Jacqui","non-dropping-particle":"","parse-names":false,"suffix":""},{"dropping-particle":"","family":"Zarb","given":"Peter","non-dropping-particle":"","parse-names":false,"suffix":""},{"dropping-particle":"","family":"Zingg","given":"Walter","non-dropping-particle":"","parse-names":false,"suffix":""},{"dropping-particle":"","family":"Kinross","given":"Pete","non-dropping-particle":"","parse-names":false,"suffix":""},{"dropping-particle":"","family":"Weist","given":"Klaus","non-dropping-particle":"","parse-names":false,"suffix":""},{"dropping-particle":"","family":"Monnet","given":"Dominique L.","non-dropping-particle":"","parse-names":false,"suffix":""},{"dropping-particle":"","family":"Suetens","given":"Carl","non-dropping-particle":"","parse-names":false,"suffix":""},{"dropping-particle":"","family":"Strauss","given":"Reinhild","non-dropping-particle":"","parse-names":false,"suffix":""},{"dropping-particle":"","family":"Presterl","given":"Elisabeth","non-dropping-particle":"","parse-names":false,"suffix":""},{"dropping-particle":"","family":"Latour","given":"Katrien","non-dropping-particle":"","parse-names":false,"suffix":""},{"dropping-particle":"","family":"Vandael","given":"Eline","non-dropping-particle":"","parse-names":false,"suffix":""},{"dropping-particle":"","family":"Dobreva","given":"Elina","non-dropping-particle":"","parse-names":false,"suffix":""},{"dropping-particle":"","family":"Ivanov","given":"Ivan N.","non-dropping-particle":"","parse-names":false,"suffix":""},{"dropping-particle":"","family":"Budimir","given":"Ana","non-dropping-particle":"","parse-names":false,"suffix":""},{"dropping-particle":"","family":"Bošnjak","given":"Zrinka","non-dropping-particle":"","parse-names":false,"suffix":""},{"dropping-particle":"","family":"Hadjihannas","given":"Linos","non-dropping-particle":"","parse-names":false,"suffix":""},{"dropping-particle":"","family":"Jindrák","given":"Vlastimil","non-dropping-particle":"","parse-names":false,"suffix":""},{"dropping-particle":"","family":"Märtin","given":"Pille","non-dropping-particle":"","parse-names":false,"suffix":""},{"dropping-particle":"","family":"Mitt","given":"Piret","non-dropping-particle":"","parse-names":false,"suffix":""},{"dropping-particle":"","family":"Sarvikivi","given":"Emmi","non-dropping-particle":"","parse-names":false,"suffix":""},{"dropping-particle":"","family":"Daniau","given":"Côme","non-dropping-particle":"","parse-names":false,"suffix":""},{"dropping-particle":"","family":"Berger-Carbonne","given":"Anne","non-dropping-particle":"","parse-names":false,"suffix":""},{"dropping-particle":"","family":"Aghdassi","given":"Seven","non-dropping-particle":"","parse-names":false,"suffix":""},{"dropping-particle":"","family":"Gastmeier","given":"Petra","non-dropping-particle":"","parse-names":false,"suffix":""},{"dropping-particle":"","family":"Kontopidou","given":"Flora","non-dropping-particle":"","parse-names":false,"suffix":""},{"dropping-particle":"","family":"Arvaniti","given":"Kostoula","non-dropping-particle":"","parse-names":false,"suffix":""},{"dropping-particle":"","family":"Hajdu","given":"Agnes","non-dropping-particle":"","parse-names":false,"suffix":""},{"dropping-particle":"","family":"Guðlaugsson","given":"Ólafur","non-dropping-particle":"","parse-names":false,"suffix":""},{"dropping-particle":"","family":"Zotti","given":"Carla M.","non-dropping-particle":"","parse-names":false,"suffix":""},{"dropping-particle":"","family":"Quattrocolo","given":"Francesca","non-dropping-particle":"","parse-names":false,"suffix":""},{"dropping-particle":"","family":"Burns","given":"Karen","non-dropping-particle":"","parse-names":false,"suffix":""},{"dropping-particle":"","family":"Dimiņa","given":"Elīna","non-dropping-particle":"","parse-names":false,"suffix":""},{"dropping-particle":"","family":"Vilde","given":"Aija","non-dropping-particle":"","parse-names":false,"suffix":""},{"dropping-particle":"","family":"Staniulytė","given":"Justė","non-dropping-particle":"","parse-names":false,"suffix":""},{"dropping-particle":"","family":"Debacker","given":"Martine","non-dropping-particle":"","parse-names":false,"suffix":""},{"dropping-particle":"","family":"Arendt","given":"Vic","non-dropping-particle":"","parse-names":false,"suffix":""},{"dropping-particle":"","family":"Borg","given":"Michael A.","non-dropping-particle":"","parse-names":false,"suffix":""},{"dropping-particle":"","family":"Hopmans","given":"Titia","non-dropping-particle":"","parse-names":false,"suffix":""},{"dropping-particle":"","family":"Smid","given":"Emma","non-dropping-particle":"","parse-names":false,"suffix":""},{"dropping-particle":"","family":"Berg","given":"Thale C.","non-dropping-particle":"","parse-names":false,"suffix":""},{"dropping-particle":"","family":"Alberg","given":"Torunn","non-dropping-particle":"","parse-names":false,"suffix":""},{"dropping-particle":"","family":"Deptula","given":"Aleksander","non-dropping-particle":"","parse-names":false,"suffix":""},{"dropping-particle":"","family":"Rydygier","given":"Ludwik","non-dropping-particle":"","parse-names":false,"suffix":""},{"dropping-particle":"","family":"Neves","given":"Isabel","non-dropping-particle":"","parse-names":false,"suffix":""},{"dropping-particle":"","family":"Pacheco","given":"Pedro","non-dropping-particle":"","parse-names":false,"suffix":""},{"dropping-particle":"","family":"Serban","given":"Roxana Ioana","non-dropping-particle":"","parse-names":false,"suffix":""},{"dropping-particle":"","family":"Niculcea","given":"Andreea Sorina","non-dropping-particle":"","parse-names":false,"suffix":""},{"dropping-particle":"","family":"Markovic-Denic","given":"Ljiljana","non-dropping-particle":"","parse-names":false,"suffix":""},{"dropping-particle":"","family":"Dragovac","given":"Gorana","non-dropping-particle":"","parse-names":false,"suffix":""},{"dropping-particle":"","family":"Litvová","given":"Slavka","non-dropping-particle":"","parse-names":false,"suffix":""},{"dropping-particle":"","family":"Štefkovičová","given":"Mária","non-dropping-particle":"","parse-names":false,"suffix":""},{"dropping-particle":"","family":"Zupanc","given":"Tatjana Lejko","non-dropping-particle":"","parse-names":false,"suffix":""},{"dropping-particle":"","family":"Korošec","given":"Aleš","non-dropping-particle":"","parse-names":false,"suffix":""},{"dropping-particle":"","family":"Asensio","given":"Angel","non-dropping-particle":"","parse-names":false,"suffix":""},{"dropping-particle":"","family":"Cantero","given":"Mireia","non-dropping-particle":"","parse-names":false,"suffix":""},{"dropping-particle":"","family":"Johnson","given":"Alan","non-dropping-particle":"","parse-names":false,"suffix":""},{"dropping-particle":"","family":"Sartaj","given":"Muhammad","non-dropping-particle":"","parse-names":false,"suffix":""},{"dropping-particle":"","family":"McConaghy","given":"Mark","non-dropping-particle":"","parse-names":false,"suffix":""},{"dropping-particle":"","family":"Cairns","given":"Shona","non-dropping-particle":"","parse-names":false,"suffix":""},{"dropping-particle":"","family":"Gibbons","given":"Cheryl","non-dropping-particle":"","parse-names":false,"suffix":""},{"dropping-particle":"","family":"Nedyalkov","given":"Martyn","non-dropping-particle":"","parse-names":false,"suffix":""},{"dropping-particle":"","family":"Hristova","given":"Rumyana","non-dropping-particle":"","parse-names":false,"suffix":""},{"dropping-particle":"","family":"Harrison","given":"Wendy","non-dropping-particle":"","parse-names":false,"suffix":""},{"dropping-particle":"","family":"Florentin","given":"David","non-dropping-particle":"","parse-names":false,"suffix":""}],"container-title":"Eurosurveillance","id":"ITEM-1","issue":"46","issued":{"date-parts":[["2018"]]},"publisher":"European Centre for Disease Control and Prevention (ECDC)","title":"Antimicrobial use in european acute care hospitals: Results from the second point prevalence survey (PPS) of healthcare-associated infections and antimicrobial use, 2016 to 2017","type":"article-journal","volume":"23"},"uris":["http://www.mendeley.com/documents/?uuid=822d67b0-315b-49a6-a5fe-50a4a494676d"]}],"mendeley":{"formattedCitation":"(6)","plainTextFormattedCitation":"(6)","previouslyFormattedCitation":"(6)"},"properties":{"noteIndex":0},"schema":"https://github.com/citation-style-language/schema/raw/master/csl-citation.json"}</w:instrText>
            </w:r>
            <w:r w:rsidR="005C0661" w:rsidRPr="00443DC1">
              <w:rPr>
                <w:rFonts w:ascii="Calibri" w:hAnsi="Calibri" w:cs="Calibri"/>
                <w:b/>
                <w:bCs/>
                <w:sz w:val="20"/>
                <w:szCs w:val="20"/>
                <w:vertAlign w:val="superscript"/>
              </w:rPr>
              <w:fldChar w:fldCharType="separate"/>
            </w:r>
            <w:r w:rsidR="00C46A65" w:rsidRPr="00443DC1">
              <w:rPr>
                <w:rFonts w:ascii="Calibri" w:hAnsi="Calibri" w:cs="Calibri"/>
                <w:bCs/>
                <w:noProof/>
                <w:sz w:val="20"/>
                <w:szCs w:val="20"/>
              </w:rPr>
              <w:t>[</w:t>
            </w:r>
            <w:r w:rsidR="005C0661" w:rsidRPr="00443DC1">
              <w:rPr>
                <w:rFonts w:ascii="Calibri" w:hAnsi="Calibri" w:cs="Calibri"/>
                <w:bCs/>
                <w:noProof/>
                <w:sz w:val="20"/>
                <w:szCs w:val="20"/>
              </w:rPr>
              <w:t>6</w:t>
            </w:r>
            <w:r w:rsidR="00C46A65" w:rsidRPr="00443DC1">
              <w:rPr>
                <w:rFonts w:ascii="Calibri" w:hAnsi="Calibri" w:cs="Calibri"/>
                <w:bCs/>
                <w:noProof/>
                <w:sz w:val="20"/>
                <w:szCs w:val="20"/>
              </w:rPr>
              <w:t>]</w:t>
            </w:r>
            <w:r w:rsidR="005C0661" w:rsidRPr="00443DC1">
              <w:rPr>
                <w:rFonts w:ascii="Calibri" w:hAnsi="Calibri" w:cs="Calibri"/>
                <w:b/>
                <w:bCs/>
                <w:sz w:val="20"/>
                <w:szCs w:val="20"/>
                <w:vertAlign w:val="superscript"/>
              </w:rPr>
              <w:fldChar w:fldCharType="end"/>
            </w:r>
            <w:r w:rsidR="00443DC1" w:rsidRPr="00443DC1">
              <w:rPr>
                <w:rFonts w:ascii="Calibri" w:hAnsi="Calibri" w:cs="Calibri"/>
                <w:b/>
                <w:bCs/>
                <w:sz w:val="20"/>
                <w:szCs w:val="20"/>
                <w:vertAlign w:val="superscript"/>
              </w:rPr>
              <w:t xml:space="preserve"> </w:t>
            </w:r>
          </w:p>
          <w:p w14:paraId="2F548E7B" w14:textId="77777777" w:rsidR="00D82224" w:rsidRPr="009B561A" w:rsidRDefault="00D82224" w:rsidP="009B561A">
            <w:pPr>
              <w:spacing w:line="276" w:lineRule="auto"/>
              <w:rPr>
                <w:rFonts w:ascii="Calibri" w:hAnsi="Calibri" w:cs="Calibri"/>
                <w:sz w:val="20"/>
                <w:szCs w:val="20"/>
              </w:rPr>
            </w:pPr>
            <w:r w:rsidRPr="00443DC1">
              <w:rPr>
                <w:rFonts w:ascii="Calibri" w:hAnsi="Calibri" w:cs="Calibri"/>
                <w:sz w:val="20"/>
                <w:szCs w:val="20"/>
              </w:rPr>
              <w:t>Antimicrobial</w:t>
            </w:r>
            <w:r w:rsidRPr="009B561A">
              <w:rPr>
                <w:rFonts w:ascii="Calibri" w:hAnsi="Calibri" w:cs="Calibri"/>
                <w:sz w:val="20"/>
                <w:szCs w:val="20"/>
              </w:rPr>
              <w:t xml:space="preserve"> use in European acute care hospitals: results from the second point prevalence survey (PPS) </w:t>
            </w:r>
            <w:r w:rsidRPr="009B561A">
              <w:rPr>
                <w:rFonts w:ascii="Calibri" w:hAnsi="Calibri" w:cs="Calibri"/>
                <w:sz w:val="20"/>
                <w:szCs w:val="20"/>
              </w:rPr>
              <w:lastRenderedPageBreak/>
              <w:t>of healthcare-associated infections and antimicrobial use, 2016 to 2017</w:t>
            </w:r>
          </w:p>
        </w:tc>
        <w:tc>
          <w:tcPr>
            <w:tcW w:w="3685" w:type="dxa"/>
          </w:tcPr>
          <w:p w14:paraId="59EAC57F" w14:textId="77777777" w:rsidR="00D82224" w:rsidRPr="009B561A" w:rsidRDefault="00D82224" w:rsidP="009B561A">
            <w:pPr>
              <w:autoSpaceDE w:val="0"/>
              <w:autoSpaceDN w:val="0"/>
              <w:adjustRightInd w:val="0"/>
              <w:spacing w:line="276" w:lineRule="auto"/>
              <w:rPr>
                <w:rFonts w:ascii="Calibri" w:hAnsi="Calibri" w:cs="Calibri"/>
                <w:sz w:val="20"/>
                <w:szCs w:val="20"/>
              </w:rPr>
            </w:pPr>
            <w:r w:rsidRPr="009B561A">
              <w:rPr>
                <w:rFonts w:ascii="Calibri" w:hAnsi="Calibri" w:cs="Calibri"/>
                <w:b/>
                <w:bCs/>
                <w:sz w:val="20"/>
                <w:szCs w:val="20"/>
              </w:rPr>
              <w:lastRenderedPageBreak/>
              <w:t>Aim:</w:t>
            </w:r>
            <w:r w:rsidRPr="009B561A">
              <w:rPr>
                <w:rFonts w:ascii="Calibri" w:hAnsi="Calibri" w:cs="Calibri"/>
                <w:sz w:val="20"/>
                <w:szCs w:val="20"/>
              </w:rPr>
              <w:t xml:space="preserve"> To</w:t>
            </w:r>
            <w:r w:rsidRPr="009B561A">
              <w:rPr>
                <w:rFonts w:ascii="Calibri" w:hAnsi="Calibri" w:cs="Calibri"/>
                <w:b/>
                <w:bCs/>
                <w:sz w:val="20"/>
                <w:szCs w:val="20"/>
              </w:rPr>
              <w:t xml:space="preserve"> </w:t>
            </w:r>
            <w:r w:rsidRPr="009B561A">
              <w:rPr>
                <w:rFonts w:ascii="Calibri" w:hAnsi="Calibri" w:cs="Calibri"/>
                <w:sz w:val="20"/>
                <w:szCs w:val="20"/>
              </w:rPr>
              <w:t>estimate the prevalence of antimicrobial use and describing the indications and the prescribed antimicrobial agents.</w:t>
            </w:r>
          </w:p>
          <w:p w14:paraId="1EA7778C" w14:textId="77777777" w:rsidR="00D82224" w:rsidRPr="009B561A" w:rsidRDefault="00D82224" w:rsidP="009B561A">
            <w:pPr>
              <w:autoSpaceDE w:val="0"/>
              <w:autoSpaceDN w:val="0"/>
              <w:adjustRightInd w:val="0"/>
              <w:spacing w:line="276" w:lineRule="auto"/>
              <w:rPr>
                <w:rFonts w:ascii="Calibri" w:hAnsi="Calibri" w:cs="Calibri"/>
                <w:sz w:val="20"/>
                <w:szCs w:val="20"/>
              </w:rPr>
            </w:pPr>
            <w:r w:rsidRPr="009B561A">
              <w:rPr>
                <w:rFonts w:ascii="Calibri" w:hAnsi="Calibri" w:cs="Calibri"/>
                <w:b/>
                <w:bCs/>
                <w:sz w:val="20"/>
                <w:szCs w:val="20"/>
              </w:rPr>
              <w:t>Method:</w:t>
            </w:r>
            <w:r w:rsidRPr="009B561A">
              <w:rPr>
                <w:rFonts w:ascii="Calibri" w:hAnsi="Calibri" w:cs="Calibri"/>
                <w:sz w:val="20"/>
                <w:szCs w:val="20"/>
              </w:rPr>
              <w:t xml:space="preserve"> Point prevalence</w:t>
            </w:r>
          </w:p>
          <w:p w14:paraId="19A20A9B" w14:textId="77777777" w:rsidR="00D82224" w:rsidRPr="009B561A" w:rsidRDefault="00D82224" w:rsidP="009B561A">
            <w:pPr>
              <w:autoSpaceDE w:val="0"/>
              <w:autoSpaceDN w:val="0"/>
              <w:adjustRightInd w:val="0"/>
              <w:spacing w:line="276" w:lineRule="auto"/>
              <w:rPr>
                <w:rFonts w:ascii="Calibri" w:hAnsi="Calibri" w:cs="Calibri"/>
                <w:sz w:val="20"/>
                <w:szCs w:val="20"/>
              </w:rPr>
            </w:pPr>
            <w:r w:rsidRPr="009B561A">
              <w:rPr>
                <w:rFonts w:ascii="Calibri" w:hAnsi="Calibri" w:cs="Calibri"/>
                <w:sz w:val="20"/>
                <w:szCs w:val="20"/>
              </w:rPr>
              <w:lastRenderedPageBreak/>
              <w:t>survey (PPS) of healthcare-associated infections (HAIs) and antimicrobial use in European acute care hospitals.</w:t>
            </w:r>
          </w:p>
          <w:p w14:paraId="787DA07D" w14:textId="77777777" w:rsidR="00D82224" w:rsidRPr="009B561A" w:rsidRDefault="00D82224" w:rsidP="009B561A">
            <w:pPr>
              <w:autoSpaceDE w:val="0"/>
              <w:autoSpaceDN w:val="0"/>
              <w:adjustRightInd w:val="0"/>
              <w:spacing w:line="276" w:lineRule="auto"/>
              <w:rPr>
                <w:rFonts w:ascii="Calibri" w:hAnsi="Calibri" w:cs="Calibri"/>
                <w:sz w:val="20"/>
                <w:szCs w:val="20"/>
              </w:rPr>
            </w:pPr>
            <w:r w:rsidRPr="009B561A">
              <w:rPr>
                <w:rFonts w:ascii="Calibri" w:hAnsi="Calibri" w:cs="Calibri"/>
                <w:b/>
                <w:bCs/>
                <w:sz w:val="20"/>
                <w:szCs w:val="20"/>
              </w:rPr>
              <w:t>Participants:</w:t>
            </w:r>
            <w:r w:rsidRPr="009B561A">
              <w:rPr>
                <w:rFonts w:ascii="Calibri" w:hAnsi="Calibri" w:cs="Calibri"/>
                <w:sz w:val="20"/>
                <w:szCs w:val="20"/>
              </w:rPr>
              <w:t xml:space="preserve"> European acute care hospitals.</w:t>
            </w:r>
          </w:p>
          <w:p w14:paraId="0682E6DB"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b/>
                <w:bCs/>
                <w:sz w:val="20"/>
                <w:szCs w:val="20"/>
              </w:rPr>
              <w:t xml:space="preserve">Recruitment: </w:t>
            </w:r>
            <w:r w:rsidRPr="009B561A">
              <w:rPr>
                <w:rFonts w:ascii="Calibri" w:hAnsi="Calibri" w:cs="Calibri"/>
                <w:sz w:val="20"/>
                <w:szCs w:val="20"/>
              </w:rPr>
              <w:t>HPSC</w:t>
            </w:r>
          </w:p>
        </w:tc>
        <w:tc>
          <w:tcPr>
            <w:tcW w:w="3119" w:type="dxa"/>
          </w:tcPr>
          <w:p w14:paraId="66DF1462"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Relevant to our review (Ireland)</w:t>
            </w:r>
          </w:p>
          <w:p w14:paraId="171DCF9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There were 4,105 patients who were prescribed 5,813 antimicrobials. The overall AMU prevalence was 39.7%, an increase from 34% reported in May 2012. </w:t>
            </w:r>
          </w:p>
          <w:p w14:paraId="6DB295F8" w14:textId="77777777" w:rsidR="00D82224" w:rsidRPr="009B561A" w:rsidRDefault="00D82224" w:rsidP="009B561A">
            <w:pPr>
              <w:spacing w:line="276" w:lineRule="auto"/>
              <w:rPr>
                <w:rFonts w:ascii="Calibri" w:hAnsi="Calibri" w:cs="Calibri"/>
                <w:sz w:val="20"/>
                <w:szCs w:val="20"/>
              </w:rPr>
            </w:pPr>
          </w:p>
        </w:tc>
        <w:tc>
          <w:tcPr>
            <w:tcW w:w="4677" w:type="dxa"/>
          </w:tcPr>
          <w:p w14:paraId="7730466C"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survey included additional questions on whole-time equivalent antimicrobial pharmacist and prescribing practices.</w:t>
            </w:r>
          </w:p>
          <w:p w14:paraId="120A9CD7" w14:textId="77777777" w:rsidR="00D82224" w:rsidRPr="009B561A" w:rsidRDefault="00D82224" w:rsidP="009B561A">
            <w:pPr>
              <w:spacing w:line="276" w:lineRule="auto"/>
              <w:rPr>
                <w:rFonts w:ascii="Calibri" w:hAnsi="Calibri" w:cs="Calibri"/>
                <w:sz w:val="20"/>
                <w:szCs w:val="20"/>
              </w:rPr>
            </w:pPr>
          </w:p>
          <w:p w14:paraId="3C2FA478"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b/>
                <w:bCs/>
                <w:sz w:val="20"/>
                <w:szCs w:val="20"/>
              </w:rPr>
              <w:t xml:space="preserve">At 39.7%, Ireland’s AMU prevalence was higher than that of neighbouring UK countries (Wales 34.2% - </w:t>
            </w:r>
            <w:r w:rsidRPr="009B561A">
              <w:rPr>
                <w:rFonts w:ascii="Calibri" w:hAnsi="Calibri" w:cs="Calibri"/>
                <w:b/>
                <w:bCs/>
                <w:sz w:val="20"/>
                <w:szCs w:val="20"/>
              </w:rPr>
              <w:lastRenderedPageBreak/>
              <w:t>England 37.4%) and participating EU countries overall (30.5%)</w:t>
            </w:r>
          </w:p>
        </w:tc>
      </w:tr>
      <w:tr w:rsidR="00D82224" w:rsidRPr="009B561A" w14:paraId="1ACEEA33" w14:textId="77777777" w:rsidTr="0087653A">
        <w:tc>
          <w:tcPr>
            <w:tcW w:w="421" w:type="dxa"/>
          </w:tcPr>
          <w:p w14:paraId="5295B70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6</w:t>
            </w:r>
          </w:p>
        </w:tc>
        <w:tc>
          <w:tcPr>
            <w:tcW w:w="2268" w:type="dxa"/>
          </w:tcPr>
          <w:p w14:paraId="549C7C63" w14:textId="38771939" w:rsidR="00D82224" w:rsidRPr="00443DC1" w:rsidRDefault="00D82224" w:rsidP="009B561A">
            <w:pPr>
              <w:spacing w:line="276" w:lineRule="auto"/>
              <w:rPr>
                <w:rFonts w:ascii="Calibri" w:hAnsi="Calibri" w:cs="Calibri"/>
                <w:b/>
                <w:bCs/>
                <w:sz w:val="20"/>
                <w:szCs w:val="20"/>
                <w:vertAlign w:val="superscript"/>
              </w:rPr>
            </w:pPr>
            <w:r w:rsidRPr="00443DC1">
              <w:rPr>
                <w:rFonts w:ascii="Calibri" w:hAnsi="Calibri" w:cs="Calibri"/>
                <w:b/>
                <w:bCs/>
                <w:sz w:val="20"/>
                <w:szCs w:val="20"/>
              </w:rPr>
              <w:t>Stevens et al (2019)</w:t>
            </w:r>
            <w:r w:rsidRPr="00443DC1">
              <w:rPr>
                <w:rFonts w:ascii="Calibri" w:hAnsi="Calibri" w:cs="Calibri"/>
                <w:b/>
                <w:bCs/>
                <w:sz w:val="20"/>
                <w:szCs w:val="20"/>
                <w:vertAlign w:val="superscript"/>
              </w:rPr>
              <w:t xml:space="preserve"> </w:t>
            </w:r>
            <w:r w:rsidR="005C0661" w:rsidRPr="00443DC1">
              <w:rPr>
                <w:rFonts w:ascii="Calibri" w:hAnsi="Calibri" w:cs="Calibri"/>
                <w:b/>
                <w:bCs/>
                <w:sz w:val="20"/>
                <w:szCs w:val="20"/>
                <w:vertAlign w:val="superscript"/>
              </w:rPr>
              <w:fldChar w:fldCharType="begin" w:fldLock="1"/>
            </w:r>
            <w:r w:rsidR="005C0661" w:rsidRPr="00443DC1">
              <w:rPr>
                <w:rFonts w:ascii="Calibri" w:hAnsi="Calibri" w:cs="Calibri"/>
                <w:b/>
                <w:bCs/>
                <w:sz w:val="20"/>
                <w:szCs w:val="20"/>
                <w:vertAlign w:val="superscript"/>
              </w:rPr>
              <w:instrText xml:space="preserve">ADDIN CSL_CITATION {"citationItems":[{"id":"ITEM-1","itemData":{"DOI":"10.1093/jacamr/dlz081","abstract":"Background: Medical students are frequently confused about indication for and choice of antibiotic. We developed an online learning resource that focused on antibiotic stewardship and important infections where medical students could practise their antibiotic decision-making skills safely. Methods: The resource was made available to third-year undergraduate medical students via their virtual learning environment. It covered the theory and fundamentals of antibiotic stewardship and five clinical cases covering important infections. We assessed the number of attempts taken to achieve the required level of understanding to pass each activity and surveyed a selection of students for their feedback. Results: Of 310 students, over 80% engaged with the theory-based components, with an average score exceeding 90% (range 93.4%-99.7%). Eighty-three percent (258/310) engaged with the first two cases (Clostridioides difficile infection and pyelonephritis) but only 61% (189/310) of students completed the fifth case on bacterial meningitis. Only 49.4% (153/310) of students completed all five cases, with 48% (73/153) of these achieving </w:instrText>
            </w:r>
            <w:r w:rsidR="005C0661" w:rsidRPr="00443DC1">
              <w:rPr>
                <w:rFonts w:ascii="Cambria Math" w:hAnsi="Cambria Math" w:cs="Cambria Math"/>
                <w:b/>
                <w:bCs/>
                <w:sz w:val="20"/>
                <w:szCs w:val="20"/>
                <w:vertAlign w:val="superscript"/>
              </w:rPr>
              <w:instrText>≽</w:instrText>
            </w:r>
            <w:r w:rsidR="005C0661" w:rsidRPr="00443DC1">
              <w:rPr>
                <w:rFonts w:ascii="Calibri" w:hAnsi="Calibri" w:cs="Calibri"/>
                <w:b/>
                <w:bCs/>
                <w:sz w:val="20"/>
                <w:szCs w:val="20"/>
                <w:vertAlign w:val="superscript"/>
              </w:rPr>
              <w:instrText>90% on their first attempt of the associated quizzes. Fifty-nine percent (23/39) agreed or strongly agreed that the quality of the learning resource was excellent. Seventy-two percent (28/39) agreed or strongly agreed that the objectives of the resource were relevant to their needs as undergraduate medical students. Only 33% (13/39) reported the resource would change their practice. Conclusions: Student feedback was positive but engagement with the cases needs improvement. Highlighting the utility of case-based technology-enhanced learning as a safe place to practise antibiotic decision-making skills among students may improve this.","author":[{"dropping-particle":"","family":"Stevens","given":"Niall T","non-dropping-particle":"","parse-names":false,"suffix":""},{"dropping-particle":"","family":"Bruen","given":"Catherine","non-dropping-particle":"","parse-names":false,"suffix":""},{"dropping-particle":"","family":"Boland","given":"Fiona","non-dropping-particle":"","parse-names":false,"suffix":""},{"dropping-particle":"","family":"Pawlikowska","given":"Teresa","non-dropping-particle":"","parse-names":false,"suffix":""},{"dropping-particle":"","family":"Fitzpatrick","given":"Fidelma","non-dropping-particle":"","parse-names":false,"suffix":""},{"dropping-particle":"","family":"Humphreys","given":"Hilary","non-dropping-particle":"","parse-names":false,"suffix":""}],"container-title":"JAC-Antimicrobial Resistance","id":"ITEM-1","issue":"3","issued":{"date-parts":[["2019"]]},"page":"1-7","title":"Is online case-based learning effective in helping undergraduate medical students choose the appropriate antibiotics to treat important infections?","type":"article-journal","volume":"1"},"uris":["http://www.mendeley.com/documents/?uuid=63069171-30ab-4a11-8a13-1d15865351ef"]}],"mendeley":{"formattedCitation":"(7)","plainTextFormattedCitation":"(7)","previouslyFormattedCitation":"(7)"},"properties":{"noteIndex":0},"schema":"https://github.com/citation-style-language/schema/raw/master/csl-citation.json"}</w:instrText>
            </w:r>
            <w:r w:rsidR="005C0661" w:rsidRPr="00443DC1">
              <w:rPr>
                <w:rFonts w:ascii="Calibri" w:hAnsi="Calibri" w:cs="Calibri"/>
                <w:b/>
                <w:bCs/>
                <w:sz w:val="20"/>
                <w:szCs w:val="20"/>
                <w:vertAlign w:val="superscript"/>
              </w:rPr>
              <w:fldChar w:fldCharType="separate"/>
            </w:r>
            <w:r w:rsidR="00C46A65" w:rsidRPr="00443DC1">
              <w:rPr>
                <w:rFonts w:ascii="Calibri" w:hAnsi="Calibri" w:cs="Calibri"/>
                <w:bCs/>
                <w:noProof/>
                <w:sz w:val="20"/>
                <w:szCs w:val="20"/>
              </w:rPr>
              <w:t>[</w:t>
            </w:r>
            <w:r w:rsidR="005C0661" w:rsidRPr="00443DC1">
              <w:rPr>
                <w:rFonts w:ascii="Calibri" w:hAnsi="Calibri" w:cs="Calibri"/>
                <w:bCs/>
                <w:noProof/>
                <w:sz w:val="20"/>
                <w:szCs w:val="20"/>
              </w:rPr>
              <w:t>7</w:t>
            </w:r>
            <w:r w:rsidR="00C46A65" w:rsidRPr="00443DC1">
              <w:rPr>
                <w:rFonts w:ascii="Calibri" w:hAnsi="Calibri" w:cs="Calibri"/>
                <w:bCs/>
                <w:noProof/>
                <w:sz w:val="20"/>
                <w:szCs w:val="20"/>
              </w:rPr>
              <w:t>]</w:t>
            </w:r>
            <w:r w:rsidR="005C0661" w:rsidRPr="00443DC1">
              <w:rPr>
                <w:rFonts w:ascii="Calibri" w:hAnsi="Calibri" w:cs="Calibri"/>
                <w:b/>
                <w:bCs/>
                <w:sz w:val="20"/>
                <w:szCs w:val="20"/>
                <w:vertAlign w:val="superscript"/>
              </w:rPr>
              <w:fldChar w:fldCharType="end"/>
            </w:r>
            <w:r w:rsidR="00443DC1" w:rsidRPr="00443DC1">
              <w:rPr>
                <w:rFonts w:ascii="Calibri" w:hAnsi="Calibri" w:cs="Calibri"/>
                <w:b/>
                <w:bCs/>
                <w:sz w:val="20"/>
                <w:szCs w:val="20"/>
                <w:vertAlign w:val="superscript"/>
              </w:rPr>
              <w:t xml:space="preserve"> </w:t>
            </w:r>
          </w:p>
          <w:p w14:paraId="125CB5D0" w14:textId="77777777" w:rsidR="00D82224" w:rsidRPr="00443DC1" w:rsidRDefault="00D82224" w:rsidP="009B561A">
            <w:pPr>
              <w:spacing w:line="276" w:lineRule="auto"/>
              <w:rPr>
                <w:rFonts w:ascii="Calibri" w:hAnsi="Calibri" w:cs="Calibri"/>
                <w:sz w:val="20"/>
                <w:szCs w:val="20"/>
              </w:rPr>
            </w:pPr>
            <w:r w:rsidRPr="00443DC1">
              <w:rPr>
                <w:rFonts w:ascii="Calibri" w:hAnsi="Calibri" w:cs="Calibri"/>
                <w:sz w:val="20"/>
                <w:szCs w:val="20"/>
              </w:rPr>
              <w:t>Is online case-based learning effective in helping undergraduate medical students choose the appropriate antibiotics to treat important infections?</w:t>
            </w:r>
          </w:p>
          <w:p w14:paraId="09B7A9DC" w14:textId="77777777" w:rsidR="00D82224" w:rsidRPr="00443DC1" w:rsidRDefault="00D82224" w:rsidP="009B561A">
            <w:pPr>
              <w:spacing w:line="276" w:lineRule="auto"/>
              <w:rPr>
                <w:rFonts w:ascii="Calibri" w:hAnsi="Calibri" w:cs="Calibri"/>
                <w:b/>
                <w:bCs/>
                <w:color w:val="FF0000"/>
                <w:sz w:val="20"/>
                <w:szCs w:val="20"/>
              </w:rPr>
            </w:pPr>
          </w:p>
        </w:tc>
        <w:tc>
          <w:tcPr>
            <w:tcW w:w="3685" w:type="dxa"/>
          </w:tcPr>
          <w:p w14:paraId="65FC005C" w14:textId="77777777" w:rsidR="00D82224" w:rsidRPr="00443DC1" w:rsidRDefault="00D82224" w:rsidP="009B561A">
            <w:pPr>
              <w:autoSpaceDE w:val="0"/>
              <w:autoSpaceDN w:val="0"/>
              <w:adjustRightInd w:val="0"/>
              <w:spacing w:line="276" w:lineRule="auto"/>
              <w:rPr>
                <w:rFonts w:ascii="Calibri" w:hAnsi="Calibri" w:cs="Calibri"/>
                <w:color w:val="000000" w:themeColor="text1"/>
                <w:sz w:val="20"/>
                <w:szCs w:val="20"/>
              </w:rPr>
            </w:pPr>
            <w:r w:rsidRPr="00443DC1">
              <w:rPr>
                <w:rFonts w:ascii="Calibri" w:hAnsi="Calibri" w:cs="Calibri"/>
                <w:b/>
                <w:bCs/>
                <w:color w:val="000000" w:themeColor="text1"/>
                <w:sz w:val="20"/>
                <w:szCs w:val="20"/>
              </w:rPr>
              <w:t>Aim:</w:t>
            </w:r>
            <w:r w:rsidRPr="00443DC1">
              <w:rPr>
                <w:rFonts w:ascii="Calibri" w:hAnsi="Calibri" w:cs="Calibri"/>
                <w:color w:val="000000" w:themeColor="text1"/>
                <w:sz w:val="20"/>
                <w:szCs w:val="20"/>
              </w:rPr>
              <w:t xml:space="preserve"> To develop a case-based technology-enhanced learning (TEL) resource that focused mainly on the management of clinically important infections with antibiotics.</w:t>
            </w:r>
          </w:p>
          <w:p w14:paraId="0FA6C668" w14:textId="77777777" w:rsidR="00D82224" w:rsidRPr="00443DC1" w:rsidRDefault="00D82224" w:rsidP="009B561A">
            <w:pPr>
              <w:spacing w:line="276" w:lineRule="auto"/>
              <w:rPr>
                <w:rFonts w:ascii="Calibri" w:hAnsi="Calibri" w:cs="Calibri"/>
                <w:color w:val="000000" w:themeColor="text1"/>
                <w:sz w:val="20"/>
                <w:szCs w:val="20"/>
              </w:rPr>
            </w:pPr>
            <w:r w:rsidRPr="00443DC1">
              <w:rPr>
                <w:rFonts w:ascii="Calibri" w:hAnsi="Calibri" w:cs="Calibri"/>
                <w:b/>
                <w:bCs/>
                <w:color w:val="000000" w:themeColor="text1"/>
                <w:sz w:val="20"/>
                <w:szCs w:val="20"/>
              </w:rPr>
              <w:t>Method:</w:t>
            </w:r>
            <w:r w:rsidRPr="00443DC1">
              <w:rPr>
                <w:rFonts w:ascii="Calibri" w:hAnsi="Calibri" w:cs="Calibri"/>
                <w:color w:val="000000" w:themeColor="text1"/>
                <w:sz w:val="20"/>
                <w:szCs w:val="20"/>
              </w:rPr>
              <w:t xml:space="preserve"> Online survey</w:t>
            </w:r>
          </w:p>
          <w:p w14:paraId="0C16365D" w14:textId="77777777" w:rsidR="00D82224" w:rsidRPr="00443DC1" w:rsidRDefault="00D82224" w:rsidP="009B561A">
            <w:pPr>
              <w:autoSpaceDE w:val="0"/>
              <w:autoSpaceDN w:val="0"/>
              <w:adjustRightInd w:val="0"/>
              <w:spacing w:line="276" w:lineRule="auto"/>
              <w:rPr>
                <w:rFonts w:ascii="Calibri" w:hAnsi="Calibri" w:cs="Calibri"/>
                <w:color w:val="000000" w:themeColor="text1"/>
                <w:sz w:val="20"/>
                <w:szCs w:val="20"/>
              </w:rPr>
            </w:pPr>
            <w:r w:rsidRPr="00443DC1">
              <w:rPr>
                <w:rFonts w:ascii="Calibri" w:hAnsi="Calibri" w:cs="Calibri"/>
                <w:b/>
                <w:bCs/>
                <w:color w:val="000000" w:themeColor="text1"/>
                <w:sz w:val="20"/>
                <w:szCs w:val="20"/>
              </w:rPr>
              <w:t>Participants:</w:t>
            </w:r>
            <w:r w:rsidRPr="00443DC1">
              <w:rPr>
                <w:rFonts w:ascii="Calibri" w:hAnsi="Calibri" w:cs="Calibri"/>
                <w:color w:val="000000" w:themeColor="text1"/>
                <w:sz w:val="20"/>
                <w:szCs w:val="20"/>
              </w:rPr>
              <w:t xml:space="preserve">310 Year 3 undergraduate medical students </w:t>
            </w:r>
          </w:p>
          <w:p w14:paraId="4B303233" w14:textId="77777777" w:rsidR="00D82224" w:rsidRPr="00443DC1" w:rsidRDefault="00D82224" w:rsidP="009B561A">
            <w:pPr>
              <w:spacing w:line="276" w:lineRule="auto"/>
              <w:rPr>
                <w:rFonts w:ascii="Calibri" w:hAnsi="Calibri" w:cs="Calibri"/>
                <w:sz w:val="20"/>
                <w:szCs w:val="20"/>
              </w:rPr>
            </w:pPr>
            <w:r w:rsidRPr="00443DC1">
              <w:rPr>
                <w:rFonts w:ascii="Calibri" w:hAnsi="Calibri" w:cs="Calibri"/>
                <w:b/>
                <w:bCs/>
                <w:sz w:val="20"/>
                <w:szCs w:val="20"/>
              </w:rPr>
              <w:t xml:space="preserve">Recruitment: </w:t>
            </w:r>
            <w:r w:rsidRPr="00443DC1">
              <w:rPr>
                <w:rFonts w:ascii="Calibri" w:hAnsi="Calibri" w:cs="Calibri"/>
                <w:sz w:val="20"/>
                <w:szCs w:val="20"/>
              </w:rPr>
              <w:t>Students enrolled on a module</w:t>
            </w:r>
          </w:p>
          <w:p w14:paraId="1302B302" w14:textId="77777777" w:rsidR="00D82224" w:rsidRPr="00443DC1" w:rsidRDefault="00D82224" w:rsidP="009B561A">
            <w:pPr>
              <w:spacing w:line="276" w:lineRule="auto"/>
              <w:rPr>
                <w:rFonts w:ascii="Calibri" w:hAnsi="Calibri" w:cs="Calibri"/>
                <w:b/>
                <w:bCs/>
                <w:sz w:val="20"/>
                <w:szCs w:val="20"/>
              </w:rPr>
            </w:pPr>
          </w:p>
          <w:p w14:paraId="699A1D74" w14:textId="77777777" w:rsidR="00D82224" w:rsidRPr="00443DC1" w:rsidRDefault="00D82224" w:rsidP="009B561A">
            <w:pPr>
              <w:autoSpaceDE w:val="0"/>
              <w:autoSpaceDN w:val="0"/>
              <w:adjustRightInd w:val="0"/>
              <w:spacing w:line="276" w:lineRule="auto"/>
              <w:rPr>
                <w:rFonts w:ascii="Calibri" w:hAnsi="Calibri" w:cs="Calibri"/>
                <w:color w:val="FF0000"/>
                <w:sz w:val="20"/>
                <w:szCs w:val="20"/>
              </w:rPr>
            </w:pPr>
          </w:p>
          <w:p w14:paraId="5868E127" w14:textId="77777777" w:rsidR="00D82224" w:rsidRPr="00443DC1" w:rsidRDefault="00D82224" w:rsidP="009B561A">
            <w:pPr>
              <w:spacing w:line="276" w:lineRule="auto"/>
              <w:rPr>
                <w:rFonts w:ascii="Calibri" w:hAnsi="Calibri" w:cs="Calibri"/>
                <w:b/>
                <w:bCs/>
                <w:sz w:val="20"/>
                <w:szCs w:val="20"/>
              </w:rPr>
            </w:pPr>
          </w:p>
        </w:tc>
        <w:tc>
          <w:tcPr>
            <w:tcW w:w="3119" w:type="dxa"/>
          </w:tcPr>
          <w:p w14:paraId="4A92723B"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Over 80% engaged with the theory-based components, with an average score exceeding 90% (range 93.4%–99.7%). Seventy-two percent (28/39) agreed or strongly agreed that the objectives of the resource were relevant to their needs as undergraduate medical students. Only 33% (13/39) reported the resource would change their practice</w:t>
            </w:r>
          </w:p>
        </w:tc>
        <w:tc>
          <w:tcPr>
            <w:tcW w:w="4677" w:type="dxa"/>
          </w:tcPr>
          <w:p w14:paraId="6F350BD6"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Focussed only on medical students’ education. </w:t>
            </w:r>
          </w:p>
          <w:p w14:paraId="6113F8B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Highlights the need for continued training of future prescribers in the appropriate use of antimicrobials.</w:t>
            </w:r>
          </w:p>
          <w:p w14:paraId="563A6F5B"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Only paper in our review to focus on undergraduate education in relation to antibiotic prescribing   </w:t>
            </w:r>
          </w:p>
        </w:tc>
      </w:tr>
      <w:bookmarkEnd w:id="0"/>
    </w:tbl>
    <w:p w14:paraId="0EFB6ED6" w14:textId="77777777" w:rsidR="00D82224" w:rsidRPr="009B561A" w:rsidRDefault="00D82224" w:rsidP="009B561A">
      <w:pPr>
        <w:spacing w:line="276" w:lineRule="auto"/>
        <w:rPr>
          <w:rFonts w:ascii="Calibri" w:hAnsi="Calibri" w:cs="Calibri"/>
          <w:b/>
          <w:bCs/>
          <w:color w:val="FF0000"/>
          <w:sz w:val="20"/>
          <w:szCs w:val="20"/>
          <w:highlight w:val="yellow"/>
        </w:rPr>
      </w:pPr>
    </w:p>
    <w:p w14:paraId="5ED7C615" w14:textId="77777777" w:rsidR="00D82224" w:rsidRPr="009B561A" w:rsidRDefault="00D82224" w:rsidP="009B561A">
      <w:pPr>
        <w:spacing w:line="276" w:lineRule="auto"/>
        <w:rPr>
          <w:rFonts w:ascii="Calibri" w:hAnsi="Calibri" w:cs="Calibri"/>
          <w:b/>
          <w:bCs/>
          <w:sz w:val="20"/>
          <w:szCs w:val="20"/>
        </w:rPr>
      </w:pPr>
    </w:p>
    <w:p w14:paraId="16D6F244" w14:textId="77777777" w:rsidR="00D82224" w:rsidRPr="009B561A" w:rsidRDefault="00D82224" w:rsidP="009B561A">
      <w:pPr>
        <w:spacing w:line="276" w:lineRule="auto"/>
        <w:rPr>
          <w:rFonts w:ascii="Calibri" w:hAnsi="Calibri" w:cs="Calibri"/>
          <w:b/>
          <w:bCs/>
          <w:sz w:val="20"/>
          <w:szCs w:val="20"/>
        </w:rPr>
      </w:pPr>
    </w:p>
    <w:p w14:paraId="4F18DDFD" w14:textId="77777777" w:rsidR="00D82224" w:rsidRPr="009B561A" w:rsidRDefault="00D82224" w:rsidP="009B561A">
      <w:pPr>
        <w:spacing w:line="276" w:lineRule="auto"/>
        <w:rPr>
          <w:rFonts w:ascii="Calibri" w:hAnsi="Calibri" w:cs="Calibri"/>
          <w:b/>
          <w:bCs/>
          <w:sz w:val="20"/>
          <w:szCs w:val="20"/>
        </w:rPr>
      </w:pPr>
    </w:p>
    <w:p w14:paraId="08091119" w14:textId="77777777" w:rsidR="00D82224" w:rsidRPr="009B561A" w:rsidRDefault="00D82224" w:rsidP="009B561A">
      <w:pPr>
        <w:spacing w:line="276" w:lineRule="auto"/>
        <w:rPr>
          <w:rFonts w:ascii="Calibri" w:hAnsi="Calibri" w:cs="Calibri"/>
          <w:b/>
          <w:bCs/>
          <w:sz w:val="20"/>
          <w:szCs w:val="20"/>
        </w:rPr>
      </w:pPr>
    </w:p>
    <w:p w14:paraId="5EE1ABEB" w14:textId="77777777" w:rsidR="00D82224" w:rsidRPr="009B561A" w:rsidRDefault="00D82224" w:rsidP="009B561A">
      <w:pPr>
        <w:spacing w:line="276" w:lineRule="auto"/>
        <w:rPr>
          <w:rFonts w:ascii="Calibri" w:hAnsi="Calibri" w:cs="Calibri"/>
          <w:b/>
          <w:bCs/>
          <w:sz w:val="20"/>
          <w:szCs w:val="20"/>
        </w:rPr>
      </w:pPr>
    </w:p>
    <w:p w14:paraId="128D4D49" w14:textId="77777777" w:rsidR="00D82224" w:rsidRPr="009B561A" w:rsidRDefault="00D82224" w:rsidP="009B561A">
      <w:pPr>
        <w:spacing w:line="276" w:lineRule="auto"/>
        <w:rPr>
          <w:rFonts w:ascii="Calibri" w:hAnsi="Calibri" w:cs="Calibri"/>
          <w:b/>
          <w:bCs/>
          <w:sz w:val="20"/>
          <w:szCs w:val="20"/>
        </w:rPr>
      </w:pPr>
    </w:p>
    <w:p w14:paraId="51DAA71C" w14:textId="77777777" w:rsidR="00D82224" w:rsidRPr="009B561A" w:rsidRDefault="00D82224" w:rsidP="009B561A">
      <w:pPr>
        <w:spacing w:line="276" w:lineRule="auto"/>
        <w:rPr>
          <w:rFonts w:ascii="Calibri" w:hAnsi="Calibri" w:cs="Calibri"/>
          <w:b/>
          <w:bCs/>
          <w:sz w:val="20"/>
          <w:szCs w:val="20"/>
        </w:rPr>
      </w:pPr>
    </w:p>
    <w:p w14:paraId="5249D973" w14:textId="3942A88A" w:rsidR="00D82224" w:rsidRPr="00D62F06" w:rsidRDefault="00D82224" w:rsidP="009B561A">
      <w:pPr>
        <w:spacing w:line="276" w:lineRule="auto"/>
        <w:rPr>
          <w:rFonts w:ascii="Calibri" w:hAnsi="Calibri" w:cs="Calibri"/>
          <w:b/>
          <w:bCs/>
          <w:color w:val="FF0000"/>
          <w:sz w:val="24"/>
          <w:szCs w:val="24"/>
        </w:rPr>
      </w:pPr>
      <w:r w:rsidRPr="0094788B">
        <w:rPr>
          <w:rFonts w:ascii="Calibri" w:hAnsi="Calibri" w:cs="Calibri"/>
          <w:b/>
          <w:bCs/>
          <w:sz w:val="24"/>
          <w:szCs w:val="24"/>
        </w:rPr>
        <w:lastRenderedPageBreak/>
        <w:t xml:space="preserve">Supplemental File </w:t>
      </w:r>
      <w:r w:rsidR="00835F1B">
        <w:rPr>
          <w:rFonts w:ascii="Calibri" w:hAnsi="Calibri" w:cs="Calibri"/>
          <w:b/>
          <w:bCs/>
          <w:sz w:val="24"/>
          <w:szCs w:val="24"/>
        </w:rPr>
        <w:t>5</w:t>
      </w:r>
      <w:r w:rsidRPr="0094788B">
        <w:rPr>
          <w:rFonts w:ascii="Calibri" w:hAnsi="Calibri" w:cs="Calibri"/>
          <w:b/>
          <w:bCs/>
          <w:sz w:val="24"/>
          <w:szCs w:val="24"/>
        </w:rPr>
        <w:t xml:space="preserve">:Table </w:t>
      </w:r>
      <w:r w:rsidR="007F6257" w:rsidRPr="0094788B">
        <w:rPr>
          <w:rFonts w:ascii="Calibri" w:hAnsi="Calibri" w:cs="Calibri"/>
          <w:b/>
          <w:bCs/>
          <w:sz w:val="24"/>
          <w:szCs w:val="24"/>
        </w:rPr>
        <w:t>8</w:t>
      </w:r>
      <w:r w:rsidRPr="0094788B">
        <w:rPr>
          <w:rFonts w:ascii="Calibri" w:hAnsi="Calibri" w:cs="Calibri"/>
          <w:b/>
          <w:bCs/>
          <w:sz w:val="24"/>
          <w:szCs w:val="24"/>
        </w:rPr>
        <w:t xml:space="preserve"> ii SRC A: Grey Literature - Structure and Organisation of Antimicrobial </w:t>
      </w:r>
      <w:r w:rsidRPr="0094788B">
        <w:rPr>
          <w:rFonts w:ascii="Calibri" w:hAnsi="Calibri" w:cs="Calibri"/>
          <w:b/>
          <w:bCs/>
          <w:color w:val="000000" w:themeColor="text1"/>
          <w:sz w:val="24"/>
          <w:szCs w:val="24"/>
        </w:rPr>
        <w:t>Stewardship</w:t>
      </w:r>
      <w:r w:rsidRPr="0094788B">
        <w:rPr>
          <w:rFonts w:ascii="Calibri" w:hAnsi="Calibri" w:cs="Calibri"/>
          <w:b/>
          <w:bCs/>
          <w:color w:val="000000" w:themeColor="text1"/>
          <w:sz w:val="24"/>
          <w:szCs w:val="24"/>
          <w:vertAlign w:val="superscript"/>
        </w:rPr>
        <w:t xml:space="preserve"> </w:t>
      </w:r>
      <w:r w:rsidRPr="0094788B">
        <w:rPr>
          <w:rFonts w:ascii="Calibri" w:hAnsi="Calibri" w:cs="Calibri"/>
          <w:b/>
          <w:bCs/>
          <w:color w:val="000000" w:themeColor="text1"/>
          <w:sz w:val="24"/>
          <w:szCs w:val="24"/>
        </w:rPr>
        <w:t>(Reports n=10)</w:t>
      </w:r>
      <w:r w:rsidR="00AF54CE" w:rsidRPr="0094788B">
        <w:rPr>
          <w:rFonts w:ascii="Calibri" w:hAnsi="Calibri" w:cs="Calibri"/>
          <w:b/>
          <w:bCs/>
          <w:color w:val="000000" w:themeColor="text1"/>
          <w:sz w:val="24"/>
          <w:szCs w:val="24"/>
          <w:vertAlign w:val="superscript"/>
        </w:rPr>
        <w:t xml:space="preserve"> </w:t>
      </w:r>
      <w:r w:rsidR="00B26031" w:rsidRPr="00443DC1">
        <w:rPr>
          <w:rFonts w:ascii="Calibri" w:hAnsi="Calibri" w:cs="Calibri"/>
          <w:b/>
          <w:bCs/>
          <w:sz w:val="24"/>
          <w:szCs w:val="24"/>
        </w:rPr>
        <w:fldChar w:fldCharType="begin" w:fldLock="1"/>
      </w:r>
      <w:r w:rsidR="00B26031" w:rsidRPr="00443DC1">
        <w:rPr>
          <w:rFonts w:ascii="Calibri" w:hAnsi="Calibri" w:cs="Calibri"/>
          <w:b/>
          <w:bCs/>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443DC1">
        <w:rPr>
          <w:rFonts w:ascii="Calibri" w:hAnsi="Calibri" w:cs="Calibri"/>
          <w:b/>
          <w:bCs/>
          <w:sz w:val="24"/>
          <w:szCs w:val="24"/>
        </w:rPr>
        <w:fldChar w:fldCharType="separate"/>
      </w:r>
      <w:r w:rsidR="001B0FF9" w:rsidRPr="00443DC1">
        <w:rPr>
          <w:rFonts w:ascii="Calibri" w:hAnsi="Calibri" w:cs="Calibri"/>
          <w:bCs/>
          <w:noProof/>
          <w:sz w:val="24"/>
          <w:szCs w:val="24"/>
        </w:rPr>
        <w:t>[</w:t>
      </w:r>
      <w:r w:rsidR="00B26031" w:rsidRPr="00443DC1">
        <w:rPr>
          <w:rFonts w:ascii="Calibri" w:hAnsi="Calibri" w:cs="Calibri"/>
          <w:bCs/>
          <w:noProof/>
          <w:sz w:val="24"/>
          <w:szCs w:val="24"/>
        </w:rPr>
        <w:t>1</w:t>
      </w:r>
      <w:r w:rsidR="001B0FF9" w:rsidRPr="00443DC1">
        <w:rPr>
          <w:rFonts w:ascii="Calibri" w:hAnsi="Calibri" w:cs="Calibri"/>
          <w:bCs/>
          <w:noProof/>
          <w:sz w:val="24"/>
          <w:szCs w:val="24"/>
        </w:rPr>
        <w:t>]</w:t>
      </w:r>
      <w:r w:rsidR="00B26031" w:rsidRPr="00443DC1">
        <w:rPr>
          <w:rFonts w:ascii="Calibri" w:hAnsi="Calibri" w:cs="Calibri"/>
          <w:b/>
          <w:bCs/>
          <w:sz w:val="24"/>
          <w:szCs w:val="24"/>
        </w:rPr>
        <w:fldChar w:fldCharType="end"/>
      </w:r>
      <w:r w:rsidR="001B0FF9" w:rsidRPr="00D62F06">
        <w:rPr>
          <w:rFonts w:ascii="Calibri" w:hAnsi="Calibri" w:cs="Calibri"/>
          <w:b/>
          <w:bCs/>
          <w:color w:val="FF0000"/>
          <w:sz w:val="24"/>
          <w:szCs w:val="24"/>
        </w:rPr>
        <w:t xml:space="preserve"> </w:t>
      </w:r>
    </w:p>
    <w:tbl>
      <w:tblPr>
        <w:tblStyle w:val="TableGrid4"/>
        <w:tblW w:w="14170" w:type="dxa"/>
        <w:tblLook w:val="04A0" w:firstRow="1" w:lastRow="0" w:firstColumn="1" w:lastColumn="0" w:noHBand="0" w:noVBand="1"/>
      </w:tblPr>
      <w:tblGrid>
        <w:gridCol w:w="531"/>
        <w:gridCol w:w="3574"/>
        <w:gridCol w:w="3828"/>
        <w:gridCol w:w="6237"/>
      </w:tblGrid>
      <w:tr w:rsidR="00D82224" w:rsidRPr="009B561A" w14:paraId="247E1046" w14:textId="77777777" w:rsidTr="0087653A">
        <w:trPr>
          <w:tblHeader/>
        </w:trPr>
        <w:tc>
          <w:tcPr>
            <w:tcW w:w="531" w:type="dxa"/>
          </w:tcPr>
          <w:p w14:paraId="7627E212" w14:textId="77777777" w:rsidR="00D82224" w:rsidRPr="009B561A" w:rsidRDefault="00D82224" w:rsidP="009B561A">
            <w:pPr>
              <w:spacing w:line="276" w:lineRule="auto"/>
              <w:rPr>
                <w:rFonts w:ascii="Calibri" w:hAnsi="Calibri" w:cs="Calibri"/>
                <w:color w:val="FF0000"/>
                <w:sz w:val="20"/>
                <w:szCs w:val="20"/>
              </w:rPr>
            </w:pPr>
          </w:p>
        </w:tc>
        <w:tc>
          <w:tcPr>
            <w:tcW w:w="3574" w:type="dxa"/>
          </w:tcPr>
          <w:p w14:paraId="7318CFD0" w14:textId="77777777" w:rsidR="00D82224" w:rsidRPr="009B561A" w:rsidRDefault="00D82224" w:rsidP="009B561A">
            <w:pPr>
              <w:spacing w:line="276" w:lineRule="auto"/>
              <w:jc w:val="center"/>
              <w:rPr>
                <w:rFonts w:ascii="Calibri" w:hAnsi="Calibri" w:cs="Calibri"/>
                <w:b/>
                <w:bCs/>
                <w:color w:val="000000" w:themeColor="text1"/>
                <w:sz w:val="20"/>
                <w:szCs w:val="20"/>
              </w:rPr>
            </w:pPr>
            <w:r w:rsidRPr="009B561A">
              <w:rPr>
                <w:rFonts w:ascii="Calibri" w:hAnsi="Calibri" w:cs="Calibri"/>
                <w:b/>
                <w:bCs/>
                <w:color w:val="000000" w:themeColor="text1"/>
                <w:sz w:val="20"/>
                <w:szCs w:val="20"/>
              </w:rPr>
              <w:t>Report/documentation</w:t>
            </w:r>
          </w:p>
        </w:tc>
        <w:tc>
          <w:tcPr>
            <w:tcW w:w="3828" w:type="dxa"/>
          </w:tcPr>
          <w:p w14:paraId="19E94165" w14:textId="77777777" w:rsidR="00D82224" w:rsidRPr="009B561A" w:rsidRDefault="00D82224" w:rsidP="009B561A">
            <w:pPr>
              <w:spacing w:line="276" w:lineRule="auto"/>
              <w:jc w:val="center"/>
              <w:rPr>
                <w:rFonts w:ascii="Calibri" w:hAnsi="Calibri" w:cs="Calibri"/>
                <w:b/>
                <w:bCs/>
                <w:color w:val="000000" w:themeColor="text1"/>
                <w:sz w:val="20"/>
                <w:szCs w:val="20"/>
                <w:shd w:val="clear" w:color="auto" w:fill="FFFFFF"/>
              </w:rPr>
            </w:pPr>
            <w:r w:rsidRPr="009B561A">
              <w:rPr>
                <w:rFonts w:ascii="Calibri" w:hAnsi="Calibri" w:cs="Calibri"/>
                <w:b/>
                <w:bCs/>
                <w:color w:val="000000" w:themeColor="text1"/>
                <w:sz w:val="20"/>
                <w:szCs w:val="20"/>
                <w:shd w:val="clear" w:color="auto" w:fill="FFFFFF"/>
              </w:rPr>
              <w:t>Purpose</w:t>
            </w:r>
          </w:p>
          <w:p w14:paraId="247E89A6" w14:textId="77777777" w:rsidR="00D82224" w:rsidRPr="009B561A" w:rsidRDefault="00D82224" w:rsidP="009B561A">
            <w:pPr>
              <w:spacing w:line="276" w:lineRule="auto"/>
              <w:jc w:val="center"/>
              <w:rPr>
                <w:rFonts w:ascii="Calibri" w:hAnsi="Calibri" w:cs="Calibri"/>
                <w:b/>
                <w:bCs/>
                <w:color w:val="000000" w:themeColor="text1"/>
                <w:sz w:val="20"/>
                <w:szCs w:val="20"/>
                <w:shd w:val="clear" w:color="auto" w:fill="FFFFFF"/>
              </w:rPr>
            </w:pPr>
          </w:p>
        </w:tc>
        <w:tc>
          <w:tcPr>
            <w:tcW w:w="6237" w:type="dxa"/>
          </w:tcPr>
          <w:p w14:paraId="2573637F" w14:textId="77777777" w:rsidR="00D82224" w:rsidRPr="009B561A" w:rsidRDefault="00D82224" w:rsidP="009B561A">
            <w:pPr>
              <w:spacing w:line="276" w:lineRule="auto"/>
              <w:jc w:val="center"/>
              <w:rPr>
                <w:rFonts w:ascii="Calibri" w:hAnsi="Calibri" w:cs="Calibri"/>
                <w:b/>
                <w:bCs/>
                <w:sz w:val="20"/>
                <w:szCs w:val="20"/>
                <w:shd w:val="clear" w:color="auto" w:fill="FFFFFF"/>
              </w:rPr>
            </w:pPr>
            <w:r w:rsidRPr="009B561A">
              <w:rPr>
                <w:rFonts w:ascii="Calibri" w:hAnsi="Calibri" w:cs="Calibri"/>
                <w:b/>
                <w:bCs/>
                <w:sz w:val="20"/>
                <w:szCs w:val="20"/>
                <w:shd w:val="clear" w:color="auto" w:fill="FFFFFF"/>
              </w:rPr>
              <w:t>Findings/Evidence</w:t>
            </w:r>
          </w:p>
          <w:p w14:paraId="56BCCFD5" w14:textId="77777777" w:rsidR="00D82224" w:rsidRPr="009B561A" w:rsidRDefault="00D82224" w:rsidP="009B561A">
            <w:pPr>
              <w:spacing w:line="276" w:lineRule="auto"/>
              <w:jc w:val="center"/>
              <w:rPr>
                <w:rFonts w:ascii="Calibri" w:hAnsi="Calibri" w:cs="Calibri"/>
                <w:color w:val="FF0000"/>
                <w:sz w:val="20"/>
                <w:szCs w:val="20"/>
                <w:shd w:val="clear" w:color="auto" w:fill="FFFFFF"/>
              </w:rPr>
            </w:pPr>
          </w:p>
        </w:tc>
      </w:tr>
      <w:tr w:rsidR="00D82224" w:rsidRPr="009B561A" w14:paraId="4AA744D2" w14:textId="77777777" w:rsidTr="0087653A">
        <w:tc>
          <w:tcPr>
            <w:tcW w:w="531" w:type="dxa"/>
          </w:tcPr>
          <w:p w14:paraId="13430481"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w:t>
            </w:r>
          </w:p>
        </w:tc>
        <w:tc>
          <w:tcPr>
            <w:tcW w:w="3574" w:type="dxa"/>
          </w:tcPr>
          <w:p w14:paraId="0D108FC0" w14:textId="3C6C7642" w:rsidR="00D82224" w:rsidRPr="002D403F" w:rsidRDefault="00D82224" w:rsidP="009B561A">
            <w:pPr>
              <w:spacing w:line="276" w:lineRule="auto"/>
              <w:rPr>
                <w:rFonts w:ascii="Calibri" w:hAnsi="Calibri" w:cs="Calibri"/>
                <w:b/>
                <w:bCs/>
                <w:noProof/>
                <w:color w:val="000000" w:themeColor="text1"/>
                <w:sz w:val="20"/>
                <w:szCs w:val="20"/>
              </w:rPr>
            </w:pPr>
            <w:r w:rsidRPr="002D403F">
              <w:rPr>
                <w:rFonts w:ascii="Calibri" w:hAnsi="Calibri" w:cs="Calibri"/>
                <w:b/>
                <w:bCs/>
                <w:noProof/>
                <w:color w:val="000000" w:themeColor="text1"/>
                <w:sz w:val="20"/>
                <w:szCs w:val="20"/>
              </w:rPr>
              <w:t xml:space="preserve"> HIQA. iNAP 2 SUBMISSION. Vol. 3. 2021</w:t>
            </w:r>
            <w:r w:rsidR="005C0661" w:rsidRPr="002D403F">
              <w:rPr>
                <w:rFonts w:ascii="Calibri" w:hAnsi="Calibri" w:cs="Calibri"/>
                <w:b/>
                <w:bCs/>
                <w:noProof/>
                <w:color w:val="000000" w:themeColor="text1"/>
                <w:sz w:val="20"/>
                <w:szCs w:val="20"/>
              </w:rPr>
              <w:fldChar w:fldCharType="begin" w:fldLock="1"/>
            </w:r>
            <w:r w:rsidR="005C0661" w:rsidRPr="002D403F">
              <w:rPr>
                <w:rFonts w:ascii="Calibri" w:hAnsi="Calibri" w:cs="Calibri"/>
                <w:b/>
                <w:bCs/>
                <w:noProof/>
                <w:color w:val="000000" w:themeColor="text1"/>
                <w:sz w:val="20"/>
                <w:szCs w:val="20"/>
              </w:rPr>
              <w:instrText>ADDIN CSL_CITATION {"citationItems":[{"id":"ITEM-1","itemData":{"author":[{"dropping-particle":"","family":"Health Information and Quality(HIQA)","given":"","non-dropping-particle":"","parse-names":false,"suffix":""}],"id":"ITEM-1","issue":"2","issued":{"date-parts":[["2021"]]},"number-of-pages":"6","title":"Health Information Quality Authority -iNAP 2 Submission","type":"report","volume":"3"},"uris":["http://www.mendeley.com/documents/?uuid=0d182d9c-f8c0-4559-8c85-78d496e6b812"]}],"mendeley":{"formattedCitation":"(8)","plainTextFormattedCitation":"(8)","previouslyFormattedCitation":"(8)"},"properties":{"noteIndex":0},"schema":"https://github.com/citation-style-language/schema/raw/master/csl-citation.json"}</w:instrText>
            </w:r>
            <w:r w:rsidR="005C0661" w:rsidRPr="002D403F">
              <w:rPr>
                <w:rFonts w:ascii="Calibri" w:hAnsi="Calibri" w:cs="Calibri"/>
                <w:b/>
                <w:bCs/>
                <w:noProof/>
                <w:color w:val="000000" w:themeColor="text1"/>
                <w:sz w:val="20"/>
                <w:szCs w:val="20"/>
              </w:rPr>
              <w:fldChar w:fldCharType="separate"/>
            </w:r>
            <w:r w:rsidR="00C46A65" w:rsidRPr="002D403F">
              <w:rPr>
                <w:rFonts w:ascii="Calibri" w:hAnsi="Calibri" w:cs="Calibri"/>
                <w:bCs/>
                <w:noProof/>
                <w:color w:val="000000" w:themeColor="text1"/>
                <w:sz w:val="20"/>
                <w:szCs w:val="20"/>
              </w:rPr>
              <w:t>[</w:t>
            </w:r>
            <w:r w:rsidR="005C0661" w:rsidRPr="002D403F">
              <w:rPr>
                <w:rFonts w:ascii="Calibri" w:hAnsi="Calibri" w:cs="Calibri"/>
                <w:bCs/>
                <w:noProof/>
                <w:color w:val="000000" w:themeColor="text1"/>
                <w:sz w:val="20"/>
                <w:szCs w:val="20"/>
              </w:rPr>
              <w:t>8</w:t>
            </w:r>
            <w:r w:rsidR="00C46A65" w:rsidRPr="002D403F">
              <w:rPr>
                <w:rFonts w:ascii="Calibri" w:hAnsi="Calibri" w:cs="Calibri"/>
                <w:bCs/>
                <w:noProof/>
                <w:color w:val="000000" w:themeColor="text1"/>
                <w:sz w:val="20"/>
                <w:szCs w:val="20"/>
              </w:rPr>
              <w:t>]</w:t>
            </w:r>
            <w:r w:rsidR="005C0661" w:rsidRPr="002D403F">
              <w:rPr>
                <w:rFonts w:ascii="Calibri" w:hAnsi="Calibri" w:cs="Calibri"/>
                <w:b/>
                <w:bCs/>
                <w:noProof/>
                <w:color w:val="000000" w:themeColor="text1"/>
                <w:sz w:val="20"/>
                <w:szCs w:val="20"/>
              </w:rPr>
              <w:fldChar w:fldCharType="end"/>
            </w:r>
            <w:r w:rsidR="002D403F" w:rsidRPr="002D403F">
              <w:rPr>
                <w:rFonts w:ascii="Calibri" w:hAnsi="Calibri" w:cs="Calibri"/>
                <w:b/>
                <w:bCs/>
                <w:noProof/>
                <w:color w:val="000000" w:themeColor="text1"/>
                <w:sz w:val="20"/>
                <w:szCs w:val="20"/>
              </w:rPr>
              <w:t xml:space="preserve"> </w:t>
            </w:r>
          </w:p>
          <w:p w14:paraId="4F6765C8" w14:textId="6EE4E4FE" w:rsidR="00D82224" w:rsidRPr="002D403F" w:rsidRDefault="00D82224" w:rsidP="009B561A">
            <w:pPr>
              <w:spacing w:line="276" w:lineRule="auto"/>
              <w:rPr>
                <w:rFonts w:ascii="Calibri" w:hAnsi="Calibri" w:cs="Calibri"/>
                <w:b/>
                <w:bCs/>
                <w:color w:val="000000" w:themeColor="text1"/>
                <w:sz w:val="20"/>
                <w:szCs w:val="20"/>
                <w:vertAlign w:val="superscript"/>
              </w:rPr>
            </w:pPr>
            <w:r w:rsidRPr="002D403F">
              <w:rPr>
                <w:rFonts w:ascii="Calibri" w:hAnsi="Calibri" w:cs="Calibri"/>
                <w:sz w:val="20"/>
                <w:szCs w:val="20"/>
              </w:rPr>
              <w:t>Ireland’s One Health National Action Plan on Antimicrobial Resistance 2021 – 2025 (known as iNAP2).</w:t>
            </w:r>
            <w:r w:rsidRPr="002D403F">
              <w:rPr>
                <w:rFonts w:ascii="Calibri" w:hAnsi="Calibri" w:cs="Calibri"/>
                <w:b/>
                <w:bCs/>
                <w:color w:val="000000" w:themeColor="text1"/>
                <w:sz w:val="20"/>
                <w:szCs w:val="20"/>
                <w:vertAlign w:val="superscript"/>
              </w:rPr>
              <w:t xml:space="preserve"> </w:t>
            </w:r>
          </w:p>
          <w:p w14:paraId="4CB889DD" w14:textId="77777777" w:rsidR="00D82224" w:rsidRPr="002D403F" w:rsidRDefault="00D82224" w:rsidP="009B561A">
            <w:pPr>
              <w:spacing w:line="276" w:lineRule="auto"/>
              <w:rPr>
                <w:rFonts w:ascii="Calibri" w:hAnsi="Calibri" w:cs="Calibri"/>
                <w:b/>
                <w:bCs/>
                <w:color w:val="000000" w:themeColor="text1"/>
                <w:sz w:val="20"/>
                <w:szCs w:val="20"/>
              </w:rPr>
            </w:pPr>
            <w:r w:rsidRPr="002D403F">
              <w:rPr>
                <w:rFonts w:ascii="Calibri" w:hAnsi="Calibri" w:cs="Calibri"/>
                <w:b/>
                <w:bCs/>
                <w:color w:val="000000" w:themeColor="text1"/>
                <w:sz w:val="20"/>
                <w:szCs w:val="20"/>
              </w:rPr>
              <w:t>*Links with Tables</w:t>
            </w:r>
            <w:r w:rsidRPr="002D403F">
              <w:rPr>
                <w:rFonts w:ascii="Calibri" w:hAnsi="Calibri" w:cs="Calibri"/>
                <w:b/>
                <w:bCs/>
                <w:sz w:val="20"/>
                <w:szCs w:val="20"/>
              </w:rPr>
              <w:t xml:space="preserve"> SRC</w:t>
            </w:r>
            <w:r w:rsidRPr="002D403F">
              <w:rPr>
                <w:rFonts w:ascii="Calibri" w:hAnsi="Calibri" w:cs="Calibri"/>
                <w:b/>
                <w:bCs/>
                <w:color w:val="000000" w:themeColor="text1"/>
                <w:sz w:val="20"/>
                <w:szCs w:val="20"/>
              </w:rPr>
              <w:t xml:space="preserve"> C&amp;D</w:t>
            </w:r>
          </w:p>
        </w:tc>
        <w:tc>
          <w:tcPr>
            <w:tcW w:w="3828" w:type="dxa"/>
          </w:tcPr>
          <w:p w14:paraId="5E8DC5D0"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Submission template form to inform the development of Ireland’s second National Action Plan on Antimicrobial Resistance (AMR) 2021- 2025, to be called iNAP2</w:t>
            </w:r>
          </w:p>
        </w:tc>
        <w:tc>
          <w:tcPr>
            <w:tcW w:w="6237" w:type="dxa"/>
          </w:tcPr>
          <w:p w14:paraId="7FEAB74B"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sz w:val="20"/>
                <w:szCs w:val="20"/>
              </w:rPr>
              <w:t>Outlined HIQAs involvement - in relation to IPC, AMR and antimicrobial stewardship.</w:t>
            </w:r>
          </w:p>
          <w:p w14:paraId="6A86A650" w14:textId="77777777" w:rsidR="00D82224" w:rsidRPr="009B561A" w:rsidRDefault="00D82224" w:rsidP="009B561A">
            <w:pPr>
              <w:spacing w:line="276" w:lineRule="auto"/>
              <w:rPr>
                <w:rFonts w:ascii="Calibri" w:hAnsi="Calibri" w:cs="Calibri"/>
                <w:b/>
                <w:bCs/>
                <w:color w:val="FF0000"/>
                <w:sz w:val="20"/>
                <w:szCs w:val="20"/>
              </w:rPr>
            </w:pPr>
          </w:p>
        </w:tc>
      </w:tr>
      <w:tr w:rsidR="00D82224" w:rsidRPr="009B561A" w14:paraId="77332F4F" w14:textId="77777777" w:rsidTr="0087653A">
        <w:tc>
          <w:tcPr>
            <w:tcW w:w="531" w:type="dxa"/>
          </w:tcPr>
          <w:p w14:paraId="0E080C80"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2</w:t>
            </w:r>
          </w:p>
        </w:tc>
        <w:tc>
          <w:tcPr>
            <w:tcW w:w="3574" w:type="dxa"/>
          </w:tcPr>
          <w:p w14:paraId="41FC1257" w14:textId="734981AC" w:rsidR="00AE2577" w:rsidRPr="002D403F" w:rsidRDefault="00D82224" w:rsidP="009B561A">
            <w:pPr>
              <w:autoSpaceDE w:val="0"/>
              <w:autoSpaceDN w:val="0"/>
              <w:adjustRightInd w:val="0"/>
              <w:spacing w:line="276" w:lineRule="auto"/>
              <w:rPr>
                <w:rFonts w:ascii="Calibri" w:hAnsi="Calibri" w:cs="Calibri"/>
                <w:sz w:val="20"/>
                <w:szCs w:val="20"/>
              </w:rPr>
            </w:pPr>
            <w:r w:rsidRPr="002D403F">
              <w:rPr>
                <w:rFonts w:ascii="Calibri" w:hAnsi="Calibri" w:cs="Calibri"/>
                <w:b/>
                <w:bCs/>
                <w:sz w:val="20"/>
                <w:szCs w:val="20"/>
              </w:rPr>
              <w:t>Government of Ireland (2021)</w:t>
            </w:r>
            <w:r w:rsidRPr="002D403F">
              <w:rPr>
                <w:rFonts w:ascii="Calibri" w:hAnsi="Calibri" w:cs="Calibri"/>
                <w:sz w:val="20"/>
                <w:szCs w:val="20"/>
              </w:rPr>
              <w:t xml:space="preserve"> </w:t>
            </w:r>
            <w:r w:rsidR="00AE2577" w:rsidRPr="002D403F">
              <w:rPr>
                <w:rFonts w:ascii="Calibri" w:hAnsi="Calibri" w:cs="Calibri"/>
                <w:sz w:val="20"/>
                <w:szCs w:val="20"/>
              </w:rPr>
              <w:fldChar w:fldCharType="begin" w:fldLock="1"/>
            </w:r>
            <w:r w:rsidR="00AE2577" w:rsidRPr="002D403F">
              <w:rPr>
                <w:rFonts w:ascii="Calibri" w:hAnsi="Calibri" w:cs="Calibri"/>
                <w:sz w:val="20"/>
                <w:szCs w:val="20"/>
              </w:rPr>
              <w:instrText>ADDIN CSL_CITATION {"citationItems":[{"id":"ITEM-1","itemData":{"abstract":"Cosmetic products are generally formulated as emulsions, ointments, solutions or powders containing active ingredients. According to EU legislation, a cosmetic product is \"any substance or preparation intended to be placed in contact with the various external parts of the human body with a view exclusively or mainly to cleaning, perfuming them, changing their appearance, and/or correcting body odors and/or protecting them or keeping them in good conditions\". However, science advancement in both active carriers and ingredients has streamlined the process through which many cosmetic products by their delivery systems can induce modifications on the skin physiology. This is the reason why Reed and Kligman redefined these products as \"cosmeceuticals\", which refers to the combination of cosmetics and pharmaceuticals. Until recently, the term of cosmeceuticals has not had legal significance. The so-called cosmeceuticals, in fact, may induce modifications on the skin physiology, modifying, for example, transepidermal water loss, keratinocytes cohesion and turnover, modulating the inflammatory cascade, and/or altering the surface microbiota by the activity of the preservatives content. For these reasons, they are claimed to have medical or drug-like benefits. Naturally, their effectiveness on minor skin disorders or mild skin abnormalities has to be shown by in vitro and in vivo studies. On the other hand, their formulations contain emulsifiers, preservatives, and other chemicals which, by their cumulative use, may provoke side effects, such as allergic and/or sensitization phenomena. Moreover, many ingredients and packaging for such products are not biodegradable. In this study, we would like to introduce an innovative category of cosmeceuticals made by biodegradable nonwoven tissues. These cosmeceutical tissues, produced through the use of natural fibers, may bind different active ingredients and therefore become effective as antibacterial, anti-inflammatory, sun-protective, whitening, or anti-aging products, depending on the ingredient(s) used. Differently from the usual cosmetics, they do not contain preservatives, emulsifiers, colors, and other chemicals. They can be applied as dried tissue on wet skin, remaining in loco for around 30 min, slowly releasing the active ingredients entrapped into the fibers. It is interesting to underline that the tissue, acting as a carrier, has its own effectiveness via chitin and lignin polymers with an antibacterial and a…","id":"ITEM-1","issued":{"date-parts":[["0"]]},"title":"Government of Ireland (2021). Ireland’s One Health National Action Plan on Antimicrobial Resistance 2021 –2025 (known as iNAP2). Available at https://www.gov.ie/en/publication/d72f1-joint-action-on-antimicrobial-resistance/ www.gov.ie/amr","type":"report"},"uris":["http://www.mendeley.com/documents/?uuid=a77d5ae4-4132-49fb-8520-4c7a2e5f557f"]}],"mendeley":{"formattedCitation":"(9)","plainTextFormattedCitation":"(9)","previouslyFormattedCitation":"(9)"},"properties":{"noteIndex":0},"schema":"https://github.com/citation-style-language/schema/raw/master/csl-citation.json"}</w:instrText>
            </w:r>
            <w:r w:rsidR="00AE2577" w:rsidRPr="002D403F">
              <w:rPr>
                <w:rFonts w:ascii="Calibri" w:hAnsi="Calibri" w:cs="Calibri"/>
                <w:sz w:val="20"/>
                <w:szCs w:val="20"/>
              </w:rPr>
              <w:fldChar w:fldCharType="separate"/>
            </w:r>
            <w:r w:rsidR="00C46A65" w:rsidRPr="002D403F">
              <w:rPr>
                <w:rFonts w:ascii="Calibri" w:hAnsi="Calibri" w:cs="Calibri"/>
                <w:noProof/>
                <w:sz w:val="20"/>
                <w:szCs w:val="20"/>
              </w:rPr>
              <w:t>[</w:t>
            </w:r>
            <w:r w:rsidR="00AE2577" w:rsidRPr="002D403F">
              <w:rPr>
                <w:rFonts w:ascii="Calibri" w:hAnsi="Calibri" w:cs="Calibri"/>
                <w:noProof/>
                <w:sz w:val="20"/>
                <w:szCs w:val="20"/>
              </w:rPr>
              <w:t>9</w:t>
            </w:r>
            <w:r w:rsidR="002D403F" w:rsidRPr="002D403F">
              <w:rPr>
                <w:rFonts w:ascii="Calibri" w:hAnsi="Calibri" w:cs="Calibri"/>
                <w:noProof/>
                <w:sz w:val="20"/>
                <w:szCs w:val="20"/>
              </w:rPr>
              <w:t>]</w:t>
            </w:r>
            <w:r w:rsidR="00AE2577" w:rsidRPr="002D403F">
              <w:rPr>
                <w:rFonts w:ascii="Calibri" w:hAnsi="Calibri" w:cs="Calibri"/>
                <w:sz w:val="20"/>
                <w:szCs w:val="20"/>
              </w:rPr>
              <w:fldChar w:fldCharType="end"/>
            </w:r>
          </w:p>
          <w:p w14:paraId="1BA7E27E" w14:textId="40D8387E" w:rsidR="00D82224" w:rsidRPr="002D403F" w:rsidRDefault="00D82224" w:rsidP="009B561A">
            <w:pPr>
              <w:autoSpaceDE w:val="0"/>
              <w:autoSpaceDN w:val="0"/>
              <w:adjustRightInd w:val="0"/>
              <w:spacing w:line="276" w:lineRule="auto"/>
              <w:rPr>
                <w:rFonts w:ascii="Calibri" w:hAnsi="Calibri" w:cs="Calibri"/>
                <w:sz w:val="20"/>
                <w:szCs w:val="20"/>
              </w:rPr>
            </w:pPr>
            <w:r w:rsidRPr="002D403F">
              <w:rPr>
                <w:rFonts w:ascii="Calibri" w:hAnsi="Calibri" w:cs="Calibri"/>
                <w:sz w:val="20"/>
                <w:szCs w:val="20"/>
              </w:rPr>
              <w:t>Ireland’s One Health National Action Plan on Antimicrobial Resistance 2021 –2025 (known as iNAP2)</w:t>
            </w:r>
            <w:r w:rsidRPr="002D403F">
              <w:rPr>
                <w:rFonts w:ascii="Calibri" w:hAnsi="Calibri" w:cs="Calibri"/>
                <w:sz w:val="20"/>
                <w:szCs w:val="20"/>
                <w:vertAlign w:val="superscript"/>
              </w:rPr>
              <w:t xml:space="preserve"> </w:t>
            </w:r>
          </w:p>
          <w:p w14:paraId="12A8C37C" w14:textId="77777777" w:rsidR="00D82224" w:rsidRPr="002D403F" w:rsidRDefault="00D82224" w:rsidP="009B561A">
            <w:pPr>
              <w:spacing w:line="276" w:lineRule="auto"/>
              <w:rPr>
                <w:rFonts w:ascii="Calibri" w:hAnsi="Calibri" w:cs="Calibri"/>
                <w:b/>
                <w:bCs/>
                <w:color w:val="000000" w:themeColor="text1"/>
                <w:sz w:val="20"/>
                <w:szCs w:val="20"/>
              </w:rPr>
            </w:pPr>
          </w:p>
          <w:p w14:paraId="6F601900" w14:textId="77777777" w:rsidR="00D82224" w:rsidRPr="002D403F" w:rsidRDefault="00D82224" w:rsidP="009B561A">
            <w:pPr>
              <w:spacing w:line="276" w:lineRule="auto"/>
              <w:rPr>
                <w:rFonts w:ascii="Calibri" w:hAnsi="Calibri" w:cs="Calibri"/>
                <w:b/>
                <w:bCs/>
                <w:color w:val="000000" w:themeColor="text1"/>
                <w:sz w:val="20"/>
                <w:szCs w:val="20"/>
              </w:rPr>
            </w:pPr>
            <w:r w:rsidRPr="002D403F">
              <w:rPr>
                <w:rFonts w:ascii="Calibri" w:hAnsi="Calibri" w:cs="Calibri"/>
                <w:b/>
                <w:bCs/>
                <w:color w:val="000000" w:themeColor="text1"/>
                <w:sz w:val="20"/>
                <w:szCs w:val="20"/>
              </w:rPr>
              <w:t>*Links with Tables</w:t>
            </w:r>
            <w:r w:rsidRPr="002D403F">
              <w:rPr>
                <w:rFonts w:ascii="Calibri" w:hAnsi="Calibri" w:cs="Calibri"/>
                <w:b/>
                <w:bCs/>
                <w:sz w:val="20"/>
                <w:szCs w:val="20"/>
              </w:rPr>
              <w:t xml:space="preserve"> SRC</w:t>
            </w:r>
            <w:r w:rsidRPr="002D403F">
              <w:rPr>
                <w:rFonts w:ascii="Calibri" w:hAnsi="Calibri" w:cs="Calibri"/>
                <w:b/>
                <w:bCs/>
                <w:color w:val="000000" w:themeColor="text1"/>
                <w:sz w:val="20"/>
                <w:szCs w:val="20"/>
              </w:rPr>
              <w:t xml:space="preserve"> B, C&amp; D</w:t>
            </w:r>
          </w:p>
        </w:tc>
        <w:tc>
          <w:tcPr>
            <w:tcW w:w="3828" w:type="dxa"/>
          </w:tcPr>
          <w:p w14:paraId="54AC149A" w14:textId="77777777" w:rsidR="00D82224" w:rsidRPr="009B561A" w:rsidRDefault="00D82224" w:rsidP="009B561A">
            <w:pPr>
              <w:spacing w:line="276" w:lineRule="auto"/>
              <w:jc w:val="both"/>
              <w:rPr>
                <w:rFonts w:ascii="Calibri" w:eastAsia="+mn-ea" w:hAnsi="Calibri" w:cs="Calibri"/>
                <w:b/>
                <w:bCs/>
                <w:color w:val="FF0000"/>
                <w:kern w:val="24"/>
                <w:sz w:val="20"/>
                <w:szCs w:val="20"/>
                <w:highlight w:val="cyan"/>
                <w:lang w:eastAsia="en-IE"/>
              </w:rPr>
            </w:pPr>
            <w:r w:rsidRPr="009B561A">
              <w:rPr>
                <w:rFonts w:ascii="Calibri" w:eastAsia="Times New Roman" w:hAnsi="Calibri" w:cs="Calibri"/>
                <w:sz w:val="20"/>
                <w:szCs w:val="20"/>
                <w:lang w:eastAsia="en-IE"/>
              </w:rPr>
              <w:t>National Action Plan in continuing to advance Ireland’s One Health response to Antimicrobial Resistance</w:t>
            </w:r>
          </w:p>
        </w:tc>
        <w:tc>
          <w:tcPr>
            <w:tcW w:w="6237" w:type="dxa"/>
          </w:tcPr>
          <w:p w14:paraId="689F3EAB" w14:textId="77777777" w:rsidR="00D82224" w:rsidRPr="009B561A" w:rsidRDefault="00D82224" w:rsidP="009B561A">
            <w:pPr>
              <w:spacing w:line="276" w:lineRule="auto"/>
              <w:jc w:val="both"/>
              <w:rPr>
                <w:rFonts w:ascii="Calibri" w:eastAsia="Times New Roman" w:hAnsi="Calibri" w:cs="Calibri"/>
                <w:sz w:val="20"/>
                <w:szCs w:val="20"/>
                <w:lang w:eastAsia="en-IE"/>
              </w:rPr>
            </w:pPr>
            <w:r w:rsidRPr="009B561A">
              <w:rPr>
                <w:rFonts w:ascii="Calibri" w:eastAsia="+mn-ea" w:hAnsi="Calibri" w:cs="Calibri"/>
                <w:b/>
                <w:bCs/>
                <w:kern w:val="24"/>
                <w:sz w:val="20"/>
                <w:szCs w:val="20"/>
                <w:lang w:eastAsia="en-IE"/>
              </w:rPr>
              <w:t>The five strategic objectives of iNAP2</w:t>
            </w:r>
            <w:r w:rsidRPr="009B561A">
              <w:rPr>
                <w:rFonts w:ascii="Calibri" w:eastAsia="+mn-ea" w:hAnsi="Calibri" w:cs="Calibri"/>
                <w:kern w:val="24"/>
                <w:sz w:val="20"/>
                <w:szCs w:val="20"/>
                <w:lang w:eastAsia="en-IE"/>
              </w:rPr>
              <w:t xml:space="preserve">: </w:t>
            </w:r>
          </w:p>
          <w:p w14:paraId="40342773" w14:textId="77777777" w:rsidR="00D82224" w:rsidRPr="009B561A" w:rsidRDefault="00D82224" w:rsidP="009B561A">
            <w:pPr>
              <w:spacing w:line="276" w:lineRule="auto"/>
              <w:rPr>
                <w:rFonts w:ascii="Calibri" w:eastAsia="Times New Roman" w:hAnsi="Calibri" w:cs="Calibri"/>
                <w:sz w:val="20"/>
                <w:szCs w:val="20"/>
                <w:lang w:eastAsia="en-IE"/>
              </w:rPr>
            </w:pPr>
            <w:r w:rsidRPr="009B561A">
              <w:rPr>
                <w:rFonts w:ascii="Calibri" w:eastAsia="+mn-ea" w:hAnsi="Calibri" w:cs="Calibri"/>
                <w:kern w:val="24"/>
                <w:sz w:val="20"/>
                <w:szCs w:val="20"/>
                <w:u w:val="single"/>
                <w:lang w:eastAsia="en-IE"/>
              </w:rPr>
              <w:t xml:space="preserve">“Strategic Objective 1: </w:t>
            </w:r>
            <w:r w:rsidRPr="009B561A">
              <w:rPr>
                <w:rFonts w:ascii="Calibri" w:eastAsia="+mn-ea" w:hAnsi="Calibri" w:cs="Calibri"/>
                <w:kern w:val="24"/>
                <w:sz w:val="20"/>
                <w:szCs w:val="20"/>
                <w:lang w:eastAsia="en-IE"/>
              </w:rPr>
              <w:t xml:space="preserve">Improving awareness and knowledge of AMR </w:t>
            </w:r>
          </w:p>
          <w:p w14:paraId="2BDA2DE3" w14:textId="77777777" w:rsidR="00D82224" w:rsidRPr="009B561A" w:rsidRDefault="00D82224" w:rsidP="009B561A">
            <w:pPr>
              <w:spacing w:line="276" w:lineRule="auto"/>
              <w:rPr>
                <w:rFonts w:ascii="Calibri" w:eastAsia="Times New Roman" w:hAnsi="Calibri" w:cs="Calibri"/>
                <w:sz w:val="20"/>
                <w:szCs w:val="20"/>
                <w:lang w:eastAsia="en-IE"/>
              </w:rPr>
            </w:pPr>
            <w:r w:rsidRPr="009B561A">
              <w:rPr>
                <w:rFonts w:ascii="Calibri" w:eastAsia="+mn-ea" w:hAnsi="Calibri" w:cs="Calibri"/>
                <w:kern w:val="24"/>
                <w:sz w:val="20"/>
                <w:szCs w:val="20"/>
                <w:u w:val="single"/>
                <w:lang w:eastAsia="en-IE"/>
              </w:rPr>
              <w:t xml:space="preserve">Strategic Objective 2: </w:t>
            </w:r>
            <w:r w:rsidRPr="009B561A">
              <w:rPr>
                <w:rFonts w:ascii="Calibri" w:eastAsia="+mn-ea" w:hAnsi="Calibri" w:cs="Calibri"/>
                <w:kern w:val="24"/>
                <w:sz w:val="20"/>
                <w:szCs w:val="20"/>
                <w:lang w:eastAsia="en-IE"/>
              </w:rPr>
              <w:t xml:space="preserve">Enhancing surveillance of antibiotic resistance and antibiotic use </w:t>
            </w:r>
          </w:p>
          <w:p w14:paraId="6C1F1F66" w14:textId="77777777" w:rsidR="00D82224" w:rsidRPr="009B561A" w:rsidRDefault="00D82224" w:rsidP="009B561A">
            <w:pPr>
              <w:spacing w:line="276" w:lineRule="auto"/>
              <w:rPr>
                <w:rFonts w:ascii="Calibri" w:eastAsia="Times New Roman" w:hAnsi="Calibri" w:cs="Calibri"/>
                <w:sz w:val="20"/>
                <w:szCs w:val="20"/>
                <w:lang w:eastAsia="en-IE"/>
              </w:rPr>
            </w:pPr>
            <w:r w:rsidRPr="009B561A">
              <w:rPr>
                <w:rFonts w:ascii="Calibri" w:eastAsia="+mn-ea" w:hAnsi="Calibri" w:cs="Calibri"/>
                <w:kern w:val="24"/>
                <w:sz w:val="20"/>
                <w:szCs w:val="20"/>
                <w:u w:val="single"/>
                <w:lang w:eastAsia="en-IE"/>
              </w:rPr>
              <w:t xml:space="preserve">Strategic Objective 3: </w:t>
            </w:r>
            <w:r w:rsidRPr="009B561A">
              <w:rPr>
                <w:rFonts w:ascii="Calibri" w:eastAsia="+mn-ea" w:hAnsi="Calibri" w:cs="Calibri"/>
                <w:kern w:val="24"/>
                <w:sz w:val="20"/>
                <w:szCs w:val="20"/>
                <w:lang w:eastAsia="en-IE"/>
              </w:rPr>
              <w:t xml:space="preserve">Reducing infection and disease spread </w:t>
            </w:r>
          </w:p>
          <w:p w14:paraId="01048644" w14:textId="77777777" w:rsidR="00D82224" w:rsidRPr="009B561A" w:rsidRDefault="00D82224" w:rsidP="009B561A">
            <w:pPr>
              <w:spacing w:line="276" w:lineRule="auto"/>
              <w:rPr>
                <w:rFonts w:ascii="Calibri" w:eastAsia="Times New Roman" w:hAnsi="Calibri" w:cs="Calibri"/>
                <w:sz w:val="20"/>
                <w:szCs w:val="20"/>
                <w:lang w:eastAsia="en-IE"/>
              </w:rPr>
            </w:pPr>
            <w:r w:rsidRPr="009B561A">
              <w:rPr>
                <w:rFonts w:ascii="Calibri" w:eastAsia="+mn-ea" w:hAnsi="Calibri" w:cs="Calibri"/>
                <w:kern w:val="24"/>
                <w:sz w:val="20"/>
                <w:szCs w:val="20"/>
                <w:u w:val="single"/>
                <w:lang w:eastAsia="en-IE"/>
              </w:rPr>
              <w:t xml:space="preserve">Strategic Objective 4: </w:t>
            </w:r>
            <w:r w:rsidRPr="009B561A">
              <w:rPr>
                <w:rFonts w:ascii="Calibri" w:eastAsia="+mn-ea" w:hAnsi="Calibri" w:cs="Calibri"/>
                <w:kern w:val="24"/>
                <w:sz w:val="20"/>
                <w:szCs w:val="20"/>
                <w:lang w:eastAsia="en-IE"/>
              </w:rPr>
              <w:t xml:space="preserve">Optimise the use of antibiotics in human and animal health </w:t>
            </w:r>
          </w:p>
          <w:p w14:paraId="259F9C12" w14:textId="77777777" w:rsidR="00D82224" w:rsidRPr="009B561A" w:rsidRDefault="00D82224" w:rsidP="009B561A">
            <w:pPr>
              <w:spacing w:line="276" w:lineRule="auto"/>
              <w:rPr>
                <w:rFonts w:ascii="Calibri" w:eastAsia="Times New Roman" w:hAnsi="Calibri" w:cs="Calibri"/>
                <w:sz w:val="20"/>
                <w:szCs w:val="20"/>
                <w:lang w:eastAsia="en-IE"/>
              </w:rPr>
            </w:pPr>
            <w:r w:rsidRPr="009B561A">
              <w:rPr>
                <w:rFonts w:ascii="Calibri" w:eastAsia="+mn-ea" w:hAnsi="Calibri" w:cs="Calibri"/>
                <w:kern w:val="24"/>
                <w:sz w:val="20"/>
                <w:szCs w:val="20"/>
                <w:u w:val="single"/>
                <w:lang w:eastAsia="en-IE"/>
              </w:rPr>
              <w:t xml:space="preserve">Strategic Objective 5: </w:t>
            </w:r>
            <w:r w:rsidRPr="009B561A">
              <w:rPr>
                <w:rFonts w:ascii="Calibri" w:eastAsia="+mn-ea" w:hAnsi="Calibri" w:cs="Calibri"/>
                <w:kern w:val="24"/>
                <w:sz w:val="20"/>
                <w:szCs w:val="20"/>
                <w:lang w:eastAsia="en-IE"/>
              </w:rPr>
              <w:t>Promote research and sustainable investment in new medicines, diagnostic tools, vaccines and other interventions” p4</w:t>
            </w:r>
          </w:p>
        </w:tc>
      </w:tr>
      <w:tr w:rsidR="00D82224" w:rsidRPr="009B561A" w14:paraId="43235D88" w14:textId="77777777" w:rsidTr="0087653A">
        <w:tc>
          <w:tcPr>
            <w:tcW w:w="531" w:type="dxa"/>
          </w:tcPr>
          <w:p w14:paraId="01AAEE10" w14:textId="77777777" w:rsidR="00D82224" w:rsidRPr="009B561A" w:rsidRDefault="00D82224" w:rsidP="009B561A">
            <w:pPr>
              <w:spacing w:line="276" w:lineRule="auto"/>
              <w:rPr>
                <w:rFonts w:ascii="Calibri" w:hAnsi="Calibri" w:cs="Calibri"/>
                <w:color w:val="000000" w:themeColor="text1"/>
                <w:sz w:val="20"/>
                <w:szCs w:val="20"/>
                <w:highlight w:val="cyan"/>
              </w:rPr>
            </w:pPr>
            <w:r w:rsidRPr="009B561A">
              <w:rPr>
                <w:rFonts w:ascii="Calibri" w:hAnsi="Calibri" w:cs="Calibri"/>
                <w:color w:val="000000" w:themeColor="text1"/>
                <w:sz w:val="20"/>
                <w:szCs w:val="20"/>
              </w:rPr>
              <w:t>3</w:t>
            </w:r>
          </w:p>
        </w:tc>
        <w:tc>
          <w:tcPr>
            <w:tcW w:w="3574" w:type="dxa"/>
          </w:tcPr>
          <w:p w14:paraId="1C76A976" w14:textId="59780139" w:rsidR="00FD4196" w:rsidRPr="002D403F" w:rsidRDefault="00D82224" w:rsidP="009B561A">
            <w:pPr>
              <w:spacing w:line="276" w:lineRule="auto"/>
              <w:rPr>
                <w:rFonts w:ascii="Calibri" w:hAnsi="Calibri" w:cs="Calibri"/>
                <w:sz w:val="20"/>
                <w:szCs w:val="20"/>
              </w:rPr>
            </w:pPr>
            <w:r w:rsidRPr="002D403F">
              <w:rPr>
                <w:rFonts w:ascii="Calibri" w:hAnsi="Calibri" w:cs="Calibri"/>
                <w:b/>
                <w:bCs/>
                <w:sz w:val="20"/>
                <w:szCs w:val="20"/>
              </w:rPr>
              <w:t>Health Service Executive (2021)</w:t>
            </w:r>
            <w:r w:rsidRPr="002D403F">
              <w:rPr>
                <w:rFonts w:ascii="Calibri" w:hAnsi="Calibri" w:cs="Calibri"/>
                <w:sz w:val="20"/>
                <w:szCs w:val="20"/>
              </w:rPr>
              <w:t xml:space="preserve"> </w:t>
            </w:r>
            <w:r w:rsidR="00FD4196" w:rsidRPr="002D403F">
              <w:rPr>
                <w:rFonts w:ascii="Calibri" w:hAnsi="Calibri" w:cs="Calibri"/>
                <w:sz w:val="20"/>
                <w:szCs w:val="20"/>
              </w:rPr>
              <w:fldChar w:fldCharType="begin" w:fldLock="1"/>
            </w:r>
            <w:r w:rsidR="00FD4196" w:rsidRPr="002D403F">
              <w:rPr>
                <w:rFonts w:ascii="Calibri" w:hAnsi="Calibri" w:cs="Calibri"/>
                <w:sz w:val="20"/>
                <w:szCs w:val="20"/>
              </w:rPr>
              <w:instrText>ADDIN CSL_CITATION {"citationItems":[{"id":"ITEM-1","itemData":{"ISBN":"9781786021854","author":[{"dropping-particle":"","family":"Health Service Executive (HSE)","given":"","non-dropping-particle":"","parse-names":false,"suffix":""}],"id":"ITEM-1","issued":{"date-parts":[["2022"]]},"title":"Health Service Executive (2021). Health Service Executive 2022-2025 AMRIC Action Plan Available at https://bit.ly/3nWROS7","type":"report"},"uris":["http://www.mendeley.com/documents/?uuid=3b9c19ff-832f-4476-93de-609f37e9eec5"]}],"mendeley":{"formattedCitation":"(10)","plainTextFormattedCitation":"(10)","previouslyFormattedCitation":"(10)"},"properties":{"noteIndex":0},"schema":"https://github.com/citation-style-language/schema/raw/master/csl-citation.json"}</w:instrText>
            </w:r>
            <w:r w:rsidR="00FD4196" w:rsidRPr="002D403F">
              <w:rPr>
                <w:rFonts w:ascii="Calibri" w:hAnsi="Calibri" w:cs="Calibri"/>
                <w:sz w:val="20"/>
                <w:szCs w:val="20"/>
              </w:rPr>
              <w:fldChar w:fldCharType="separate"/>
            </w:r>
            <w:r w:rsidR="00C46A65" w:rsidRPr="002D403F">
              <w:rPr>
                <w:rFonts w:ascii="Calibri" w:hAnsi="Calibri" w:cs="Calibri"/>
                <w:noProof/>
                <w:sz w:val="20"/>
                <w:szCs w:val="20"/>
              </w:rPr>
              <w:t>[</w:t>
            </w:r>
            <w:r w:rsidR="00FD4196" w:rsidRPr="002D403F">
              <w:rPr>
                <w:rFonts w:ascii="Calibri" w:hAnsi="Calibri" w:cs="Calibri"/>
                <w:noProof/>
                <w:sz w:val="20"/>
                <w:szCs w:val="20"/>
              </w:rPr>
              <w:t>10</w:t>
            </w:r>
            <w:r w:rsidR="00C46A65" w:rsidRPr="002D403F">
              <w:rPr>
                <w:rFonts w:ascii="Calibri" w:hAnsi="Calibri" w:cs="Calibri"/>
                <w:noProof/>
                <w:sz w:val="20"/>
                <w:szCs w:val="20"/>
              </w:rPr>
              <w:t>]</w:t>
            </w:r>
            <w:r w:rsidR="00FD4196" w:rsidRPr="002D403F">
              <w:rPr>
                <w:rFonts w:ascii="Calibri" w:hAnsi="Calibri" w:cs="Calibri"/>
                <w:sz w:val="20"/>
                <w:szCs w:val="20"/>
              </w:rPr>
              <w:fldChar w:fldCharType="end"/>
            </w:r>
            <w:r w:rsidR="002D403F" w:rsidRPr="002D403F">
              <w:rPr>
                <w:rFonts w:ascii="Calibri" w:hAnsi="Calibri" w:cs="Calibri"/>
                <w:sz w:val="20"/>
                <w:szCs w:val="20"/>
              </w:rPr>
              <w:t xml:space="preserve"> </w:t>
            </w:r>
          </w:p>
          <w:p w14:paraId="157B9D87" w14:textId="6BC916A5" w:rsidR="00D82224" w:rsidRPr="002D403F" w:rsidRDefault="00D82224" w:rsidP="009B561A">
            <w:pPr>
              <w:spacing w:line="276" w:lineRule="auto"/>
              <w:rPr>
                <w:rFonts w:ascii="Calibri" w:hAnsi="Calibri" w:cs="Calibri"/>
                <w:b/>
                <w:bCs/>
                <w:sz w:val="20"/>
                <w:szCs w:val="20"/>
              </w:rPr>
            </w:pPr>
            <w:r w:rsidRPr="002D403F">
              <w:rPr>
                <w:rFonts w:ascii="Calibri" w:hAnsi="Calibri" w:cs="Calibri"/>
                <w:sz w:val="20"/>
                <w:szCs w:val="20"/>
              </w:rPr>
              <w:t>Health Service Executive 2022-2025 AMRIC Action Plan</w:t>
            </w:r>
            <w:r w:rsidRPr="002D403F">
              <w:rPr>
                <w:rFonts w:ascii="Calibri" w:hAnsi="Calibri" w:cs="Calibri"/>
                <w:b/>
                <w:bCs/>
                <w:sz w:val="20"/>
                <w:szCs w:val="20"/>
              </w:rPr>
              <w:t xml:space="preserve"> </w:t>
            </w:r>
          </w:p>
          <w:p w14:paraId="425702FC" w14:textId="77777777" w:rsidR="00D82224" w:rsidRPr="002D403F" w:rsidRDefault="00D82224" w:rsidP="009B561A">
            <w:pPr>
              <w:spacing w:line="276" w:lineRule="auto"/>
              <w:rPr>
                <w:rFonts w:ascii="Calibri" w:hAnsi="Calibri" w:cs="Calibri"/>
                <w:b/>
                <w:bCs/>
                <w:color w:val="0070C0"/>
                <w:sz w:val="20"/>
                <w:szCs w:val="20"/>
                <w:vertAlign w:val="superscript"/>
              </w:rPr>
            </w:pPr>
          </w:p>
          <w:p w14:paraId="1F1A5E35" w14:textId="77777777" w:rsidR="00D82224" w:rsidRPr="002D403F" w:rsidRDefault="00D82224" w:rsidP="009B561A">
            <w:pPr>
              <w:spacing w:line="276" w:lineRule="auto"/>
              <w:rPr>
                <w:rFonts w:ascii="Calibri" w:hAnsi="Calibri" w:cs="Calibri"/>
                <w:b/>
                <w:bCs/>
                <w:sz w:val="20"/>
                <w:szCs w:val="20"/>
              </w:rPr>
            </w:pPr>
            <w:r w:rsidRPr="002D403F">
              <w:rPr>
                <w:rFonts w:ascii="Calibri" w:hAnsi="Calibri" w:cs="Calibri"/>
                <w:b/>
                <w:bCs/>
                <w:sz w:val="20"/>
                <w:szCs w:val="20"/>
              </w:rPr>
              <w:t>*Links with Tables SRC B, C&amp;D</w:t>
            </w:r>
          </w:p>
          <w:p w14:paraId="519CD6DE" w14:textId="77777777" w:rsidR="00D82224" w:rsidRPr="002D403F" w:rsidRDefault="00D82224" w:rsidP="009B561A">
            <w:pPr>
              <w:spacing w:line="276" w:lineRule="auto"/>
              <w:rPr>
                <w:rFonts w:ascii="Calibri" w:hAnsi="Calibri" w:cs="Calibri"/>
                <w:b/>
                <w:bCs/>
                <w:color w:val="0070C0"/>
                <w:sz w:val="20"/>
                <w:szCs w:val="20"/>
              </w:rPr>
            </w:pPr>
          </w:p>
          <w:p w14:paraId="08EBE4A9" w14:textId="77777777" w:rsidR="00D82224" w:rsidRPr="002D403F" w:rsidRDefault="00D82224" w:rsidP="009B561A">
            <w:pPr>
              <w:spacing w:line="276" w:lineRule="auto"/>
              <w:rPr>
                <w:rFonts w:ascii="Calibri" w:hAnsi="Calibri" w:cs="Calibri"/>
                <w:b/>
                <w:bCs/>
                <w:color w:val="000000" w:themeColor="text1"/>
                <w:sz w:val="20"/>
                <w:szCs w:val="20"/>
              </w:rPr>
            </w:pPr>
          </w:p>
        </w:tc>
        <w:tc>
          <w:tcPr>
            <w:tcW w:w="3828" w:type="dxa"/>
          </w:tcPr>
          <w:p w14:paraId="5CAFCAFC" w14:textId="77777777" w:rsidR="00D82224" w:rsidRPr="009B561A" w:rsidRDefault="00D82224" w:rsidP="009B561A">
            <w:pPr>
              <w:autoSpaceDE w:val="0"/>
              <w:autoSpaceDN w:val="0"/>
              <w:adjustRightInd w:val="0"/>
              <w:spacing w:line="276" w:lineRule="auto"/>
              <w:rPr>
                <w:rFonts w:ascii="Calibri" w:eastAsia="+mn-ea" w:hAnsi="Calibri" w:cs="Calibri"/>
                <w:color w:val="FF0000"/>
                <w:kern w:val="24"/>
                <w:sz w:val="20"/>
                <w:szCs w:val="20"/>
                <w:highlight w:val="cyan"/>
              </w:rPr>
            </w:pPr>
            <w:r w:rsidRPr="009B561A">
              <w:rPr>
                <w:rFonts w:ascii="Calibri" w:hAnsi="Calibri" w:cs="Calibri"/>
                <w:sz w:val="20"/>
                <w:szCs w:val="20"/>
              </w:rPr>
              <w:t>To complements iNAP2, sets out how the HSE will play its part in delivering on the commitments of iNAP2</w:t>
            </w:r>
          </w:p>
        </w:tc>
        <w:tc>
          <w:tcPr>
            <w:tcW w:w="6237" w:type="dxa"/>
          </w:tcPr>
          <w:p w14:paraId="5F0B0A19" w14:textId="77777777" w:rsidR="00D82224" w:rsidRPr="009B561A" w:rsidRDefault="00D82224" w:rsidP="009B561A">
            <w:pPr>
              <w:autoSpaceDE w:val="0"/>
              <w:autoSpaceDN w:val="0"/>
              <w:adjustRightInd w:val="0"/>
              <w:spacing w:line="276" w:lineRule="auto"/>
              <w:rPr>
                <w:rFonts w:ascii="Calibri" w:eastAsia="+mn-ea" w:hAnsi="Calibri" w:cs="Calibri"/>
                <w:kern w:val="24"/>
                <w:sz w:val="20"/>
                <w:szCs w:val="20"/>
              </w:rPr>
            </w:pPr>
            <w:r w:rsidRPr="009B561A">
              <w:rPr>
                <w:rFonts w:ascii="Calibri" w:hAnsi="Calibri" w:cs="Calibri"/>
                <w:sz w:val="20"/>
                <w:szCs w:val="20"/>
              </w:rPr>
              <w:t>Since 2017, greater resources supported by the Department of Health and a stronger Antimicrobial Resistance and Infection Control (AMRIC) governance structure within the HSE has resulted in a greater emphasis on development and extension of AMS programmes in the community and hospital.</w:t>
            </w:r>
          </w:p>
          <w:p w14:paraId="458F5825" w14:textId="77777777" w:rsidR="00D82224" w:rsidRPr="009B561A" w:rsidRDefault="00D82224" w:rsidP="009B561A">
            <w:pPr>
              <w:autoSpaceDE w:val="0"/>
              <w:autoSpaceDN w:val="0"/>
              <w:adjustRightInd w:val="0"/>
              <w:spacing w:line="276" w:lineRule="auto"/>
              <w:rPr>
                <w:rFonts w:ascii="Calibri" w:eastAsia="+mn-ea" w:hAnsi="Calibri" w:cs="Calibri"/>
                <w:color w:val="FF0000"/>
                <w:kern w:val="24"/>
                <w:sz w:val="20"/>
                <w:szCs w:val="20"/>
              </w:rPr>
            </w:pPr>
          </w:p>
          <w:p w14:paraId="27354EF9" w14:textId="77777777" w:rsidR="00D82224" w:rsidRPr="009B561A" w:rsidRDefault="00D82224" w:rsidP="009B561A">
            <w:pPr>
              <w:autoSpaceDE w:val="0"/>
              <w:autoSpaceDN w:val="0"/>
              <w:adjustRightInd w:val="0"/>
              <w:spacing w:line="276" w:lineRule="auto"/>
              <w:rPr>
                <w:rFonts w:ascii="Calibri" w:hAnsi="Calibri" w:cs="Calibri"/>
                <w:sz w:val="20"/>
                <w:szCs w:val="20"/>
              </w:rPr>
            </w:pPr>
            <w:r w:rsidRPr="009B561A">
              <w:rPr>
                <w:rFonts w:ascii="Calibri" w:eastAsia="+mn-ea" w:hAnsi="Calibri" w:cs="Calibri"/>
                <w:kern w:val="24"/>
                <w:sz w:val="20"/>
                <w:szCs w:val="20"/>
              </w:rPr>
              <w:t>The HSE 2022-2025 AMRIC Action Plan sets out a range of HSE actions aligned to the five strategic objectives of Government</w:t>
            </w:r>
            <w:r w:rsidRPr="009B561A">
              <w:rPr>
                <w:rFonts w:ascii="Calibri" w:hAnsi="Calibri" w:cs="Calibri"/>
                <w:sz w:val="20"/>
                <w:szCs w:val="20"/>
              </w:rPr>
              <w:t xml:space="preserve"> of Ireland (2021). Ireland’s One Health National Action Plan on Antimicrobial Resistance 2021 –2025 (known as iNAP2).</w:t>
            </w:r>
          </w:p>
        </w:tc>
      </w:tr>
      <w:tr w:rsidR="00D82224" w:rsidRPr="009B561A" w14:paraId="31459030" w14:textId="77777777" w:rsidTr="0087653A">
        <w:tc>
          <w:tcPr>
            <w:tcW w:w="531" w:type="dxa"/>
          </w:tcPr>
          <w:p w14:paraId="3EC7F14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4</w:t>
            </w:r>
          </w:p>
        </w:tc>
        <w:tc>
          <w:tcPr>
            <w:tcW w:w="3574" w:type="dxa"/>
          </w:tcPr>
          <w:p w14:paraId="36F7628B" w14:textId="2611896B" w:rsidR="007477FF"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 xml:space="preserve">European Centre for Disease Prevention and </w:t>
            </w:r>
            <w:r w:rsidRPr="002D403F">
              <w:rPr>
                <w:rFonts w:ascii="Calibri" w:hAnsi="Calibri" w:cs="Calibri"/>
                <w:b/>
                <w:bCs/>
                <w:sz w:val="20"/>
                <w:szCs w:val="20"/>
              </w:rPr>
              <w:t>Control</w:t>
            </w:r>
            <w:r w:rsidR="00C46A65" w:rsidRPr="002D403F">
              <w:rPr>
                <w:rFonts w:ascii="Calibri" w:hAnsi="Calibri" w:cs="Calibri"/>
                <w:b/>
                <w:bCs/>
                <w:sz w:val="20"/>
                <w:szCs w:val="20"/>
              </w:rPr>
              <w:t xml:space="preserve"> </w:t>
            </w:r>
            <w:r w:rsidR="007477FF" w:rsidRPr="002D403F">
              <w:rPr>
                <w:rFonts w:ascii="Calibri" w:hAnsi="Calibri" w:cs="Calibri"/>
                <w:b/>
                <w:bCs/>
                <w:sz w:val="20"/>
                <w:szCs w:val="20"/>
              </w:rPr>
              <w:fldChar w:fldCharType="begin" w:fldLock="1"/>
            </w:r>
            <w:r w:rsidR="007477FF" w:rsidRPr="002D403F">
              <w:rPr>
                <w:rFonts w:ascii="Calibri" w:hAnsi="Calibri" w:cs="Calibri"/>
                <w:b/>
                <w:bCs/>
                <w:sz w:val="20"/>
                <w:szCs w:val="20"/>
              </w:rPr>
              <w:instrText>ADDIN CSL_CITATION {"citationItems":[{"id":"ITEM-1","itemData":{"ISSN":"2015-7561","abstract":"This report describes the outcome of a Food and Veterinary Office (FVO) audit in Botswana carried out between 13 and 20 October 2015, as part of the FVO audit programme for 2015. The objective was to evaluate the effectiveness of surveillance and regionalisation measures for foot-and-mouth (FMD) disease. Overall, the report concludes that: The shortcomings which led to the suspension of authorisation of imports from two regions have been completely solved in one of these regions, while the Competent Authorities are still working on solutions for the other one. The Competent Authorities are actively involved in continuous improvement of their operational standards. In addition to addressing satisfactorily most recommendations issued after the last FVO audit in 2013, they have introduced new systems for identification of cattle and regionalisation for FMD, which have the potential to improve the health control standards and level of guarantees for export of bovine meat to the EU. Loopholes have however been identified: if not tackled promptly, they will undermine the reliability of these systems. The assurance of the maintenance of FMD-free status without vaccination of the authorised territories relies largely on clinical surveillance. Serological surveillance, while not directly required for export of bovine meat to the EU, is in place: it does not bring the additional intended guarantee, as implementation shortcomings and laboratory quality issues prevent from concluding that seropositive results obtained are not a sign of contact with FMD (vaccine or wild) virus. Recommendations are made to the Competent Authorities of Botswana to address the shortcomings described in the report.","author":[{"dropping-particle":"","family":"EUROPEAN COMMISSION DIRECTORATE-GENERAL FOR HEALTH AND FOOD SAFETY","given":"","non-dropping-particle":"","parse-names":false,"suffix":""}],"id":"ITEM-1","issue":"October 2019","issued":{"date-parts":[["2020"]]},"title":"European Centre for Disease Prevention and Control. Final Joint Report in respect of a One Health Country Visit to Ireland from 07 October 2019 to 11 October 2019 to discuss policies relating to Antimicrobial Resistance. (2020).","type":"report"},"uris":["http://www.mendeley.com/documents/?uuid=788e2269-6361-48a2-aebf-bc8c16dca78b"]}],"mendeley":{"formattedCitation":"(11)","plainTextFormattedCitation":"(11)","previouslyFormattedCitation":"(11)"},"properties":{"noteIndex":0},"schema":"https://github.com/citation-style-language/schema/raw/master/csl-citation.json"}</w:instrText>
            </w:r>
            <w:r w:rsidR="007477FF" w:rsidRPr="002D403F">
              <w:rPr>
                <w:rFonts w:ascii="Calibri" w:hAnsi="Calibri" w:cs="Calibri"/>
                <w:b/>
                <w:bCs/>
                <w:sz w:val="20"/>
                <w:szCs w:val="20"/>
              </w:rPr>
              <w:fldChar w:fldCharType="separate"/>
            </w:r>
            <w:r w:rsidR="00C46A65" w:rsidRPr="002D403F">
              <w:rPr>
                <w:rFonts w:ascii="Calibri" w:hAnsi="Calibri" w:cs="Calibri"/>
                <w:bCs/>
                <w:noProof/>
                <w:sz w:val="20"/>
                <w:szCs w:val="20"/>
              </w:rPr>
              <w:t>[</w:t>
            </w:r>
            <w:r w:rsidR="007477FF" w:rsidRPr="002D403F">
              <w:rPr>
                <w:rFonts w:ascii="Calibri" w:hAnsi="Calibri" w:cs="Calibri"/>
                <w:bCs/>
                <w:noProof/>
                <w:sz w:val="20"/>
                <w:szCs w:val="20"/>
              </w:rPr>
              <w:t>11</w:t>
            </w:r>
            <w:r w:rsidR="00C46A65" w:rsidRPr="002D403F">
              <w:rPr>
                <w:rFonts w:ascii="Calibri" w:hAnsi="Calibri" w:cs="Calibri"/>
                <w:bCs/>
                <w:noProof/>
                <w:sz w:val="20"/>
                <w:szCs w:val="20"/>
              </w:rPr>
              <w:t>]</w:t>
            </w:r>
            <w:r w:rsidR="007477FF" w:rsidRPr="002D403F">
              <w:rPr>
                <w:rFonts w:ascii="Calibri" w:hAnsi="Calibri" w:cs="Calibri"/>
                <w:b/>
                <w:bCs/>
                <w:sz w:val="20"/>
                <w:szCs w:val="20"/>
              </w:rPr>
              <w:fldChar w:fldCharType="end"/>
            </w:r>
            <w:r w:rsidR="002D403F" w:rsidRPr="009B561A">
              <w:rPr>
                <w:rFonts w:ascii="Calibri" w:hAnsi="Calibri" w:cs="Calibri"/>
                <w:b/>
                <w:bCs/>
                <w:sz w:val="20"/>
                <w:szCs w:val="20"/>
              </w:rPr>
              <w:t xml:space="preserve"> </w:t>
            </w:r>
          </w:p>
          <w:p w14:paraId="17807748" w14:textId="04D693F9"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sz w:val="20"/>
                <w:szCs w:val="20"/>
              </w:rPr>
              <w:lastRenderedPageBreak/>
              <w:t>Final Joint Report in respect of a One Health Country Visit to Ireland from 07 October 2019 to 11 October 2019 to discuss policies relating to Antimicrobial Resistance. (2020)</w:t>
            </w:r>
            <w:r w:rsidRPr="009B561A">
              <w:rPr>
                <w:rFonts w:ascii="Calibri" w:hAnsi="Calibri" w:cs="Calibri"/>
                <w:b/>
                <w:bCs/>
                <w:sz w:val="20"/>
                <w:szCs w:val="20"/>
                <w:vertAlign w:val="superscript"/>
              </w:rPr>
              <w:t xml:space="preserve"> </w:t>
            </w:r>
          </w:p>
          <w:p w14:paraId="366CBF00" w14:textId="77777777" w:rsidR="00D82224" w:rsidRPr="009B561A" w:rsidRDefault="00D82224" w:rsidP="009B561A">
            <w:pPr>
              <w:spacing w:line="276" w:lineRule="auto"/>
              <w:rPr>
                <w:rFonts w:ascii="Calibri" w:eastAsia="Times New Roman" w:hAnsi="Calibri" w:cs="Calibri"/>
                <w:b/>
                <w:bCs/>
                <w:sz w:val="20"/>
                <w:szCs w:val="20"/>
                <w:lang w:eastAsia="en-IE"/>
              </w:rPr>
            </w:pPr>
            <w:r w:rsidRPr="009B561A">
              <w:rPr>
                <w:rFonts w:ascii="Calibri" w:hAnsi="Calibri" w:cs="Calibri"/>
                <w:b/>
                <w:bCs/>
                <w:sz w:val="20"/>
                <w:szCs w:val="20"/>
              </w:rPr>
              <w:t>*Links with Tables SRC B, C&amp;D</w:t>
            </w:r>
          </w:p>
        </w:tc>
        <w:tc>
          <w:tcPr>
            <w:tcW w:w="3828" w:type="dxa"/>
          </w:tcPr>
          <w:p w14:paraId="04E84589" w14:textId="77777777" w:rsidR="00D82224" w:rsidRPr="009B561A" w:rsidRDefault="00D82224" w:rsidP="009B561A">
            <w:pPr>
              <w:autoSpaceDE w:val="0"/>
              <w:autoSpaceDN w:val="0"/>
              <w:adjustRightInd w:val="0"/>
              <w:spacing w:line="276" w:lineRule="auto"/>
              <w:rPr>
                <w:rFonts w:ascii="Calibri" w:hAnsi="Calibri" w:cs="Calibri"/>
                <w:sz w:val="20"/>
                <w:szCs w:val="20"/>
              </w:rPr>
            </w:pPr>
            <w:r w:rsidRPr="009B561A">
              <w:rPr>
                <w:rFonts w:ascii="Calibri" w:hAnsi="Calibri" w:cs="Calibri"/>
                <w:sz w:val="20"/>
                <w:szCs w:val="20"/>
              </w:rPr>
              <w:lastRenderedPageBreak/>
              <w:t xml:space="preserve">The report outlines various considerations which could be helpful in reviewing and </w:t>
            </w:r>
            <w:r w:rsidRPr="009B561A">
              <w:rPr>
                <w:rFonts w:ascii="Calibri" w:hAnsi="Calibri" w:cs="Calibri"/>
                <w:sz w:val="20"/>
                <w:szCs w:val="20"/>
              </w:rPr>
              <w:lastRenderedPageBreak/>
              <w:t>implementing a national, One Health, AMR strategy.</w:t>
            </w:r>
          </w:p>
        </w:tc>
        <w:tc>
          <w:tcPr>
            <w:tcW w:w="6237" w:type="dxa"/>
          </w:tcPr>
          <w:p w14:paraId="5DC046C6"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 xml:space="preserve">The following statements are relevant to our review: </w:t>
            </w:r>
          </w:p>
          <w:p w14:paraId="34680800" w14:textId="77777777" w:rsidR="00D82224" w:rsidRPr="009B561A" w:rsidRDefault="00D82224" w:rsidP="009B561A">
            <w:pPr>
              <w:spacing w:line="276" w:lineRule="auto"/>
              <w:rPr>
                <w:rFonts w:ascii="Calibri" w:hAnsi="Calibri" w:cs="Calibri"/>
                <w:b/>
                <w:bCs/>
                <w:sz w:val="20"/>
                <w:szCs w:val="20"/>
              </w:rPr>
            </w:pPr>
          </w:p>
          <w:p w14:paraId="1607BB53"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“There is no standardisation of teaching on IPC and AMR between the six medical schools, but they all include IPC and AMR related subjects within their curriculum. In nursing schools, IPC is part of the curriculum but without focus on AMR” p15</w:t>
            </w:r>
          </w:p>
          <w:p w14:paraId="41AA1207" w14:textId="77777777" w:rsidR="00D82224" w:rsidRPr="009B561A" w:rsidRDefault="00D82224" w:rsidP="009B561A">
            <w:pPr>
              <w:spacing w:line="276" w:lineRule="auto"/>
              <w:rPr>
                <w:rFonts w:ascii="Calibri" w:hAnsi="Calibri" w:cs="Calibri"/>
                <w:sz w:val="20"/>
                <w:szCs w:val="20"/>
              </w:rPr>
            </w:pPr>
          </w:p>
          <w:p w14:paraId="34827D32"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“At local hospital level, regular review of the AMR situation seems to be less well established” p11</w:t>
            </w:r>
          </w:p>
          <w:p w14:paraId="0D09BB2A" w14:textId="77777777" w:rsidR="00D82224" w:rsidRPr="009B561A" w:rsidRDefault="00D82224" w:rsidP="009B561A">
            <w:pPr>
              <w:spacing w:line="276" w:lineRule="auto"/>
              <w:rPr>
                <w:rFonts w:ascii="Calibri" w:hAnsi="Calibri" w:cs="Calibri"/>
                <w:color w:val="FF0000"/>
                <w:sz w:val="20"/>
                <w:szCs w:val="20"/>
              </w:rPr>
            </w:pPr>
          </w:p>
          <w:p w14:paraId="495DDF1F"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“the implementation plan for 2019-2020 acknowledges that several of the actions assigned to HSE are not achievable within the proposed timeframe and funding” p6</w:t>
            </w:r>
          </w:p>
        </w:tc>
      </w:tr>
      <w:tr w:rsidR="00D82224" w:rsidRPr="009B561A" w14:paraId="1C9626D9" w14:textId="77777777" w:rsidTr="0087653A">
        <w:tc>
          <w:tcPr>
            <w:tcW w:w="531" w:type="dxa"/>
          </w:tcPr>
          <w:p w14:paraId="54B958CE" w14:textId="77777777" w:rsidR="00D82224" w:rsidRPr="009B561A" w:rsidRDefault="00D82224" w:rsidP="009B561A">
            <w:pPr>
              <w:spacing w:line="276" w:lineRule="auto"/>
              <w:rPr>
                <w:rFonts w:ascii="Calibri" w:hAnsi="Calibri" w:cs="Calibri"/>
                <w:color w:val="000000" w:themeColor="text1"/>
                <w:sz w:val="20"/>
                <w:szCs w:val="20"/>
                <w:highlight w:val="cyan"/>
              </w:rPr>
            </w:pPr>
            <w:r w:rsidRPr="009B561A">
              <w:rPr>
                <w:rFonts w:ascii="Calibri" w:hAnsi="Calibri" w:cs="Calibri"/>
                <w:color w:val="000000" w:themeColor="text1"/>
                <w:sz w:val="20"/>
                <w:szCs w:val="20"/>
              </w:rPr>
              <w:t>5</w:t>
            </w:r>
          </w:p>
        </w:tc>
        <w:tc>
          <w:tcPr>
            <w:tcW w:w="3574" w:type="dxa"/>
          </w:tcPr>
          <w:p w14:paraId="6590A8BB" w14:textId="40D4B034" w:rsidR="00D82224" w:rsidRPr="002D403F" w:rsidRDefault="00D82224" w:rsidP="009B561A">
            <w:pPr>
              <w:spacing w:line="276" w:lineRule="auto"/>
              <w:rPr>
                <w:rFonts w:ascii="Calibri" w:hAnsi="Calibri" w:cs="Calibri"/>
                <w:sz w:val="20"/>
                <w:szCs w:val="20"/>
                <w:vertAlign w:val="superscript"/>
              </w:rPr>
            </w:pPr>
            <w:r w:rsidRPr="002D403F">
              <w:rPr>
                <w:rFonts w:ascii="Calibri" w:hAnsi="Calibri" w:cs="Calibri"/>
                <w:b/>
                <w:bCs/>
                <w:noProof/>
                <w:sz w:val="20"/>
                <w:szCs w:val="20"/>
              </w:rPr>
              <w:t xml:space="preserve">HSE Antimicrobial Resistance and Infection Control Team (AMRIC). </w:t>
            </w:r>
            <w:r w:rsidR="00B65758" w:rsidRPr="002D403F">
              <w:rPr>
                <w:rFonts w:ascii="Calibri" w:hAnsi="Calibri" w:cs="Calibri"/>
                <w:b/>
                <w:bCs/>
                <w:noProof/>
                <w:sz w:val="20"/>
                <w:szCs w:val="20"/>
              </w:rPr>
              <w:fldChar w:fldCharType="begin" w:fldLock="1"/>
            </w:r>
            <w:r w:rsidR="00B65758" w:rsidRPr="002D403F">
              <w:rPr>
                <w:rFonts w:ascii="Calibri" w:hAnsi="Calibri" w:cs="Calibri"/>
                <w:b/>
                <w:bCs/>
                <w:noProof/>
                <w:sz w:val="20"/>
                <w:szCs w:val="20"/>
              </w:rPr>
              <w:instrText>ADDIN CSL_CITATION {"citationItems":[{"id":"ITEM-1","itemData":{"id":"ITEM-1","issued":{"date-parts":[["2018"]]},"title":"HSE Antimicrobial Resistance and Infection Control Team (AMRIC). Performance Assurance Process for key Performance Indicators For HCAI AMR in Acute Hospitals. 2018","type":"report"},"uris":["http://www.mendeley.com/documents/?uuid=da444858-acb3-4d45-8606-6f72f6b1a8bf"]}],"mendeley":{"formattedCitation":"(12)","plainTextFormattedCitation":"(12)","previouslyFormattedCitation":"(12)"},"properties":{"noteIndex":0},"schema":"https://github.com/citation-style-language/schema/raw/master/csl-citation.json"}</w:instrText>
            </w:r>
            <w:r w:rsidR="00B65758" w:rsidRPr="002D403F">
              <w:rPr>
                <w:rFonts w:ascii="Calibri" w:hAnsi="Calibri" w:cs="Calibri"/>
                <w:b/>
                <w:bCs/>
                <w:noProof/>
                <w:sz w:val="20"/>
                <w:szCs w:val="20"/>
              </w:rPr>
              <w:fldChar w:fldCharType="separate"/>
            </w:r>
            <w:r w:rsidR="003B41F8" w:rsidRPr="002D403F">
              <w:rPr>
                <w:rFonts w:ascii="Calibri" w:hAnsi="Calibri" w:cs="Calibri"/>
                <w:bCs/>
                <w:noProof/>
                <w:sz w:val="20"/>
                <w:szCs w:val="20"/>
              </w:rPr>
              <w:t>[</w:t>
            </w:r>
            <w:r w:rsidR="00B65758" w:rsidRPr="002D403F">
              <w:rPr>
                <w:rFonts w:ascii="Calibri" w:hAnsi="Calibri" w:cs="Calibri"/>
                <w:bCs/>
                <w:noProof/>
                <w:sz w:val="20"/>
                <w:szCs w:val="20"/>
              </w:rPr>
              <w:t>12</w:t>
            </w:r>
            <w:r w:rsidR="003B41F8" w:rsidRPr="002D403F">
              <w:rPr>
                <w:rFonts w:ascii="Calibri" w:hAnsi="Calibri" w:cs="Calibri"/>
                <w:bCs/>
                <w:noProof/>
                <w:sz w:val="20"/>
                <w:szCs w:val="20"/>
              </w:rPr>
              <w:t>]</w:t>
            </w:r>
            <w:r w:rsidR="00B65758" w:rsidRPr="002D403F">
              <w:rPr>
                <w:rFonts w:ascii="Calibri" w:hAnsi="Calibri" w:cs="Calibri"/>
                <w:b/>
                <w:bCs/>
                <w:noProof/>
                <w:sz w:val="20"/>
                <w:szCs w:val="20"/>
              </w:rPr>
              <w:fldChar w:fldCharType="end"/>
            </w:r>
            <w:r w:rsidR="002D403F" w:rsidRPr="002D403F">
              <w:rPr>
                <w:rFonts w:ascii="Calibri" w:hAnsi="Calibri" w:cs="Calibri"/>
                <w:noProof/>
                <w:sz w:val="20"/>
                <w:szCs w:val="20"/>
              </w:rPr>
              <w:t xml:space="preserve"> </w:t>
            </w:r>
            <w:r w:rsidRPr="002D403F">
              <w:rPr>
                <w:rFonts w:ascii="Calibri" w:hAnsi="Calibri" w:cs="Calibri"/>
                <w:noProof/>
                <w:sz w:val="20"/>
                <w:szCs w:val="20"/>
              </w:rPr>
              <w:t>PERFORMANCE ASSURANCE PROCESS FOR KEY PERFORMANCE INDICATORS FOR HCAI AMR IN ACUTE HOSPITALS. 2018</w:t>
            </w:r>
            <w:r w:rsidRPr="002D403F">
              <w:rPr>
                <w:rFonts w:ascii="Calibri" w:hAnsi="Calibri" w:cs="Calibri"/>
                <w:b/>
                <w:bCs/>
                <w:sz w:val="20"/>
                <w:szCs w:val="20"/>
              </w:rPr>
              <w:t xml:space="preserve"> </w:t>
            </w:r>
          </w:p>
          <w:p w14:paraId="79A5FC3A" w14:textId="77777777" w:rsidR="00D82224" w:rsidRPr="002D403F" w:rsidRDefault="00D82224" w:rsidP="009B561A">
            <w:pPr>
              <w:spacing w:line="276" w:lineRule="auto"/>
              <w:rPr>
                <w:rFonts w:ascii="Calibri" w:eastAsia="Times New Roman" w:hAnsi="Calibri" w:cs="Calibri"/>
                <w:b/>
                <w:bCs/>
                <w:color w:val="0070C0"/>
                <w:sz w:val="20"/>
                <w:szCs w:val="20"/>
                <w:lang w:eastAsia="en-IE"/>
              </w:rPr>
            </w:pPr>
            <w:r w:rsidRPr="002D403F">
              <w:rPr>
                <w:rFonts w:ascii="Calibri" w:hAnsi="Calibri" w:cs="Calibri"/>
                <w:b/>
                <w:bCs/>
                <w:sz w:val="20"/>
                <w:szCs w:val="20"/>
              </w:rPr>
              <w:t>*Links with Tables SRC B&amp;C</w:t>
            </w:r>
          </w:p>
        </w:tc>
        <w:tc>
          <w:tcPr>
            <w:tcW w:w="3828" w:type="dxa"/>
          </w:tcPr>
          <w:p w14:paraId="6FCA254B" w14:textId="77777777" w:rsidR="00D82224" w:rsidRPr="009B561A" w:rsidRDefault="00D82224" w:rsidP="009B561A">
            <w:pPr>
              <w:spacing w:line="276" w:lineRule="auto"/>
              <w:rPr>
                <w:rFonts w:ascii="Calibri" w:hAnsi="Calibri" w:cs="Calibri"/>
                <w:b/>
                <w:bCs/>
                <w:color w:val="FF0000"/>
                <w:sz w:val="20"/>
                <w:szCs w:val="20"/>
                <w:highlight w:val="cyan"/>
              </w:rPr>
            </w:pPr>
            <w:r w:rsidRPr="009B561A">
              <w:rPr>
                <w:rFonts w:ascii="Calibri" w:hAnsi="Calibri" w:cs="Calibri"/>
                <w:sz w:val="20"/>
                <w:szCs w:val="20"/>
              </w:rPr>
              <w:t>A performance assurance process has been developed for KPI reporting, management and escalation in the acute hospital setting and is outlined in the document</w:t>
            </w:r>
          </w:p>
        </w:tc>
        <w:tc>
          <w:tcPr>
            <w:tcW w:w="6237" w:type="dxa"/>
          </w:tcPr>
          <w:p w14:paraId="3905A190"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Draft term of reference of Hospital group infection prevention and control/AMS committee</w:t>
            </w:r>
          </w:p>
          <w:p w14:paraId="2813D9C5" w14:textId="77777777" w:rsidR="00D82224" w:rsidRPr="009B561A" w:rsidRDefault="00D82224" w:rsidP="009B561A">
            <w:pPr>
              <w:spacing w:line="276" w:lineRule="auto"/>
              <w:rPr>
                <w:rFonts w:ascii="Calibri" w:hAnsi="Calibri" w:cs="Calibri"/>
                <w:b/>
                <w:bCs/>
                <w:color w:val="FF0000"/>
                <w:sz w:val="20"/>
                <w:szCs w:val="20"/>
              </w:rPr>
            </w:pPr>
            <w:r w:rsidRPr="009B561A">
              <w:rPr>
                <w:rFonts w:ascii="Calibri" w:hAnsi="Calibri" w:cs="Calibri"/>
                <w:sz w:val="20"/>
                <w:szCs w:val="20"/>
              </w:rPr>
              <w:t>Proposed governance Infection Prevention &amp; Control/ Antimicrobial Surveillance</w:t>
            </w:r>
          </w:p>
        </w:tc>
      </w:tr>
      <w:tr w:rsidR="00D82224" w:rsidRPr="009B561A" w14:paraId="15748A30" w14:textId="77777777" w:rsidTr="0087653A">
        <w:tc>
          <w:tcPr>
            <w:tcW w:w="531" w:type="dxa"/>
          </w:tcPr>
          <w:p w14:paraId="475D02DC"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6</w:t>
            </w:r>
          </w:p>
        </w:tc>
        <w:tc>
          <w:tcPr>
            <w:tcW w:w="3574" w:type="dxa"/>
          </w:tcPr>
          <w:p w14:paraId="56439C52" w14:textId="2C8A3277" w:rsidR="00D82224" w:rsidRPr="002D403F" w:rsidRDefault="00D82224" w:rsidP="009B561A">
            <w:pPr>
              <w:spacing w:line="276" w:lineRule="auto"/>
              <w:rPr>
                <w:rFonts w:ascii="Calibri" w:hAnsi="Calibri" w:cs="Calibri"/>
                <w:color w:val="000000" w:themeColor="text1"/>
                <w:sz w:val="20"/>
                <w:szCs w:val="20"/>
              </w:rPr>
            </w:pPr>
            <w:r w:rsidRPr="002D403F">
              <w:rPr>
                <w:rFonts w:ascii="Calibri" w:hAnsi="Calibri" w:cs="Calibri"/>
                <w:b/>
                <w:bCs/>
                <w:color w:val="000000" w:themeColor="text1"/>
                <w:sz w:val="20"/>
                <w:szCs w:val="20"/>
              </w:rPr>
              <w:t>Health Information and Quality Authority (HIQA) (2018)</w:t>
            </w:r>
            <w:r w:rsidRPr="002D403F">
              <w:rPr>
                <w:rFonts w:ascii="Calibri" w:hAnsi="Calibri" w:cs="Calibri"/>
                <w:color w:val="000000" w:themeColor="text1"/>
                <w:sz w:val="20"/>
                <w:szCs w:val="20"/>
              </w:rPr>
              <w:t xml:space="preserve"> National Standards for infection prevention and control in community services. Dublin: HIQA </w:t>
            </w:r>
            <w:r w:rsidR="00B65758" w:rsidRPr="002D403F">
              <w:rPr>
                <w:rFonts w:ascii="Calibri" w:hAnsi="Calibri" w:cs="Calibri"/>
                <w:color w:val="000000" w:themeColor="text1"/>
                <w:sz w:val="20"/>
                <w:szCs w:val="20"/>
              </w:rPr>
              <w:fldChar w:fldCharType="begin" w:fldLock="1"/>
            </w:r>
            <w:r w:rsidR="00B65758" w:rsidRPr="002D403F">
              <w:rPr>
                <w:rFonts w:ascii="Calibri" w:hAnsi="Calibri" w:cs="Calibri"/>
                <w:color w:val="000000" w:themeColor="text1"/>
                <w:sz w:val="20"/>
                <w:szCs w:val="20"/>
              </w:rPr>
              <w:instrText>ADDIN CSL_CITATION {"citationItems":[{"id":"ITEM-1","itemData":{"ISBN":"0504523163","author":[{"dropping-particle":"","family":"Health Information and Quality Authority (HIQA)","given":"","non-dropping-particle":"","parse-names":false,"suffix":""}],"id":"ITEM-1","issue":"21","issued":{"date-parts":[["2018"]]},"number-of-pages":"1-9","title":"National Standards for infection prevention and control in community services.","type":"report"},"uris":["http://www.mendeley.com/documents/?uuid=961a001c-6690-4353-a64f-694be2317465"]}],"mendeley":{"formattedCitation":"(13)","plainTextFormattedCitation":"(13)","previouslyFormattedCitation":"(13)"},"properties":{"noteIndex":0},"schema":"https://github.com/citation-style-language/schema/raw/master/csl-citation.json"}</w:instrText>
            </w:r>
            <w:r w:rsidR="00B65758" w:rsidRPr="002D403F">
              <w:rPr>
                <w:rFonts w:ascii="Calibri" w:hAnsi="Calibri" w:cs="Calibri"/>
                <w:color w:val="000000" w:themeColor="text1"/>
                <w:sz w:val="20"/>
                <w:szCs w:val="20"/>
              </w:rPr>
              <w:fldChar w:fldCharType="separate"/>
            </w:r>
            <w:r w:rsidR="003B41F8" w:rsidRPr="002D403F">
              <w:rPr>
                <w:rFonts w:ascii="Calibri" w:hAnsi="Calibri" w:cs="Calibri"/>
                <w:noProof/>
                <w:color w:val="000000" w:themeColor="text1"/>
                <w:sz w:val="20"/>
                <w:szCs w:val="20"/>
              </w:rPr>
              <w:t>[</w:t>
            </w:r>
            <w:r w:rsidR="00B65758" w:rsidRPr="002D403F">
              <w:rPr>
                <w:rFonts w:ascii="Calibri" w:hAnsi="Calibri" w:cs="Calibri"/>
                <w:noProof/>
                <w:color w:val="000000" w:themeColor="text1"/>
                <w:sz w:val="20"/>
                <w:szCs w:val="20"/>
              </w:rPr>
              <w:t>13</w:t>
            </w:r>
            <w:r w:rsidR="003B41F8" w:rsidRPr="002D403F">
              <w:rPr>
                <w:rFonts w:ascii="Calibri" w:hAnsi="Calibri" w:cs="Calibri"/>
                <w:noProof/>
                <w:color w:val="000000" w:themeColor="text1"/>
                <w:sz w:val="20"/>
                <w:szCs w:val="20"/>
              </w:rPr>
              <w:t>]</w:t>
            </w:r>
            <w:r w:rsidR="00B65758" w:rsidRPr="002D403F">
              <w:rPr>
                <w:rFonts w:ascii="Calibri" w:hAnsi="Calibri" w:cs="Calibri"/>
                <w:color w:val="000000" w:themeColor="text1"/>
                <w:sz w:val="20"/>
                <w:szCs w:val="20"/>
              </w:rPr>
              <w:fldChar w:fldCharType="end"/>
            </w:r>
            <w:r w:rsidR="002D403F" w:rsidRPr="002D403F">
              <w:rPr>
                <w:rFonts w:ascii="Calibri" w:hAnsi="Calibri" w:cs="Calibri"/>
                <w:color w:val="000000" w:themeColor="text1"/>
                <w:sz w:val="20"/>
                <w:szCs w:val="20"/>
              </w:rPr>
              <w:t xml:space="preserve"> </w:t>
            </w:r>
          </w:p>
          <w:p w14:paraId="7AD0CCED" w14:textId="77777777" w:rsidR="00D82224" w:rsidRPr="002D403F" w:rsidRDefault="00D82224" w:rsidP="009B561A">
            <w:pPr>
              <w:spacing w:line="276" w:lineRule="auto"/>
              <w:rPr>
                <w:rFonts w:ascii="Calibri" w:eastAsia="Times New Roman" w:hAnsi="Calibri" w:cs="Calibri"/>
                <w:b/>
                <w:bCs/>
                <w:color w:val="000000" w:themeColor="text1"/>
                <w:sz w:val="20"/>
                <w:szCs w:val="20"/>
                <w:lang w:eastAsia="en-IE"/>
              </w:rPr>
            </w:pPr>
            <w:r w:rsidRPr="002D403F">
              <w:rPr>
                <w:rFonts w:ascii="Calibri" w:hAnsi="Calibri" w:cs="Calibri"/>
                <w:b/>
                <w:bCs/>
                <w:color w:val="000000" w:themeColor="text1"/>
                <w:sz w:val="20"/>
                <w:szCs w:val="20"/>
              </w:rPr>
              <w:t xml:space="preserve">*Links with Tables </w:t>
            </w:r>
            <w:r w:rsidRPr="002D403F">
              <w:rPr>
                <w:rFonts w:ascii="Calibri" w:hAnsi="Calibri" w:cs="Calibri"/>
                <w:b/>
                <w:bCs/>
                <w:sz w:val="20"/>
                <w:szCs w:val="20"/>
              </w:rPr>
              <w:t>SRC</w:t>
            </w:r>
            <w:r w:rsidRPr="002D403F">
              <w:rPr>
                <w:rFonts w:ascii="Calibri" w:hAnsi="Calibri" w:cs="Calibri"/>
                <w:b/>
                <w:bCs/>
                <w:color w:val="000000" w:themeColor="text1"/>
                <w:sz w:val="20"/>
                <w:szCs w:val="20"/>
              </w:rPr>
              <w:t xml:space="preserve"> C&amp; D</w:t>
            </w:r>
          </w:p>
        </w:tc>
        <w:tc>
          <w:tcPr>
            <w:tcW w:w="3828" w:type="dxa"/>
          </w:tcPr>
          <w:p w14:paraId="3752A9D1" w14:textId="77777777" w:rsidR="00D82224" w:rsidRPr="009B561A" w:rsidRDefault="00D82224" w:rsidP="009B561A">
            <w:pPr>
              <w:spacing w:line="276" w:lineRule="auto"/>
              <w:rPr>
                <w:rFonts w:ascii="Calibri" w:hAnsi="Calibri" w:cs="Calibri"/>
                <w:color w:val="FF0000"/>
                <w:sz w:val="20"/>
                <w:szCs w:val="20"/>
                <w:highlight w:val="cyan"/>
                <w:shd w:val="clear" w:color="auto" w:fill="FFFFFF"/>
              </w:rPr>
            </w:pPr>
            <w:r w:rsidRPr="009B561A">
              <w:rPr>
                <w:rFonts w:ascii="Calibri" w:hAnsi="Calibri" w:cs="Calibri"/>
                <w:sz w:val="20"/>
                <w:szCs w:val="20"/>
              </w:rPr>
              <w:t>The purpose of the standards is not to set out specific clinical practice detail, which is best described in clinical practice guidance, which includes clinical guidelines</w:t>
            </w:r>
          </w:p>
        </w:tc>
        <w:tc>
          <w:tcPr>
            <w:tcW w:w="6237" w:type="dxa"/>
          </w:tcPr>
          <w:p w14:paraId="79498B5E"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sz w:val="20"/>
                <w:szCs w:val="20"/>
                <w:shd w:val="clear" w:color="auto" w:fill="FFFFFF"/>
              </w:rPr>
              <w:t>HIQA developed new standards for infection control and prevention for community health and social care services in 2018</w:t>
            </w:r>
          </w:p>
        </w:tc>
      </w:tr>
      <w:tr w:rsidR="00D82224" w:rsidRPr="009B561A" w14:paraId="72FEA5E2" w14:textId="77777777" w:rsidTr="0087653A">
        <w:tc>
          <w:tcPr>
            <w:tcW w:w="531" w:type="dxa"/>
          </w:tcPr>
          <w:p w14:paraId="32E622C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7</w:t>
            </w:r>
          </w:p>
        </w:tc>
        <w:tc>
          <w:tcPr>
            <w:tcW w:w="3574" w:type="dxa"/>
          </w:tcPr>
          <w:p w14:paraId="41D16092" w14:textId="09679AAD" w:rsidR="00D82224" w:rsidRPr="008C0FFE" w:rsidRDefault="00D82224" w:rsidP="009B561A">
            <w:pPr>
              <w:spacing w:after="160" w:line="276" w:lineRule="auto"/>
              <w:rPr>
                <w:rFonts w:ascii="Calibri" w:hAnsi="Calibri" w:cs="Calibri"/>
                <w:noProof/>
                <w:kern w:val="2"/>
                <w:sz w:val="20"/>
                <w:szCs w:val="20"/>
                <w14:ligatures w14:val="standardContextual"/>
              </w:rPr>
            </w:pPr>
            <w:r w:rsidRPr="008C0FFE">
              <w:rPr>
                <w:rFonts w:ascii="Calibri" w:hAnsi="Calibri" w:cs="Calibri"/>
                <w:b/>
                <w:bCs/>
                <w:noProof/>
                <w:kern w:val="2"/>
                <w:sz w:val="20"/>
                <w:szCs w:val="20"/>
                <w14:ligatures w14:val="standardContextual"/>
              </w:rPr>
              <w:t xml:space="preserve">Health Service Executive (HSE) </w:t>
            </w:r>
            <w:r w:rsidRPr="008C0FFE">
              <w:rPr>
                <w:rFonts w:ascii="Calibri" w:hAnsi="Calibri" w:cs="Calibri"/>
                <w:noProof/>
                <w:kern w:val="2"/>
                <w:sz w:val="20"/>
                <w:szCs w:val="20"/>
                <w14:ligatures w14:val="standardContextual"/>
              </w:rPr>
              <w:t xml:space="preserve">Quality Improvement Division. Recommendations for Implementation of Key Performance Indicators for </w:t>
            </w:r>
            <w:r w:rsidRPr="008C0FFE">
              <w:rPr>
                <w:rFonts w:ascii="Calibri" w:hAnsi="Calibri" w:cs="Calibri"/>
                <w:noProof/>
                <w:kern w:val="2"/>
                <w:sz w:val="20"/>
                <w:szCs w:val="20"/>
                <w14:ligatures w14:val="standardContextual"/>
              </w:rPr>
              <w:lastRenderedPageBreak/>
              <w:t xml:space="preserve">Antimicrobial Stewardship in Acute Hospitals in Ireland 2017 </w:t>
            </w:r>
            <w:r w:rsidR="00B65758" w:rsidRPr="008C0FFE">
              <w:rPr>
                <w:rFonts w:ascii="Calibri" w:hAnsi="Calibri" w:cs="Calibri"/>
                <w:noProof/>
                <w:sz w:val="20"/>
                <w:szCs w:val="20"/>
              </w:rPr>
              <w:fldChar w:fldCharType="begin" w:fldLock="1"/>
            </w:r>
            <w:r w:rsidR="00B65758" w:rsidRPr="008C0FFE">
              <w:rPr>
                <w:rFonts w:ascii="Calibri" w:hAnsi="Calibri" w:cs="Calibri"/>
                <w:noProof/>
                <w:kern w:val="2"/>
                <w:sz w:val="20"/>
                <w:szCs w:val="20"/>
                <w14:ligatures w14:val="standardContextual"/>
              </w:rPr>
              <w:instrText>ADDIN CSL_CITATION {"citationItems":[{"id":"ITEM-1","itemData":{"author":[{"dropping-particle":"","family":"Health Service Executive (HSE) Quality Improvement Division.","given":"","non-dropping-particle":"","parse-names":false,"suffix":""}],"id":"ITEM-1","issued":{"date-parts":[["2017"]]},"title":"Quality Improvement Division. Recommendations for Implementation of Key Performance Indicators for Antimicrobial Stewardship in Acute Hospitals in Ireland . 2017","type":"report"},"uris":["http://www.mendeley.com/documents/?uuid=d5f1767e-8c10-4e8f-916a-3bc4549fad27"]}],"mendeley":{"formattedCitation":"(14)","plainTextFormattedCitation":"(14)","previouslyFormattedCitation":"(14)"},"properties":{"noteIndex":0},"schema":"https://github.com/citation-style-language/schema/raw/master/csl-citation.json"}</w:instrText>
            </w:r>
            <w:r w:rsidR="00B65758" w:rsidRPr="008C0FFE">
              <w:rPr>
                <w:rFonts w:ascii="Calibri" w:hAnsi="Calibri" w:cs="Calibri"/>
                <w:noProof/>
                <w:sz w:val="20"/>
                <w:szCs w:val="20"/>
              </w:rPr>
              <w:fldChar w:fldCharType="separate"/>
            </w:r>
            <w:r w:rsidR="003B41F8" w:rsidRPr="008C0FFE">
              <w:rPr>
                <w:rFonts w:ascii="Calibri" w:hAnsi="Calibri" w:cs="Calibri"/>
                <w:noProof/>
                <w:kern w:val="2"/>
                <w:sz w:val="20"/>
                <w:szCs w:val="20"/>
                <w14:ligatures w14:val="standardContextual"/>
              </w:rPr>
              <w:t>[</w:t>
            </w:r>
            <w:r w:rsidR="00B65758" w:rsidRPr="008C0FFE">
              <w:rPr>
                <w:rFonts w:ascii="Calibri" w:hAnsi="Calibri" w:cs="Calibri"/>
                <w:noProof/>
                <w:kern w:val="2"/>
                <w:sz w:val="20"/>
                <w:szCs w:val="20"/>
                <w14:ligatures w14:val="standardContextual"/>
              </w:rPr>
              <w:t>14</w:t>
            </w:r>
            <w:r w:rsidR="003B41F8" w:rsidRPr="008C0FFE">
              <w:rPr>
                <w:rFonts w:ascii="Calibri" w:hAnsi="Calibri" w:cs="Calibri"/>
                <w:noProof/>
                <w:kern w:val="2"/>
                <w:sz w:val="20"/>
                <w:szCs w:val="20"/>
                <w14:ligatures w14:val="standardContextual"/>
              </w:rPr>
              <w:t>]</w:t>
            </w:r>
            <w:r w:rsidR="00B65758" w:rsidRPr="008C0FFE">
              <w:rPr>
                <w:rFonts w:ascii="Calibri" w:hAnsi="Calibri" w:cs="Calibri"/>
                <w:noProof/>
                <w:sz w:val="20"/>
                <w:szCs w:val="20"/>
              </w:rPr>
              <w:fldChar w:fldCharType="end"/>
            </w:r>
            <w:r w:rsidR="008C0FFE" w:rsidRPr="008C0FFE">
              <w:rPr>
                <w:rFonts w:ascii="Calibri" w:hAnsi="Calibri" w:cs="Calibri"/>
                <w:noProof/>
                <w:kern w:val="2"/>
                <w:sz w:val="20"/>
                <w:szCs w:val="20"/>
                <w14:ligatures w14:val="standardContextual"/>
              </w:rPr>
              <w:t xml:space="preserve"> </w:t>
            </w:r>
          </w:p>
          <w:p w14:paraId="18729BEE" w14:textId="77777777" w:rsidR="00D82224" w:rsidRPr="008C0FFE" w:rsidRDefault="00D82224" w:rsidP="009B561A">
            <w:pPr>
              <w:spacing w:after="160" w:line="276" w:lineRule="auto"/>
              <w:rPr>
                <w:rFonts w:ascii="Calibri" w:hAnsi="Calibri" w:cs="Calibri"/>
                <w:color w:val="000000" w:themeColor="text1"/>
                <w:sz w:val="20"/>
                <w:szCs w:val="20"/>
              </w:rPr>
            </w:pPr>
            <w:r w:rsidRPr="008C0FFE">
              <w:rPr>
                <w:rFonts w:ascii="Calibri" w:hAnsi="Calibri" w:cs="Calibri"/>
                <w:b/>
                <w:bCs/>
                <w:noProof/>
                <w:kern w:val="2"/>
                <w:sz w:val="20"/>
                <w:szCs w:val="20"/>
                <w14:ligatures w14:val="standardContextual"/>
              </w:rPr>
              <w:t xml:space="preserve"> </w:t>
            </w:r>
            <w:r w:rsidRPr="008C0FFE">
              <w:rPr>
                <w:rFonts w:ascii="Calibri" w:hAnsi="Calibri" w:cs="Calibri"/>
                <w:b/>
                <w:bCs/>
                <w:color w:val="000000" w:themeColor="text1"/>
                <w:sz w:val="20"/>
                <w:szCs w:val="20"/>
              </w:rPr>
              <w:t xml:space="preserve">*Links with Tables </w:t>
            </w:r>
            <w:r w:rsidRPr="008C0FFE">
              <w:rPr>
                <w:rFonts w:ascii="Calibri" w:hAnsi="Calibri" w:cs="Calibri"/>
                <w:b/>
                <w:bCs/>
                <w:sz w:val="20"/>
                <w:szCs w:val="20"/>
              </w:rPr>
              <w:t>SRC</w:t>
            </w:r>
            <w:r w:rsidRPr="008C0FFE">
              <w:rPr>
                <w:rFonts w:ascii="Calibri" w:hAnsi="Calibri" w:cs="Calibri"/>
                <w:b/>
                <w:bCs/>
                <w:color w:val="000000" w:themeColor="text1"/>
                <w:sz w:val="20"/>
                <w:szCs w:val="20"/>
              </w:rPr>
              <w:t xml:space="preserve"> B&amp;C</w:t>
            </w:r>
          </w:p>
        </w:tc>
        <w:tc>
          <w:tcPr>
            <w:tcW w:w="3828" w:type="dxa"/>
          </w:tcPr>
          <w:p w14:paraId="7FD4B999" w14:textId="77777777" w:rsidR="00D82224" w:rsidRPr="009B561A" w:rsidRDefault="00D82224" w:rsidP="009B561A">
            <w:pPr>
              <w:spacing w:line="276" w:lineRule="auto"/>
              <w:rPr>
                <w:rFonts w:ascii="Calibri" w:hAnsi="Calibri" w:cs="Calibri"/>
                <w:b/>
                <w:bCs/>
                <w:color w:val="FF0000"/>
                <w:sz w:val="20"/>
                <w:szCs w:val="20"/>
                <w:highlight w:val="cyan"/>
              </w:rPr>
            </w:pPr>
            <w:r w:rsidRPr="009B561A">
              <w:rPr>
                <w:rFonts w:ascii="Calibri" w:hAnsi="Calibri" w:cs="Calibri"/>
                <w:sz w:val="20"/>
                <w:szCs w:val="20"/>
              </w:rPr>
              <w:lastRenderedPageBreak/>
              <w:t>Process indicators (or KPIs) represent a means for individual hospitals to monitor their AMS program.</w:t>
            </w:r>
          </w:p>
        </w:tc>
        <w:tc>
          <w:tcPr>
            <w:tcW w:w="6237" w:type="dxa"/>
          </w:tcPr>
          <w:p w14:paraId="1EE10F01"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The following statements are relevant to our review</w:t>
            </w:r>
          </w:p>
          <w:p w14:paraId="3B096CE9"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sz w:val="20"/>
                <w:szCs w:val="20"/>
              </w:rPr>
              <w:t xml:space="preserve">“Hospitals - number of process indicators relevant to their </w:t>
            </w:r>
            <w:proofErr w:type="gramStart"/>
            <w:r w:rsidRPr="009B561A">
              <w:rPr>
                <w:rFonts w:ascii="Calibri" w:hAnsi="Calibri" w:cs="Calibri"/>
                <w:sz w:val="20"/>
                <w:szCs w:val="20"/>
              </w:rPr>
              <w:t>particular hospital</w:t>
            </w:r>
            <w:proofErr w:type="gramEnd"/>
            <w:r w:rsidRPr="009B561A">
              <w:rPr>
                <w:rFonts w:ascii="Calibri" w:hAnsi="Calibri" w:cs="Calibri"/>
                <w:sz w:val="20"/>
                <w:szCs w:val="20"/>
              </w:rPr>
              <w:t xml:space="preserve"> and AMS program, with targets based on local, regional and national data (e.g. based on national point prevalence surveys). </w:t>
            </w:r>
            <w:r w:rsidRPr="009B561A">
              <w:rPr>
                <w:rFonts w:ascii="Calibri" w:hAnsi="Calibri" w:cs="Calibri"/>
                <w:kern w:val="2"/>
                <w:sz w:val="20"/>
                <w:szCs w:val="20"/>
                <w14:ligatures w14:val="standardContextual"/>
              </w:rPr>
              <w:t>”p3</w:t>
            </w:r>
          </w:p>
          <w:p w14:paraId="73A3EE6C" w14:textId="77777777" w:rsidR="00D82224" w:rsidRPr="009B561A" w:rsidRDefault="00D82224" w:rsidP="009B561A">
            <w:pPr>
              <w:spacing w:line="276" w:lineRule="auto"/>
              <w:rPr>
                <w:rFonts w:ascii="Calibri" w:hAnsi="Calibri" w:cs="Calibri"/>
                <w:b/>
                <w:bCs/>
                <w:color w:val="FF0000"/>
                <w:sz w:val="20"/>
                <w:szCs w:val="20"/>
              </w:rPr>
            </w:pPr>
            <w:r w:rsidRPr="009B561A">
              <w:rPr>
                <w:rFonts w:ascii="Calibri" w:hAnsi="Calibri" w:cs="Calibri"/>
                <w:sz w:val="20"/>
                <w:szCs w:val="20"/>
              </w:rPr>
              <w:lastRenderedPageBreak/>
              <w:t>“Results from KPIs should be fed back to prescribers, wards, directorates and relevant committees within each hospital and form the basis of education and quality improvement initiatives</w:t>
            </w:r>
            <w:r w:rsidRPr="009B561A">
              <w:rPr>
                <w:rFonts w:ascii="Calibri" w:hAnsi="Calibri" w:cs="Calibri"/>
                <w:kern w:val="2"/>
                <w:sz w:val="20"/>
                <w:szCs w:val="20"/>
                <w14:ligatures w14:val="standardContextual"/>
              </w:rPr>
              <w:t>”</w:t>
            </w:r>
            <w:r w:rsidRPr="009B561A">
              <w:rPr>
                <w:rFonts w:ascii="Calibri" w:hAnsi="Calibri" w:cs="Calibri"/>
                <w:sz w:val="20"/>
                <w:szCs w:val="20"/>
              </w:rPr>
              <w:t>.p3</w:t>
            </w:r>
          </w:p>
        </w:tc>
      </w:tr>
      <w:tr w:rsidR="00D82224" w:rsidRPr="009B561A" w14:paraId="547AF63E" w14:textId="77777777" w:rsidTr="0087653A">
        <w:tc>
          <w:tcPr>
            <w:tcW w:w="531" w:type="dxa"/>
          </w:tcPr>
          <w:p w14:paraId="2E2ECAA9"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8</w:t>
            </w:r>
          </w:p>
        </w:tc>
        <w:tc>
          <w:tcPr>
            <w:tcW w:w="3574" w:type="dxa"/>
          </w:tcPr>
          <w:p w14:paraId="54217D1A" w14:textId="24CF5227" w:rsidR="00D82224" w:rsidRPr="008C0FFE" w:rsidRDefault="00D82224" w:rsidP="009B561A">
            <w:pPr>
              <w:autoSpaceDE w:val="0"/>
              <w:autoSpaceDN w:val="0"/>
              <w:adjustRightInd w:val="0"/>
              <w:spacing w:line="276" w:lineRule="auto"/>
              <w:rPr>
                <w:rFonts w:ascii="Calibri" w:hAnsi="Calibri" w:cs="Calibri"/>
                <w:sz w:val="20"/>
                <w:szCs w:val="20"/>
                <w:vertAlign w:val="superscript"/>
              </w:rPr>
            </w:pPr>
            <w:r w:rsidRPr="008C0FFE">
              <w:rPr>
                <w:rFonts w:ascii="Calibri" w:hAnsi="Calibri" w:cs="Calibri"/>
                <w:b/>
                <w:bCs/>
                <w:sz w:val="20"/>
                <w:szCs w:val="20"/>
              </w:rPr>
              <w:t>Department of Health (2017).</w:t>
            </w:r>
            <w:r w:rsidRPr="008C0FFE">
              <w:rPr>
                <w:rFonts w:ascii="Calibri" w:hAnsi="Calibri" w:cs="Calibri"/>
                <w:sz w:val="20"/>
                <w:szCs w:val="20"/>
              </w:rPr>
              <w:t xml:space="preserve"> Ireland’s National Action Plan on Antimicrobial Resistance 2017-2020. (</w:t>
            </w:r>
            <w:proofErr w:type="spellStart"/>
            <w:r w:rsidRPr="008C0FFE">
              <w:rPr>
                <w:rFonts w:ascii="Calibri" w:hAnsi="Calibri" w:cs="Calibri"/>
                <w:i/>
                <w:iCs/>
                <w:sz w:val="20"/>
                <w:szCs w:val="20"/>
              </w:rPr>
              <w:t>i</w:t>
            </w:r>
            <w:r w:rsidRPr="008C0FFE">
              <w:rPr>
                <w:rFonts w:ascii="Calibri" w:hAnsi="Calibri" w:cs="Calibri"/>
                <w:sz w:val="20"/>
                <w:szCs w:val="20"/>
              </w:rPr>
              <w:t>NAP</w:t>
            </w:r>
            <w:proofErr w:type="spellEnd"/>
            <w:r w:rsidRPr="008C0FFE">
              <w:rPr>
                <w:rFonts w:ascii="Calibri" w:hAnsi="Calibri" w:cs="Calibri"/>
                <w:sz w:val="20"/>
                <w:szCs w:val="20"/>
              </w:rPr>
              <w:t xml:space="preserve">) </w:t>
            </w:r>
            <w:r w:rsidR="00B65758" w:rsidRPr="008C0FFE">
              <w:rPr>
                <w:rFonts w:ascii="Calibri" w:hAnsi="Calibri" w:cs="Calibri"/>
                <w:sz w:val="20"/>
                <w:szCs w:val="20"/>
              </w:rPr>
              <w:fldChar w:fldCharType="begin" w:fldLock="1"/>
            </w:r>
            <w:r w:rsidR="00B65758" w:rsidRPr="008C0FFE">
              <w:rPr>
                <w:rFonts w:ascii="Calibri" w:hAnsi="Calibri" w:cs="Calibri"/>
                <w:sz w:val="20"/>
                <w:szCs w:val="20"/>
              </w:rPr>
              <w:instrText>ADDIN CSL_CITATION {"citationItems":[{"id":"ITEM-1","itemData":{"id":"ITEM-1","issued":{"date-parts":[["2017"]]},"title":"Department of Health (2017). Ireland’s National Action Plan on Antimicrobial Resistance 2017-2020. (iNAP) Available at http://health.gov.ie/national-patient-safety-office/patient-safety-surveillance/antimicrobialresistance- amr/","type":"report"},"uris":["http://www.mendeley.com/documents/?uuid=ad52018e-cc34-45c4-9921-5eb07a628f95"]}],"mendeley":{"formattedCitation":"(15)","plainTextFormattedCitation":"(15)","previouslyFormattedCitation":"(15)"},"properties":{"noteIndex":0},"schema":"https://github.com/citation-style-language/schema/raw/master/csl-citation.json"}</w:instrText>
            </w:r>
            <w:r w:rsidR="00B65758" w:rsidRPr="008C0FFE">
              <w:rPr>
                <w:rFonts w:ascii="Calibri" w:hAnsi="Calibri" w:cs="Calibri"/>
                <w:sz w:val="20"/>
                <w:szCs w:val="20"/>
              </w:rPr>
              <w:fldChar w:fldCharType="separate"/>
            </w:r>
            <w:r w:rsidR="003B41F8" w:rsidRPr="008C0FFE">
              <w:rPr>
                <w:rFonts w:ascii="Calibri" w:hAnsi="Calibri" w:cs="Calibri"/>
                <w:noProof/>
                <w:sz w:val="20"/>
                <w:szCs w:val="20"/>
              </w:rPr>
              <w:t>[</w:t>
            </w:r>
            <w:r w:rsidR="00B65758" w:rsidRPr="008C0FFE">
              <w:rPr>
                <w:rFonts w:ascii="Calibri" w:hAnsi="Calibri" w:cs="Calibri"/>
                <w:noProof/>
                <w:sz w:val="20"/>
                <w:szCs w:val="20"/>
              </w:rPr>
              <w:t>15</w:t>
            </w:r>
            <w:r w:rsidR="003B41F8" w:rsidRPr="008C0FFE">
              <w:rPr>
                <w:rFonts w:ascii="Calibri" w:hAnsi="Calibri" w:cs="Calibri"/>
                <w:noProof/>
                <w:sz w:val="20"/>
                <w:szCs w:val="20"/>
              </w:rPr>
              <w:t>]</w:t>
            </w:r>
            <w:r w:rsidR="00B65758" w:rsidRPr="008C0FFE">
              <w:rPr>
                <w:rFonts w:ascii="Calibri" w:hAnsi="Calibri" w:cs="Calibri"/>
                <w:sz w:val="20"/>
                <w:szCs w:val="20"/>
              </w:rPr>
              <w:fldChar w:fldCharType="end"/>
            </w:r>
            <w:r w:rsidR="008C0FFE" w:rsidRPr="008C0FFE">
              <w:rPr>
                <w:rFonts w:ascii="Calibri" w:hAnsi="Calibri" w:cs="Calibri"/>
                <w:sz w:val="20"/>
                <w:szCs w:val="20"/>
                <w:vertAlign w:val="superscript"/>
              </w:rPr>
              <w:t xml:space="preserve"> </w:t>
            </w:r>
          </w:p>
          <w:p w14:paraId="23C921C5" w14:textId="77777777" w:rsidR="00D82224" w:rsidRPr="008C0FFE" w:rsidRDefault="00D82224" w:rsidP="009B561A">
            <w:pPr>
              <w:autoSpaceDE w:val="0"/>
              <w:autoSpaceDN w:val="0"/>
              <w:adjustRightInd w:val="0"/>
              <w:spacing w:line="276" w:lineRule="auto"/>
              <w:rPr>
                <w:rFonts w:ascii="Calibri" w:hAnsi="Calibri" w:cs="Calibri"/>
                <w:color w:val="000000" w:themeColor="text1"/>
                <w:sz w:val="20"/>
                <w:szCs w:val="20"/>
              </w:rPr>
            </w:pPr>
          </w:p>
          <w:p w14:paraId="76213571" w14:textId="77777777" w:rsidR="00D82224" w:rsidRPr="008C0FFE" w:rsidRDefault="00D82224" w:rsidP="009B561A">
            <w:pPr>
              <w:spacing w:line="276" w:lineRule="auto"/>
              <w:rPr>
                <w:rFonts w:ascii="Calibri" w:hAnsi="Calibri" w:cs="Calibri"/>
                <w:color w:val="000000" w:themeColor="text1"/>
                <w:sz w:val="20"/>
                <w:szCs w:val="20"/>
              </w:rPr>
            </w:pPr>
            <w:r w:rsidRPr="008C0FFE">
              <w:rPr>
                <w:rFonts w:ascii="Calibri" w:hAnsi="Calibri" w:cs="Calibri"/>
                <w:b/>
                <w:bCs/>
                <w:color w:val="000000" w:themeColor="text1"/>
                <w:sz w:val="20"/>
                <w:szCs w:val="20"/>
              </w:rPr>
              <w:t>*Links with Tables</w:t>
            </w:r>
            <w:r w:rsidRPr="008C0FFE">
              <w:rPr>
                <w:rFonts w:ascii="Calibri" w:hAnsi="Calibri" w:cs="Calibri"/>
                <w:b/>
                <w:bCs/>
                <w:sz w:val="20"/>
                <w:szCs w:val="20"/>
              </w:rPr>
              <w:t xml:space="preserve"> SRC</w:t>
            </w:r>
            <w:r w:rsidRPr="008C0FFE">
              <w:rPr>
                <w:rFonts w:ascii="Calibri" w:hAnsi="Calibri" w:cs="Calibri"/>
                <w:b/>
                <w:bCs/>
                <w:color w:val="000000" w:themeColor="text1"/>
                <w:sz w:val="20"/>
                <w:szCs w:val="20"/>
              </w:rPr>
              <w:t xml:space="preserve"> B &amp;C</w:t>
            </w:r>
          </w:p>
        </w:tc>
        <w:tc>
          <w:tcPr>
            <w:tcW w:w="3828" w:type="dxa"/>
          </w:tcPr>
          <w:p w14:paraId="730C16B3" w14:textId="77777777" w:rsidR="00D82224" w:rsidRPr="009B561A" w:rsidRDefault="00D82224" w:rsidP="009B561A">
            <w:pPr>
              <w:spacing w:line="276" w:lineRule="auto"/>
              <w:rPr>
                <w:rFonts w:ascii="Calibri" w:hAnsi="Calibri" w:cs="Calibri"/>
                <w:color w:val="FF0000"/>
                <w:kern w:val="2"/>
                <w:sz w:val="20"/>
                <w:szCs w:val="20"/>
                <w:highlight w:val="cyan"/>
                <w14:ligatures w14:val="standardContextual"/>
              </w:rPr>
            </w:pPr>
            <w:r w:rsidRPr="009B561A">
              <w:rPr>
                <w:rFonts w:ascii="Calibri" w:hAnsi="Calibri" w:cs="Calibri"/>
                <w:sz w:val="20"/>
                <w:szCs w:val="20"/>
              </w:rPr>
              <w:t>Ireland’s first ‘One Health’ National Action Plan on Antimicrobial Resistance 2017-2020 (</w:t>
            </w:r>
            <w:proofErr w:type="spellStart"/>
            <w:r w:rsidRPr="009B561A">
              <w:rPr>
                <w:rFonts w:ascii="Calibri" w:hAnsi="Calibri" w:cs="Calibri"/>
                <w:sz w:val="20"/>
                <w:szCs w:val="20"/>
              </w:rPr>
              <w:t>iNAP</w:t>
            </w:r>
            <w:proofErr w:type="spellEnd"/>
            <w:r w:rsidRPr="009B561A">
              <w:rPr>
                <w:rFonts w:ascii="Calibri" w:hAnsi="Calibri" w:cs="Calibri"/>
                <w:sz w:val="20"/>
                <w:szCs w:val="20"/>
              </w:rPr>
              <w:t>) aimed at tackling the serious and increasing threat posed by antimicrobial resistance (AMR).</w:t>
            </w:r>
          </w:p>
        </w:tc>
        <w:tc>
          <w:tcPr>
            <w:tcW w:w="6237" w:type="dxa"/>
          </w:tcPr>
          <w:p w14:paraId="31CFCB89"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kern w:val="2"/>
                <w:sz w:val="20"/>
                <w:szCs w:val="20"/>
                <w14:ligatures w14:val="standardContextual"/>
              </w:rPr>
              <w:t xml:space="preserve">The aim of </w:t>
            </w:r>
            <w:proofErr w:type="spellStart"/>
            <w:r w:rsidRPr="009B561A">
              <w:rPr>
                <w:rFonts w:ascii="Calibri" w:hAnsi="Calibri" w:cs="Calibri"/>
                <w:i/>
                <w:iCs/>
                <w:sz w:val="20"/>
                <w:szCs w:val="20"/>
              </w:rPr>
              <w:t>i</w:t>
            </w:r>
            <w:r w:rsidRPr="009B561A">
              <w:rPr>
                <w:rFonts w:ascii="Calibri" w:hAnsi="Calibri" w:cs="Calibri"/>
                <w:sz w:val="20"/>
                <w:szCs w:val="20"/>
              </w:rPr>
              <w:t>NAP</w:t>
            </w:r>
            <w:proofErr w:type="spellEnd"/>
            <w:r w:rsidRPr="009B561A">
              <w:rPr>
                <w:rFonts w:ascii="Calibri" w:hAnsi="Calibri" w:cs="Calibri"/>
                <w:sz w:val="20"/>
                <w:szCs w:val="20"/>
              </w:rPr>
              <w:t xml:space="preserve">: </w:t>
            </w:r>
          </w:p>
          <w:p w14:paraId="0BC02003" w14:textId="77777777" w:rsidR="00D82224" w:rsidRPr="009B561A" w:rsidRDefault="00D82224" w:rsidP="009B561A">
            <w:pPr>
              <w:spacing w:line="276" w:lineRule="auto"/>
              <w:rPr>
                <w:rFonts w:ascii="Calibri" w:hAnsi="Calibri" w:cs="Calibri"/>
                <w:sz w:val="20"/>
                <w:szCs w:val="20"/>
              </w:rPr>
            </w:pPr>
          </w:p>
          <w:p w14:paraId="6498D360" w14:textId="77777777" w:rsidR="00D82224" w:rsidRPr="009B561A" w:rsidRDefault="00D82224" w:rsidP="009B561A">
            <w:pPr>
              <w:spacing w:line="276" w:lineRule="auto"/>
              <w:rPr>
                <w:rFonts w:ascii="Calibri" w:hAnsi="Calibri" w:cs="Calibri"/>
                <w:kern w:val="2"/>
                <w:sz w:val="20"/>
                <w:szCs w:val="20"/>
                <w14:ligatures w14:val="standardContextual"/>
              </w:rPr>
            </w:pPr>
            <w:r w:rsidRPr="009B561A">
              <w:rPr>
                <w:rFonts w:ascii="Calibri" w:hAnsi="Calibri" w:cs="Calibri"/>
                <w:b/>
                <w:bCs/>
                <w:kern w:val="2"/>
                <w:sz w:val="20"/>
                <w:szCs w:val="20"/>
                <w14:ligatures w14:val="standardContextual"/>
              </w:rPr>
              <w:t>“Improve awareness and knowledge of AMR</w:t>
            </w:r>
            <w:r w:rsidRPr="009B561A">
              <w:rPr>
                <w:rFonts w:ascii="Calibri" w:hAnsi="Calibri" w:cs="Calibri"/>
                <w:kern w:val="2"/>
                <w:sz w:val="20"/>
                <w:szCs w:val="20"/>
                <w14:ligatures w14:val="standardContextual"/>
              </w:rPr>
              <w:t xml:space="preserve"> through information campaigns, education, intelligence and data”</w:t>
            </w:r>
            <w:r w:rsidRPr="009B561A">
              <w:rPr>
                <w:rFonts w:ascii="Calibri" w:hAnsi="Calibri" w:cs="Calibri"/>
                <w:sz w:val="20"/>
                <w:szCs w:val="20"/>
              </w:rPr>
              <w:t xml:space="preserve">  p13</w:t>
            </w:r>
          </w:p>
          <w:p w14:paraId="55F2043B" w14:textId="77777777" w:rsidR="00D82224" w:rsidRPr="009B561A" w:rsidRDefault="00D82224" w:rsidP="009B561A">
            <w:pPr>
              <w:spacing w:line="276" w:lineRule="auto"/>
              <w:rPr>
                <w:rFonts w:ascii="Calibri" w:hAnsi="Calibri" w:cs="Calibri"/>
                <w:kern w:val="2"/>
                <w:sz w:val="20"/>
                <w:szCs w:val="20"/>
                <w14:ligatures w14:val="standardContextual"/>
              </w:rPr>
            </w:pPr>
            <w:r w:rsidRPr="009B561A">
              <w:rPr>
                <w:rFonts w:ascii="Calibri" w:hAnsi="Calibri" w:cs="Calibri"/>
                <w:b/>
                <w:bCs/>
                <w:kern w:val="2"/>
                <w:sz w:val="20"/>
                <w:szCs w:val="20"/>
                <w14:ligatures w14:val="standardContextual"/>
              </w:rPr>
              <w:t>“Enhance surveillance of antibiotic resistance and antibiotic use</w:t>
            </w:r>
            <w:r w:rsidRPr="009B561A">
              <w:rPr>
                <w:rFonts w:ascii="Calibri" w:hAnsi="Calibri" w:cs="Calibri"/>
                <w:kern w:val="2"/>
                <w:sz w:val="20"/>
                <w:szCs w:val="20"/>
                <w14:ligatures w14:val="standardContextual"/>
              </w:rPr>
              <w:t xml:space="preserve"> through surveillance systems that facilitate greater standardisation of data collection, data linkage and sharing of real time information”</w:t>
            </w:r>
            <w:r w:rsidRPr="009B561A">
              <w:rPr>
                <w:rFonts w:ascii="Calibri" w:hAnsi="Calibri" w:cs="Calibri"/>
                <w:sz w:val="20"/>
                <w:szCs w:val="20"/>
              </w:rPr>
              <w:t xml:space="preserve"> p13.</w:t>
            </w:r>
          </w:p>
          <w:p w14:paraId="40993D06" w14:textId="77777777" w:rsidR="00D82224" w:rsidRPr="009B561A" w:rsidRDefault="00D82224" w:rsidP="009B561A">
            <w:pPr>
              <w:spacing w:line="276" w:lineRule="auto"/>
              <w:rPr>
                <w:rFonts w:ascii="Calibri" w:hAnsi="Calibri" w:cs="Calibri"/>
                <w:kern w:val="2"/>
                <w:sz w:val="20"/>
                <w:szCs w:val="20"/>
                <w14:ligatures w14:val="standardContextual"/>
              </w:rPr>
            </w:pPr>
            <w:r w:rsidRPr="009B561A">
              <w:rPr>
                <w:rFonts w:ascii="Calibri" w:hAnsi="Calibri" w:cs="Calibri"/>
                <w:b/>
                <w:bCs/>
                <w:kern w:val="2"/>
                <w:sz w:val="20"/>
                <w:szCs w:val="20"/>
                <w14:ligatures w14:val="standardContextual"/>
              </w:rPr>
              <w:t>“Reduce infection and disease spread</w:t>
            </w:r>
            <w:r w:rsidRPr="009B561A">
              <w:rPr>
                <w:rFonts w:ascii="Calibri" w:hAnsi="Calibri" w:cs="Calibri"/>
                <w:kern w:val="2"/>
                <w:sz w:val="20"/>
                <w:szCs w:val="20"/>
                <w14:ligatures w14:val="standardContextual"/>
              </w:rPr>
              <w:t xml:space="preserve"> through infection and disease prevention and control measures, including national guidelines and standards in relation to hygiene and biosecurity practices”</w:t>
            </w:r>
            <w:r w:rsidRPr="009B561A">
              <w:rPr>
                <w:rFonts w:ascii="Calibri" w:hAnsi="Calibri" w:cs="Calibri"/>
                <w:sz w:val="20"/>
                <w:szCs w:val="20"/>
              </w:rPr>
              <w:t xml:space="preserve"> p13</w:t>
            </w:r>
          </w:p>
          <w:p w14:paraId="51C6F71B" w14:textId="77777777" w:rsidR="00D82224" w:rsidRPr="009B561A" w:rsidRDefault="00D82224" w:rsidP="009B561A">
            <w:pPr>
              <w:spacing w:line="276" w:lineRule="auto"/>
              <w:rPr>
                <w:rFonts w:ascii="Calibri" w:hAnsi="Calibri" w:cs="Calibri"/>
                <w:kern w:val="2"/>
                <w:sz w:val="20"/>
                <w:szCs w:val="20"/>
                <w14:ligatures w14:val="standardContextual"/>
              </w:rPr>
            </w:pPr>
            <w:r w:rsidRPr="009B561A">
              <w:rPr>
                <w:rFonts w:ascii="Calibri" w:hAnsi="Calibri" w:cs="Calibri"/>
                <w:b/>
                <w:bCs/>
                <w:kern w:val="2"/>
                <w:sz w:val="20"/>
                <w:szCs w:val="20"/>
                <w14:ligatures w14:val="standardContextual"/>
              </w:rPr>
              <w:t>“Optimise the use of antibiotics in human and animal health</w:t>
            </w:r>
            <w:r w:rsidRPr="009B561A">
              <w:rPr>
                <w:rFonts w:ascii="Calibri" w:hAnsi="Calibri" w:cs="Calibri"/>
                <w:kern w:val="2"/>
                <w:sz w:val="20"/>
                <w:szCs w:val="20"/>
                <w14:ligatures w14:val="standardContextual"/>
              </w:rPr>
              <w:t xml:space="preserve"> through development and implementation of antimicrobial stewardship programmes, promotion of prudent prescribing practices and access to rapid diagnostics”</w:t>
            </w:r>
            <w:r w:rsidRPr="009B561A">
              <w:rPr>
                <w:rFonts w:ascii="Calibri" w:hAnsi="Calibri" w:cs="Calibri"/>
                <w:sz w:val="20"/>
                <w:szCs w:val="20"/>
              </w:rPr>
              <w:t xml:space="preserve"> p13</w:t>
            </w:r>
          </w:p>
          <w:p w14:paraId="59029E2C" w14:textId="77777777" w:rsidR="00D82224" w:rsidRPr="009B561A" w:rsidRDefault="00D82224" w:rsidP="009B561A">
            <w:pPr>
              <w:spacing w:after="160" w:line="276" w:lineRule="auto"/>
              <w:rPr>
                <w:rFonts w:ascii="Calibri" w:hAnsi="Calibri" w:cs="Calibri"/>
                <w:kern w:val="2"/>
                <w:sz w:val="20"/>
                <w:szCs w:val="20"/>
                <w14:ligatures w14:val="standardContextual"/>
              </w:rPr>
            </w:pPr>
            <w:r w:rsidRPr="009B561A">
              <w:rPr>
                <w:rFonts w:ascii="Calibri" w:hAnsi="Calibri" w:cs="Calibri"/>
                <w:b/>
                <w:bCs/>
                <w:kern w:val="2"/>
                <w:sz w:val="20"/>
                <w:szCs w:val="20"/>
                <w14:ligatures w14:val="standardContextual"/>
              </w:rPr>
              <w:t>“Promote research and sustainable investment in new medicines, diagnostic tools, vaccines and other interventions</w:t>
            </w:r>
            <w:r w:rsidRPr="009B561A">
              <w:rPr>
                <w:rFonts w:ascii="Calibri" w:hAnsi="Calibri" w:cs="Calibri"/>
                <w:kern w:val="2"/>
                <w:sz w:val="20"/>
                <w:szCs w:val="20"/>
                <w14:ligatures w14:val="standardContextual"/>
              </w:rPr>
              <w:t xml:space="preserve"> through measuring evaluable costs of HCAI/AMR, identifying research opportunities and working with key stakeholders to develop alternative disease treatment tools</w:t>
            </w:r>
            <w:r w:rsidRPr="009B561A">
              <w:rPr>
                <w:rFonts w:ascii="Calibri" w:hAnsi="Calibri" w:cs="Calibri"/>
                <w:sz w:val="20"/>
                <w:szCs w:val="20"/>
              </w:rPr>
              <w:t>” p13.</w:t>
            </w:r>
          </w:p>
        </w:tc>
      </w:tr>
      <w:tr w:rsidR="00D82224" w:rsidRPr="009B561A" w14:paraId="32B82A6F" w14:textId="77777777" w:rsidTr="0087653A">
        <w:tc>
          <w:tcPr>
            <w:tcW w:w="531" w:type="dxa"/>
          </w:tcPr>
          <w:p w14:paraId="0C4596D2"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9</w:t>
            </w:r>
          </w:p>
        </w:tc>
        <w:tc>
          <w:tcPr>
            <w:tcW w:w="3574" w:type="dxa"/>
          </w:tcPr>
          <w:p w14:paraId="64B7B826" w14:textId="38E8AD79"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Health Information and Quality Authority (HIQA) (2017)</w:t>
            </w:r>
            <w:r w:rsidRPr="009B561A">
              <w:rPr>
                <w:rFonts w:ascii="Calibri" w:hAnsi="Calibri" w:cs="Calibri"/>
                <w:color w:val="000000" w:themeColor="text1"/>
                <w:sz w:val="20"/>
                <w:szCs w:val="20"/>
              </w:rPr>
              <w:t xml:space="preserve"> National Standards for the prevention and control of healthcare-associated infections in acute healthcare services. Dublin: HIQA</w:t>
            </w:r>
            <w:r w:rsidRPr="009B561A">
              <w:rPr>
                <w:rFonts w:ascii="Calibri" w:hAnsi="Calibri" w:cs="Calibri"/>
                <w:b/>
                <w:bCs/>
                <w:sz w:val="20"/>
                <w:szCs w:val="20"/>
              </w:rPr>
              <w:t xml:space="preserve"> </w:t>
            </w:r>
            <w:r w:rsidR="00C94EC7" w:rsidRPr="008C0FFE">
              <w:rPr>
                <w:rFonts w:ascii="Calibri" w:hAnsi="Calibri" w:cs="Calibri"/>
                <w:b/>
                <w:bCs/>
                <w:sz w:val="20"/>
                <w:szCs w:val="20"/>
              </w:rPr>
              <w:fldChar w:fldCharType="begin" w:fldLock="1"/>
            </w:r>
            <w:r w:rsidR="00BF22E0" w:rsidRPr="008C0FFE">
              <w:rPr>
                <w:rFonts w:ascii="Calibri" w:hAnsi="Calibri" w:cs="Calibri"/>
                <w:b/>
                <w:bCs/>
                <w:sz w:val="20"/>
                <w:szCs w:val="20"/>
              </w:rPr>
              <w:instrText>ADDIN CSL_CITATION {"citationItems":[{"id":"ITEM-1","itemData":{"author":[{"dropping-particle":"","family":"Health Information and Quality Authority(HIQA)","given":"","non-dropping-particle":"","parse-names":false,"suffix":""}],"id":"ITEM-1","issued":{"date-parts":[["2017"]]},"number-of-pages":"1-120","title":"National Standards for the prevention and control of healthcare-associated infections in acute healthcare services","type":"report"},"uris":["http://www.mendeley.com/documents/?uuid=4310f0fb-eabe-4ece-a4fc-589511696aa6"]}],"mendeley":{"formattedCitation":"(16)","plainTextFormattedCitation":"(16)","previouslyFormattedCitation":"(16)"},"properties":{"noteIndex":0},"schema":"https://github.com/citation-style-language/schema/raw/master/csl-citation.json"}</w:instrText>
            </w:r>
            <w:r w:rsidR="00C94EC7" w:rsidRPr="008C0FFE">
              <w:rPr>
                <w:rFonts w:ascii="Calibri" w:hAnsi="Calibri" w:cs="Calibri"/>
                <w:b/>
                <w:bCs/>
                <w:sz w:val="20"/>
                <w:szCs w:val="20"/>
              </w:rPr>
              <w:fldChar w:fldCharType="separate"/>
            </w:r>
            <w:r w:rsidR="00DE48CA" w:rsidRPr="008C0FFE">
              <w:rPr>
                <w:rFonts w:ascii="Calibri" w:hAnsi="Calibri" w:cs="Calibri"/>
                <w:bCs/>
                <w:noProof/>
                <w:sz w:val="20"/>
                <w:szCs w:val="20"/>
              </w:rPr>
              <w:t>[</w:t>
            </w:r>
            <w:r w:rsidR="00C94EC7" w:rsidRPr="008C0FFE">
              <w:rPr>
                <w:rFonts w:ascii="Calibri" w:hAnsi="Calibri" w:cs="Calibri"/>
                <w:bCs/>
                <w:noProof/>
                <w:sz w:val="20"/>
                <w:szCs w:val="20"/>
              </w:rPr>
              <w:t>16</w:t>
            </w:r>
            <w:r w:rsidR="00DE48CA" w:rsidRPr="008C0FFE">
              <w:rPr>
                <w:rFonts w:ascii="Calibri" w:hAnsi="Calibri" w:cs="Calibri"/>
                <w:bCs/>
                <w:noProof/>
                <w:sz w:val="20"/>
                <w:szCs w:val="20"/>
              </w:rPr>
              <w:t>]</w:t>
            </w:r>
            <w:r w:rsidR="00C94EC7" w:rsidRPr="008C0FFE">
              <w:rPr>
                <w:rFonts w:ascii="Calibri" w:hAnsi="Calibri" w:cs="Calibri"/>
                <w:b/>
                <w:bCs/>
                <w:sz w:val="20"/>
                <w:szCs w:val="20"/>
              </w:rPr>
              <w:fldChar w:fldCharType="end"/>
            </w:r>
            <w:r w:rsidR="008C0FFE" w:rsidRPr="009B561A">
              <w:rPr>
                <w:rFonts w:ascii="Calibri" w:hAnsi="Calibri" w:cs="Calibri"/>
                <w:color w:val="000000" w:themeColor="text1"/>
                <w:sz w:val="20"/>
                <w:szCs w:val="20"/>
              </w:rPr>
              <w:t xml:space="preserve"> </w:t>
            </w:r>
          </w:p>
        </w:tc>
        <w:tc>
          <w:tcPr>
            <w:tcW w:w="3828" w:type="dxa"/>
          </w:tcPr>
          <w:p w14:paraId="77207D0B" w14:textId="77777777" w:rsidR="00D82224" w:rsidRPr="009B561A" w:rsidRDefault="00D82224" w:rsidP="009B561A">
            <w:pPr>
              <w:spacing w:line="276" w:lineRule="auto"/>
              <w:rPr>
                <w:rFonts w:ascii="Calibri" w:hAnsi="Calibri" w:cs="Calibri"/>
                <w:b/>
                <w:bCs/>
                <w:color w:val="FF0000"/>
                <w:sz w:val="20"/>
                <w:szCs w:val="20"/>
                <w:highlight w:val="cyan"/>
                <w:shd w:val="clear" w:color="auto" w:fill="FFFFFF"/>
              </w:rPr>
            </w:pPr>
            <w:r w:rsidRPr="009B561A">
              <w:rPr>
                <w:rFonts w:ascii="Calibri" w:hAnsi="Calibri" w:cs="Calibri"/>
                <w:sz w:val="20"/>
                <w:szCs w:val="20"/>
              </w:rPr>
              <w:t>The revised National Standards are designed to promote a safe and effective infection prevention and control environment within acute healthcare services</w:t>
            </w:r>
          </w:p>
        </w:tc>
        <w:tc>
          <w:tcPr>
            <w:tcW w:w="6237" w:type="dxa"/>
          </w:tcPr>
          <w:p w14:paraId="3469F6C6" w14:textId="77777777" w:rsidR="00D82224" w:rsidRPr="009B561A" w:rsidRDefault="00D82224" w:rsidP="009B561A">
            <w:pPr>
              <w:spacing w:line="276" w:lineRule="auto"/>
              <w:rPr>
                <w:rFonts w:ascii="Calibri" w:hAnsi="Calibri" w:cs="Calibri"/>
                <w:sz w:val="20"/>
                <w:szCs w:val="20"/>
                <w:shd w:val="clear" w:color="auto" w:fill="FFFFFF"/>
              </w:rPr>
            </w:pPr>
            <w:r w:rsidRPr="009B561A">
              <w:rPr>
                <w:rFonts w:ascii="Calibri" w:hAnsi="Calibri" w:cs="Calibri"/>
                <w:sz w:val="20"/>
                <w:szCs w:val="20"/>
                <w:shd w:val="clear" w:color="auto" w:fill="FFFFFF"/>
              </w:rPr>
              <w:t xml:space="preserve">HIQA developed new standards for infection control and prevention for acute hospitals in 2017. </w:t>
            </w:r>
          </w:p>
          <w:p w14:paraId="602CD36F" w14:textId="77777777" w:rsidR="00D82224" w:rsidRPr="009B561A" w:rsidRDefault="00D82224" w:rsidP="009B561A">
            <w:pPr>
              <w:spacing w:line="276" w:lineRule="auto"/>
              <w:ind w:left="720"/>
              <w:contextualSpacing/>
              <w:rPr>
                <w:rFonts w:ascii="Calibri" w:hAnsi="Calibri" w:cs="Calibri"/>
                <w:b/>
                <w:bCs/>
                <w:sz w:val="20"/>
                <w:szCs w:val="20"/>
              </w:rPr>
            </w:pPr>
          </w:p>
        </w:tc>
      </w:tr>
      <w:tr w:rsidR="00D82224" w:rsidRPr="009B561A" w14:paraId="0F00E2E0" w14:textId="77777777" w:rsidTr="0087653A">
        <w:tc>
          <w:tcPr>
            <w:tcW w:w="531" w:type="dxa"/>
          </w:tcPr>
          <w:p w14:paraId="5E40A762"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10</w:t>
            </w:r>
          </w:p>
        </w:tc>
        <w:tc>
          <w:tcPr>
            <w:tcW w:w="3574" w:type="dxa"/>
          </w:tcPr>
          <w:p w14:paraId="71624A3E" w14:textId="502078AE"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Health Information and Quality Authority (HIQA) (2016)</w:t>
            </w:r>
            <w:r w:rsidRPr="009B561A">
              <w:rPr>
                <w:rFonts w:ascii="Calibri" w:hAnsi="Calibri" w:cs="Calibri"/>
                <w:sz w:val="20"/>
                <w:szCs w:val="20"/>
              </w:rPr>
              <w:t xml:space="preserve"> Report of the review of antimicrobial stewardship in public acute hospitals. Dublin: </w:t>
            </w:r>
            <w:r w:rsidRPr="008C0FFE">
              <w:rPr>
                <w:rFonts w:ascii="Calibri" w:hAnsi="Calibri" w:cs="Calibri"/>
                <w:sz w:val="20"/>
                <w:szCs w:val="20"/>
              </w:rPr>
              <w:t>HIQA</w:t>
            </w:r>
            <w:r w:rsidRPr="008C0FFE">
              <w:rPr>
                <w:rFonts w:ascii="Calibri" w:hAnsi="Calibri" w:cs="Calibri"/>
                <w:b/>
                <w:bCs/>
                <w:sz w:val="20"/>
                <w:szCs w:val="20"/>
              </w:rPr>
              <w:t xml:space="preserve"> </w:t>
            </w:r>
            <w:r w:rsidR="00BF22E0" w:rsidRPr="008C0FFE">
              <w:rPr>
                <w:rFonts w:ascii="Calibri" w:hAnsi="Calibri" w:cs="Calibri"/>
                <w:b/>
                <w:bCs/>
                <w:sz w:val="20"/>
                <w:szCs w:val="20"/>
              </w:rPr>
              <w:fldChar w:fldCharType="begin" w:fldLock="1"/>
            </w:r>
            <w:r w:rsidR="0019522E" w:rsidRPr="008C0FFE">
              <w:rPr>
                <w:rFonts w:ascii="Calibri" w:hAnsi="Calibri" w:cs="Calibri"/>
                <w:b/>
                <w:bCs/>
                <w:sz w:val="20"/>
                <w:szCs w:val="20"/>
              </w:rPr>
              <w:instrText>ADDIN CSL_CITATION {"citationItems":[{"id":"ITEM-1","itemData":{"author":[{"dropping-particle":"","family":"Health Information and Quality Authority (HIQA)","given":"","non-dropping-particle":"","parse-names":false,"suffix":""}],"id":"ITEM-1","issue":"July","issued":{"date-parts":[["2016"]]},"number-of-pages":"1-164","title":"Report of the review of antimicrobial stewardship in public acute hospitals","type":"report"},"uris":["http://www.mendeley.com/documents/?uuid=379535ac-bbe8-4dab-81c5-0c030362dd7e"]}],"mendeley":{"formattedCitation":"(17)","plainTextFormattedCitation":"(17)","previouslyFormattedCitation":"(17)"},"properties":{"noteIndex":0},"schema":"https://github.com/citation-style-language/schema/raw/master/csl-citation.json"}</w:instrText>
            </w:r>
            <w:r w:rsidR="00BF22E0" w:rsidRPr="008C0FFE">
              <w:rPr>
                <w:rFonts w:ascii="Calibri" w:hAnsi="Calibri" w:cs="Calibri"/>
                <w:b/>
                <w:bCs/>
                <w:sz w:val="20"/>
                <w:szCs w:val="20"/>
              </w:rPr>
              <w:fldChar w:fldCharType="separate"/>
            </w:r>
            <w:r w:rsidR="008C0FFE" w:rsidRPr="008C0FFE">
              <w:rPr>
                <w:rFonts w:ascii="Calibri" w:hAnsi="Calibri" w:cs="Calibri"/>
                <w:sz w:val="20"/>
                <w:szCs w:val="20"/>
              </w:rPr>
              <w:t>[</w:t>
            </w:r>
            <w:r w:rsidR="00BF22E0" w:rsidRPr="008C0FFE">
              <w:rPr>
                <w:rFonts w:ascii="Calibri" w:hAnsi="Calibri" w:cs="Calibri"/>
                <w:bCs/>
                <w:noProof/>
                <w:sz w:val="20"/>
                <w:szCs w:val="20"/>
              </w:rPr>
              <w:t>17</w:t>
            </w:r>
            <w:r w:rsidR="008C0FFE" w:rsidRPr="008C0FFE">
              <w:rPr>
                <w:rFonts w:ascii="Calibri" w:hAnsi="Calibri" w:cs="Calibri"/>
                <w:bCs/>
                <w:noProof/>
                <w:sz w:val="20"/>
                <w:szCs w:val="20"/>
              </w:rPr>
              <w:t>]</w:t>
            </w:r>
            <w:r w:rsidR="00BF22E0" w:rsidRPr="008C0FFE">
              <w:rPr>
                <w:rFonts w:ascii="Calibri" w:hAnsi="Calibri" w:cs="Calibri"/>
                <w:b/>
                <w:bCs/>
                <w:sz w:val="20"/>
                <w:szCs w:val="20"/>
              </w:rPr>
              <w:fldChar w:fldCharType="end"/>
            </w:r>
          </w:p>
          <w:p w14:paraId="62C71F16" w14:textId="77777777" w:rsidR="00D82224" w:rsidRPr="009B561A" w:rsidRDefault="00D82224" w:rsidP="009B561A">
            <w:pPr>
              <w:spacing w:line="276" w:lineRule="auto"/>
              <w:rPr>
                <w:rFonts w:ascii="Calibri" w:hAnsi="Calibri" w:cs="Calibri"/>
                <w:color w:val="000000" w:themeColor="text1"/>
                <w:sz w:val="20"/>
                <w:szCs w:val="20"/>
                <w:vertAlign w:val="superscript"/>
              </w:rPr>
            </w:pPr>
          </w:p>
          <w:p w14:paraId="0C0084DC" w14:textId="77777777" w:rsidR="00D82224" w:rsidRPr="009B561A" w:rsidRDefault="00D82224" w:rsidP="009B561A">
            <w:pPr>
              <w:spacing w:line="276" w:lineRule="auto"/>
              <w:rPr>
                <w:rFonts w:ascii="Calibri" w:eastAsia="Times New Roman" w:hAnsi="Calibri" w:cs="Calibri"/>
                <w:b/>
                <w:bCs/>
                <w:color w:val="000000" w:themeColor="text1"/>
                <w:sz w:val="20"/>
                <w:szCs w:val="20"/>
                <w:lang w:eastAsia="en-IE"/>
              </w:rPr>
            </w:pPr>
            <w:r w:rsidRPr="009B561A">
              <w:rPr>
                <w:rFonts w:ascii="Calibri" w:hAnsi="Calibri" w:cs="Calibri"/>
                <w:b/>
                <w:bCs/>
                <w:color w:val="000000" w:themeColor="text1"/>
                <w:sz w:val="20"/>
                <w:szCs w:val="20"/>
              </w:rPr>
              <w:t xml:space="preserve">*Links with Tables </w:t>
            </w:r>
            <w:r w:rsidRPr="009B561A">
              <w:rPr>
                <w:rFonts w:ascii="Calibri" w:hAnsi="Calibri" w:cs="Calibri"/>
                <w:b/>
                <w:bCs/>
                <w:sz w:val="20"/>
                <w:szCs w:val="20"/>
              </w:rPr>
              <w:t>SRC</w:t>
            </w:r>
            <w:r w:rsidRPr="009B561A">
              <w:rPr>
                <w:rFonts w:ascii="Calibri" w:hAnsi="Calibri" w:cs="Calibri"/>
                <w:b/>
                <w:bCs/>
                <w:color w:val="000000" w:themeColor="text1"/>
                <w:sz w:val="20"/>
                <w:szCs w:val="20"/>
              </w:rPr>
              <w:t xml:space="preserve"> B&amp;C</w:t>
            </w:r>
          </w:p>
        </w:tc>
        <w:tc>
          <w:tcPr>
            <w:tcW w:w="3828" w:type="dxa"/>
          </w:tcPr>
          <w:p w14:paraId="0AF594B0" w14:textId="77777777" w:rsidR="00D82224" w:rsidRPr="009B561A" w:rsidRDefault="00D82224" w:rsidP="009B561A">
            <w:pPr>
              <w:spacing w:line="276" w:lineRule="auto"/>
              <w:rPr>
                <w:rFonts w:ascii="Calibri" w:hAnsi="Calibri" w:cs="Calibri"/>
                <w:b/>
                <w:bCs/>
                <w:color w:val="FF0000"/>
                <w:sz w:val="20"/>
                <w:szCs w:val="20"/>
                <w:highlight w:val="cyan"/>
              </w:rPr>
            </w:pPr>
            <w:r w:rsidRPr="009B561A">
              <w:rPr>
                <w:rFonts w:ascii="Calibri" w:hAnsi="Calibri" w:cs="Calibri"/>
                <w:sz w:val="20"/>
                <w:szCs w:val="20"/>
              </w:rPr>
              <w:t>This report provides an overview of the national provision of antimicrobial stewardship in Irish public acute hospitals</w:t>
            </w:r>
          </w:p>
        </w:tc>
        <w:tc>
          <w:tcPr>
            <w:tcW w:w="6237" w:type="dxa"/>
          </w:tcPr>
          <w:p w14:paraId="0A55D039"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Health Information and Quality Authority (HIQA) in 2015 reviewed key personnel and resources and structure in relation to AMS in 49 acute hospitals in Ireland. </w:t>
            </w:r>
          </w:p>
          <w:p w14:paraId="1921DB99"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Some findings relevant to this review </w:t>
            </w:r>
          </w:p>
          <w:p w14:paraId="42F23B99" w14:textId="77777777" w:rsidR="00D82224" w:rsidRPr="009B561A" w:rsidRDefault="00D82224" w:rsidP="009B561A">
            <w:pPr>
              <w:spacing w:line="276" w:lineRule="auto"/>
              <w:rPr>
                <w:rFonts w:ascii="Calibri" w:hAnsi="Calibri" w:cs="Calibri"/>
                <w:b/>
                <w:bCs/>
                <w:sz w:val="20"/>
                <w:szCs w:val="20"/>
              </w:rPr>
            </w:pPr>
          </w:p>
          <w:p w14:paraId="61E52D34" w14:textId="77777777" w:rsidR="00D82224" w:rsidRPr="009B561A" w:rsidRDefault="00D82224" w:rsidP="009B561A">
            <w:pPr>
              <w:numPr>
                <w:ilvl w:val="0"/>
                <w:numId w:val="6"/>
              </w:numPr>
              <w:spacing w:line="276" w:lineRule="auto"/>
              <w:contextualSpacing/>
              <w:rPr>
                <w:rFonts w:ascii="Calibri" w:hAnsi="Calibri" w:cs="Calibri"/>
                <w:sz w:val="20"/>
                <w:szCs w:val="20"/>
              </w:rPr>
            </w:pPr>
            <w:r w:rsidRPr="009B561A">
              <w:rPr>
                <w:rFonts w:ascii="Calibri" w:hAnsi="Calibri" w:cs="Calibri"/>
                <w:sz w:val="20"/>
                <w:szCs w:val="20"/>
              </w:rPr>
              <w:t>“41 hospitals (84%) reported that they had a defined antimicrobial stewardship programme in place”. p79</w:t>
            </w:r>
          </w:p>
          <w:p w14:paraId="30040ED1" w14:textId="77777777" w:rsidR="00D82224" w:rsidRPr="009B561A" w:rsidRDefault="00D82224" w:rsidP="009B561A">
            <w:pPr>
              <w:spacing w:line="276" w:lineRule="auto"/>
              <w:ind w:left="720"/>
              <w:contextualSpacing/>
              <w:rPr>
                <w:rFonts w:ascii="Calibri" w:hAnsi="Calibri" w:cs="Calibri"/>
                <w:sz w:val="20"/>
                <w:szCs w:val="20"/>
              </w:rPr>
            </w:pPr>
          </w:p>
          <w:p w14:paraId="26B9231F" w14:textId="77777777" w:rsidR="00D82224" w:rsidRPr="009B561A" w:rsidRDefault="00D82224" w:rsidP="009B561A">
            <w:pPr>
              <w:numPr>
                <w:ilvl w:val="0"/>
                <w:numId w:val="6"/>
              </w:numPr>
              <w:spacing w:line="276" w:lineRule="auto"/>
              <w:contextualSpacing/>
              <w:rPr>
                <w:rFonts w:ascii="Calibri" w:hAnsi="Calibri" w:cs="Calibri"/>
                <w:sz w:val="20"/>
                <w:szCs w:val="20"/>
              </w:rPr>
            </w:pPr>
            <w:r w:rsidRPr="009B561A">
              <w:rPr>
                <w:rFonts w:ascii="Calibri" w:hAnsi="Calibri" w:cs="Calibri"/>
                <w:sz w:val="20"/>
                <w:szCs w:val="20"/>
              </w:rPr>
              <w:t>“40 hospitals have a multi-disciplinary Drugs and Therapeutics Committee.” p81.</w:t>
            </w:r>
          </w:p>
          <w:p w14:paraId="278522C5" w14:textId="77777777" w:rsidR="00D82224" w:rsidRPr="009B561A" w:rsidRDefault="00D82224" w:rsidP="009B561A">
            <w:pPr>
              <w:spacing w:line="276" w:lineRule="auto"/>
              <w:ind w:left="720"/>
              <w:contextualSpacing/>
              <w:rPr>
                <w:rFonts w:ascii="Calibri" w:hAnsi="Calibri" w:cs="Calibri"/>
                <w:sz w:val="20"/>
                <w:szCs w:val="20"/>
              </w:rPr>
            </w:pPr>
          </w:p>
          <w:p w14:paraId="3993B67C" w14:textId="77777777" w:rsidR="00D82224" w:rsidRPr="009B561A" w:rsidRDefault="00D82224" w:rsidP="009B561A">
            <w:pPr>
              <w:numPr>
                <w:ilvl w:val="0"/>
                <w:numId w:val="6"/>
              </w:numPr>
              <w:spacing w:line="276" w:lineRule="auto"/>
              <w:contextualSpacing/>
              <w:rPr>
                <w:rFonts w:ascii="Calibri" w:hAnsi="Calibri" w:cs="Calibri"/>
                <w:b/>
                <w:bCs/>
                <w:sz w:val="20"/>
                <w:szCs w:val="20"/>
              </w:rPr>
            </w:pPr>
            <w:r w:rsidRPr="009B561A">
              <w:rPr>
                <w:rFonts w:ascii="Calibri" w:hAnsi="Calibri" w:cs="Calibri"/>
                <w:sz w:val="20"/>
                <w:szCs w:val="20"/>
              </w:rPr>
              <w:t>“31.05 WTE antimicrobial pharmacists in post in public acute hospitals nationally in July 2015</w:t>
            </w:r>
            <w:r w:rsidRPr="009B561A">
              <w:rPr>
                <w:rFonts w:ascii="Calibri" w:hAnsi="Calibri" w:cs="Calibri"/>
                <w:b/>
                <w:bCs/>
                <w:sz w:val="20"/>
                <w:szCs w:val="20"/>
              </w:rPr>
              <w:t>.</w:t>
            </w:r>
            <w:r w:rsidRPr="009B561A">
              <w:rPr>
                <w:rFonts w:ascii="Calibri" w:hAnsi="Calibri" w:cs="Calibri"/>
                <w:sz w:val="20"/>
                <w:szCs w:val="20"/>
              </w:rPr>
              <w:t xml:space="preserve"> In </w:t>
            </w:r>
            <w:r w:rsidRPr="009B561A">
              <w:rPr>
                <w:rFonts w:ascii="Calibri" w:hAnsi="Calibri" w:cs="Calibri"/>
                <w:b/>
                <w:bCs/>
                <w:sz w:val="20"/>
                <w:szCs w:val="20"/>
              </w:rPr>
              <w:t>2001</w:t>
            </w:r>
            <w:r w:rsidRPr="009B561A">
              <w:rPr>
                <w:rFonts w:ascii="Calibri" w:hAnsi="Calibri" w:cs="Calibri"/>
                <w:sz w:val="20"/>
                <w:szCs w:val="20"/>
              </w:rPr>
              <w:t>, the SARI strategy had recommended a minimum number of 40 WTE antimicrobial pharmacist positions”</w:t>
            </w:r>
            <w:r w:rsidRPr="009B561A">
              <w:rPr>
                <w:rFonts w:ascii="Calibri" w:hAnsi="Calibri" w:cs="Calibri"/>
                <w:b/>
                <w:bCs/>
                <w:sz w:val="20"/>
                <w:szCs w:val="20"/>
              </w:rPr>
              <w:t xml:space="preserve">. </w:t>
            </w:r>
            <w:r w:rsidRPr="009B561A">
              <w:rPr>
                <w:rFonts w:ascii="Calibri" w:hAnsi="Calibri" w:cs="Calibri"/>
                <w:sz w:val="20"/>
                <w:szCs w:val="20"/>
              </w:rPr>
              <w:t>p53</w:t>
            </w:r>
          </w:p>
          <w:p w14:paraId="72CC817E" w14:textId="77777777" w:rsidR="00D82224" w:rsidRPr="009B561A" w:rsidRDefault="00D82224" w:rsidP="009B561A">
            <w:pPr>
              <w:spacing w:line="276" w:lineRule="auto"/>
              <w:ind w:left="720"/>
              <w:contextualSpacing/>
              <w:rPr>
                <w:rFonts w:ascii="Calibri" w:hAnsi="Calibri" w:cs="Calibri"/>
                <w:b/>
                <w:bCs/>
                <w:sz w:val="20"/>
                <w:szCs w:val="20"/>
              </w:rPr>
            </w:pPr>
          </w:p>
          <w:p w14:paraId="2A90C5CC" w14:textId="77777777" w:rsidR="00D82224" w:rsidRPr="009B561A" w:rsidRDefault="00D82224" w:rsidP="009B561A">
            <w:pPr>
              <w:numPr>
                <w:ilvl w:val="0"/>
                <w:numId w:val="6"/>
              </w:numPr>
              <w:spacing w:line="276" w:lineRule="auto"/>
              <w:contextualSpacing/>
              <w:rPr>
                <w:rFonts w:ascii="Calibri" w:hAnsi="Calibri" w:cs="Calibri"/>
                <w:b/>
                <w:bCs/>
                <w:sz w:val="20"/>
                <w:szCs w:val="20"/>
              </w:rPr>
            </w:pPr>
            <w:r w:rsidRPr="009B561A">
              <w:rPr>
                <w:rFonts w:ascii="Calibri" w:hAnsi="Calibri" w:cs="Calibri"/>
                <w:sz w:val="20"/>
                <w:szCs w:val="20"/>
              </w:rPr>
              <w:t>“41.52 WTE consultant medical microbiologists in post nationally in July 2015.</w:t>
            </w:r>
            <w:r w:rsidRPr="009B561A">
              <w:rPr>
                <w:rFonts w:ascii="Calibri" w:hAnsi="Calibri" w:cs="Calibri"/>
                <w:b/>
                <w:bCs/>
                <w:sz w:val="20"/>
                <w:szCs w:val="20"/>
              </w:rPr>
              <w:t xml:space="preserve"> </w:t>
            </w:r>
            <w:r w:rsidRPr="009B561A">
              <w:rPr>
                <w:rFonts w:ascii="Calibri" w:hAnsi="Calibri" w:cs="Calibri"/>
                <w:sz w:val="20"/>
                <w:szCs w:val="20"/>
              </w:rPr>
              <w:t xml:space="preserve">In </w:t>
            </w:r>
            <w:r w:rsidRPr="009B561A">
              <w:rPr>
                <w:rFonts w:ascii="Calibri" w:hAnsi="Calibri" w:cs="Calibri"/>
                <w:b/>
                <w:bCs/>
                <w:sz w:val="20"/>
                <w:szCs w:val="20"/>
              </w:rPr>
              <w:t>2001</w:t>
            </w:r>
            <w:r w:rsidRPr="009B561A">
              <w:rPr>
                <w:rFonts w:ascii="Calibri" w:hAnsi="Calibri" w:cs="Calibri"/>
                <w:sz w:val="20"/>
                <w:szCs w:val="20"/>
              </w:rPr>
              <w:t>, SARI strategy said “the number of consultant medical microbiologists then in place nationally was inadequate (at 15.5 whole-time equivalents). SARI recommended that the minimum number of consultant medical microbiologist posts required in Ireland at that time was 41.7 whole-time equivalents (WTEs).” p 48</w:t>
            </w:r>
          </w:p>
        </w:tc>
      </w:tr>
    </w:tbl>
    <w:p w14:paraId="300C74F5" w14:textId="77777777" w:rsidR="00D82224" w:rsidRPr="009B561A" w:rsidRDefault="00D82224" w:rsidP="009B561A">
      <w:pPr>
        <w:spacing w:line="276" w:lineRule="auto"/>
        <w:rPr>
          <w:rFonts w:ascii="Calibri" w:hAnsi="Calibri" w:cs="Calibri"/>
          <w:b/>
          <w:bCs/>
          <w:sz w:val="20"/>
          <w:szCs w:val="20"/>
        </w:rPr>
      </w:pPr>
    </w:p>
    <w:p w14:paraId="68EF9CB7" w14:textId="77777777" w:rsidR="00D82224" w:rsidRPr="009B561A" w:rsidRDefault="00D82224" w:rsidP="009B561A">
      <w:pPr>
        <w:spacing w:line="276" w:lineRule="auto"/>
        <w:rPr>
          <w:rFonts w:ascii="Calibri" w:hAnsi="Calibri" w:cs="Calibri"/>
          <w:b/>
          <w:bCs/>
          <w:sz w:val="20"/>
          <w:szCs w:val="20"/>
        </w:rPr>
      </w:pPr>
    </w:p>
    <w:p w14:paraId="4B5BFDC8" w14:textId="77777777" w:rsidR="00D82224" w:rsidRPr="009B561A" w:rsidRDefault="00D82224" w:rsidP="009B561A">
      <w:pPr>
        <w:spacing w:line="276" w:lineRule="auto"/>
        <w:rPr>
          <w:rFonts w:ascii="Calibri" w:hAnsi="Calibri" w:cs="Calibri"/>
          <w:b/>
          <w:bCs/>
          <w:sz w:val="20"/>
          <w:szCs w:val="20"/>
        </w:rPr>
      </w:pPr>
    </w:p>
    <w:p w14:paraId="3291DD58" w14:textId="77777777" w:rsidR="00D62F06" w:rsidRDefault="00D62F06" w:rsidP="009B561A">
      <w:pPr>
        <w:spacing w:line="276" w:lineRule="auto"/>
        <w:rPr>
          <w:rFonts w:ascii="Calibri" w:hAnsi="Calibri" w:cs="Calibri"/>
          <w:b/>
          <w:bCs/>
          <w:sz w:val="20"/>
          <w:szCs w:val="20"/>
        </w:rPr>
      </w:pPr>
    </w:p>
    <w:p w14:paraId="6821F581" w14:textId="231C720A" w:rsidR="00D82224" w:rsidRPr="00CE6A0A" w:rsidRDefault="00D82224" w:rsidP="009B561A">
      <w:pPr>
        <w:spacing w:line="276" w:lineRule="auto"/>
        <w:rPr>
          <w:rFonts w:ascii="Calibri" w:hAnsi="Calibri" w:cs="Calibri"/>
          <w:b/>
          <w:bCs/>
          <w:color w:val="FF0000"/>
          <w:sz w:val="24"/>
          <w:szCs w:val="24"/>
        </w:rPr>
      </w:pPr>
      <w:r w:rsidRPr="005C2D38">
        <w:rPr>
          <w:rFonts w:ascii="Calibri" w:hAnsi="Calibri" w:cs="Calibri"/>
          <w:b/>
          <w:bCs/>
          <w:sz w:val="24"/>
          <w:szCs w:val="24"/>
        </w:rPr>
        <w:lastRenderedPageBreak/>
        <w:t xml:space="preserve">Supplemental File </w:t>
      </w:r>
      <w:r w:rsidR="00835F1B" w:rsidRPr="005C2D38">
        <w:rPr>
          <w:rFonts w:ascii="Calibri" w:hAnsi="Calibri" w:cs="Calibri"/>
          <w:b/>
          <w:bCs/>
          <w:sz w:val="24"/>
          <w:szCs w:val="24"/>
        </w:rPr>
        <w:t>5</w:t>
      </w:r>
      <w:r w:rsidRPr="0094788B">
        <w:rPr>
          <w:rFonts w:ascii="Calibri" w:hAnsi="Calibri" w:cs="Calibri"/>
          <w:b/>
          <w:bCs/>
          <w:sz w:val="24"/>
          <w:szCs w:val="24"/>
        </w:rPr>
        <w:t xml:space="preserve">: Table </w:t>
      </w:r>
      <w:r w:rsidR="00FC6DFD" w:rsidRPr="0094788B">
        <w:rPr>
          <w:rFonts w:ascii="Calibri" w:hAnsi="Calibri" w:cs="Calibri"/>
          <w:b/>
          <w:bCs/>
          <w:sz w:val="24"/>
          <w:szCs w:val="24"/>
        </w:rPr>
        <w:t>9</w:t>
      </w:r>
      <w:r w:rsidRPr="0094788B">
        <w:rPr>
          <w:rFonts w:ascii="Calibri" w:hAnsi="Calibri" w:cs="Calibri"/>
          <w:b/>
          <w:bCs/>
          <w:sz w:val="24"/>
          <w:szCs w:val="24"/>
        </w:rPr>
        <w:t xml:space="preserve">i SARI Recommendations Category B (SRC) Roles and Responsibilities for Prescribers (Peer reviewed studies n=7) </w:t>
      </w:r>
      <w:bookmarkStart w:id="1" w:name="_Hlk181131035"/>
      <w:r w:rsidR="00B26031" w:rsidRPr="00CE6A0A">
        <w:rPr>
          <w:rFonts w:ascii="Calibri" w:hAnsi="Calibri" w:cs="Calibri"/>
          <w:b/>
          <w:bCs/>
          <w:sz w:val="24"/>
          <w:szCs w:val="24"/>
        </w:rPr>
        <w:fldChar w:fldCharType="begin" w:fldLock="1"/>
      </w:r>
      <w:r w:rsidR="00B26031" w:rsidRPr="00CE6A0A">
        <w:rPr>
          <w:rFonts w:ascii="Calibri" w:hAnsi="Calibri" w:cs="Calibri"/>
          <w:b/>
          <w:bCs/>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CE6A0A">
        <w:rPr>
          <w:rFonts w:ascii="Calibri" w:hAnsi="Calibri" w:cs="Calibri"/>
          <w:b/>
          <w:bCs/>
          <w:sz w:val="24"/>
          <w:szCs w:val="24"/>
        </w:rPr>
        <w:fldChar w:fldCharType="separate"/>
      </w:r>
      <w:r w:rsidR="00325025" w:rsidRPr="00CE6A0A">
        <w:rPr>
          <w:rFonts w:ascii="Calibri" w:hAnsi="Calibri" w:cs="Calibri"/>
          <w:bCs/>
          <w:noProof/>
          <w:sz w:val="24"/>
          <w:szCs w:val="24"/>
        </w:rPr>
        <w:t>[</w:t>
      </w:r>
      <w:r w:rsidR="00B26031" w:rsidRPr="00CE6A0A">
        <w:rPr>
          <w:rFonts w:ascii="Calibri" w:hAnsi="Calibri" w:cs="Calibri"/>
          <w:bCs/>
          <w:noProof/>
          <w:sz w:val="24"/>
          <w:szCs w:val="24"/>
        </w:rPr>
        <w:t>1</w:t>
      </w:r>
      <w:r w:rsidR="00325025" w:rsidRPr="00CE6A0A">
        <w:rPr>
          <w:rFonts w:ascii="Calibri" w:hAnsi="Calibri" w:cs="Calibri"/>
          <w:bCs/>
          <w:noProof/>
          <w:sz w:val="24"/>
          <w:szCs w:val="24"/>
        </w:rPr>
        <w:t>]</w:t>
      </w:r>
      <w:r w:rsidR="00B26031" w:rsidRPr="00CE6A0A">
        <w:rPr>
          <w:rFonts w:ascii="Calibri" w:hAnsi="Calibri" w:cs="Calibri"/>
          <w:b/>
          <w:bCs/>
          <w:sz w:val="24"/>
          <w:szCs w:val="24"/>
        </w:rPr>
        <w:fldChar w:fldCharType="end"/>
      </w:r>
      <w:r w:rsidR="00CE6A0A" w:rsidRPr="00CE6A0A">
        <w:rPr>
          <w:rFonts w:ascii="Calibri" w:hAnsi="Calibri" w:cs="Calibri"/>
          <w:b/>
          <w:bCs/>
          <w:color w:val="FF0000"/>
          <w:sz w:val="24"/>
          <w:szCs w:val="24"/>
        </w:rPr>
        <w:t xml:space="preserve"> </w:t>
      </w:r>
    </w:p>
    <w:bookmarkEnd w:id="1"/>
    <w:tbl>
      <w:tblPr>
        <w:tblStyle w:val="TableGrid4"/>
        <w:tblW w:w="14170" w:type="dxa"/>
        <w:tblLook w:val="04A0" w:firstRow="1" w:lastRow="0" w:firstColumn="1" w:lastColumn="0" w:noHBand="0" w:noVBand="1"/>
      </w:tblPr>
      <w:tblGrid>
        <w:gridCol w:w="461"/>
        <w:gridCol w:w="3645"/>
        <w:gridCol w:w="3260"/>
        <w:gridCol w:w="3828"/>
        <w:gridCol w:w="2976"/>
      </w:tblGrid>
      <w:tr w:rsidR="00D82224" w:rsidRPr="00CE6A0A" w14:paraId="435D959B" w14:textId="77777777" w:rsidTr="0087653A">
        <w:trPr>
          <w:cantSplit/>
          <w:tblHeader/>
        </w:trPr>
        <w:tc>
          <w:tcPr>
            <w:tcW w:w="461" w:type="dxa"/>
          </w:tcPr>
          <w:p w14:paraId="79D43E4F" w14:textId="77777777" w:rsidR="00D82224" w:rsidRPr="00CE6A0A" w:rsidRDefault="00D82224" w:rsidP="009B561A">
            <w:pPr>
              <w:spacing w:line="276" w:lineRule="auto"/>
              <w:jc w:val="center"/>
              <w:rPr>
                <w:rFonts w:ascii="Calibri" w:hAnsi="Calibri" w:cs="Calibri"/>
                <w:color w:val="FF0000"/>
                <w:sz w:val="20"/>
                <w:szCs w:val="20"/>
              </w:rPr>
            </w:pPr>
          </w:p>
        </w:tc>
        <w:tc>
          <w:tcPr>
            <w:tcW w:w="3645" w:type="dxa"/>
          </w:tcPr>
          <w:p w14:paraId="5E6764D8" w14:textId="77777777" w:rsidR="00D82224" w:rsidRPr="00CE6A0A" w:rsidRDefault="00D82224" w:rsidP="009B561A">
            <w:pPr>
              <w:spacing w:line="276" w:lineRule="auto"/>
              <w:jc w:val="center"/>
              <w:rPr>
                <w:rFonts w:ascii="Calibri" w:hAnsi="Calibri" w:cs="Calibri"/>
                <w:b/>
                <w:bCs/>
                <w:sz w:val="20"/>
                <w:szCs w:val="20"/>
              </w:rPr>
            </w:pPr>
            <w:r w:rsidRPr="00CE6A0A">
              <w:rPr>
                <w:rFonts w:ascii="Calibri" w:hAnsi="Calibri" w:cs="Calibri"/>
                <w:b/>
                <w:bCs/>
                <w:sz w:val="20"/>
                <w:szCs w:val="20"/>
              </w:rPr>
              <w:t>Author and Year</w:t>
            </w:r>
          </w:p>
        </w:tc>
        <w:tc>
          <w:tcPr>
            <w:tcW w:w="3260" w:type="dxa"/>
          </w:tcPr>
          <w:p w14:paraId="3F948DF5" w14:textId="77777777" w:rsidR="00D82224" w:rsidRPr="00CE6A0A" w:rsidRDefault="00D82224" w:rsidP="009B561A">
            <w:pPr>
              <w:spacing w:line="276" w:lineRule="auto"/>
              <w:jc w:val="center"/>
              <w:rPr>
                <w:rFonts w:ascii="Calibri" w:hAnsi="Calibri" w:cs="Calibri"/>
                <w:b/>
                <w:bCs/>
                <w:sz w:val="20"/>
                <w:szCs w:val="20"/>
              </w:rPr>
            </w:pPr>
            <w:r w:rsidRPr="00CE6A0A">
              <w:rPr>
                <w:rFonts w:ascii="Calibri" w:hAnsi="Calibri" w:cs="Calibri"/>
                <w:b/>
                <w:bCs/>
                <w:sz w:val="20"/>
                <w:szCs w:val="20"/>
              </w:rPr>
              <w:t>Aims Methods Participants</w:t>
            </w:r>
          </w:p>
        </w:tc>
        <w:tc>
          <w:tcPr>
            <w:tcW w:w="3828" w:type="dxa"/>
          </w:tcPr>
          <w:p w14:paraId="4116C187" w14:textId="77777777" w:rsidR="00D82224" w:rsidRPr="00CE6A0A" w:rsidRDefault="00D82224" w:rsidP="009B561A">
            <w:pPr>
              <w:spacing w:line="276" w:lineRule="auto"/>
              <w:jc w:val="center"/>
              <w:rPr>
                <w:rFonts w:ascii="Calibri" w:hAnsi="Calibri" w:cs="Calibri"/>
                <w:b/>
                <w:bCs/>
                <w:sz w:val="20"/>
                <w:szCs w:val="20"/>
              </w:rPr>
            </w:pPr>
            <w:r w:rsidRPr="00CE6A0A">
              <w:rPr>
                <w:rFonts w:ascii="Calibri" w:hAnsi="Calibri" w:cs="Calibri"/>
                <w:b/>
                <w:bCs/>
                <w:sz w:val="20"/>
                <w:szCs w:val="20"/>
              </w:rPr>
              <w:t>Results</w:t>
            </w:r>
          </w:p>
        </w:tc>
        <w:tc>
          <w:tcPr>
            <w:tcW w:w="2976" w:type="dxa"/>
          </w:tcPr>
          <w:p w14:paraId="210B237F" w14:textId="77777777" w:rsidR="00D82224" w:rsidRPr="00CE6A0A" w:rsidRDefault="00D82224" w:rsidP="009B561A">
            <w:pPr>
              <w:spacing w:line="276" w:lineRule="auto"/>
              <w:jc w:val="center"/>
              <w:rPr>
                <w:rFonts w:ascii="Calibri" w:hAnsi="Calibri" w:cs="Calibri"/>
                <w:b/>
                <w:bCs/>
                <w:color w:val="FF0000"/>
                <w:sz w:val="20"/>
                <w:szCs w:val="20"/>
              </w:rPr>
            </w:pPr>
            <w:r w:rsidRPr="00CE6A0A">
              <w:rPr>
                <w:rFonts w:ascii="Calibri" w:hAnsi="Calibri" w:cs="Calibri"/>
                <w:b/>
                <w:bCs/>
                <w:sz w:val="20"/>
                <w:szCs w:val="20"/>
              </w:rPr>
              <w:t>Discussion/Conclusions</w:t>
            </w:r>
          </w:p>
        </w:tc>
      </w:tr>
      <w:tr w:rsidR="00D82224" w:rsidRPr="009B561A" w14:paraId="33E87151" w14:textId="77777777" w:rsidTr="0087653A">
        <w:tc>
          <w:tcPr>
            <w:tcW w:w="461" w:type="dxa"/>
          </w:tcPr>
          <w:p w14:paraId="7841264F" w14:textId="77777777" w:rsidR="00D82224" w:rsidRPr="00CE6A0A" w:rsidRDefault="00D82224" w:rsidP="009B561A">
            <w:pPr>
              <w:spacing w:line="276" w:lineRule="auto"/>
              <w:rPr>
                <w:rFonts w:ascii="Calibri" w:hAnsi="Calibri" w:cs="Calibri"/>
                <w:color w:val="000000" w:themeColor="text1"/>
                <w:sz w:val="20"/>
                <w:szCs w:val="20"/>
              </w:rPr>
            </w:pPr>
            <w:r w:rsidRPr="00CE6A0A">
              <w:rPr>
                <w:rFonts w:ascii="Calibri" w:hAnsi="Calibri" w:cs="Calibri"/>
                <w:color w:val="000000" w:themeColor="text1"/>
                <w:sz w:val="20"/>
                <w:szCs w:val="20"/>
              </w:rPr>
              <w:t>1</w:t>
            </w:r>
          </w:p>
        </w:tc>
        <w:tc>
          <w:tcPr>
            <w:tcW w:w="3645" w:type="dxa"/>
          </w:tcPr>
          <w:p w14:paraId="76679E14" w14:textId="2FC5159D" w:rsidR="00D82224" w:rsidRPr="00CE6A0A" w:rsidRDefault="00D82224" w:rsidP="009B561A">
            <w:pPr>
              <w:spacing w:line="276" w:lineRule="auto"/>
              <w:rPr>
                <w:rFonts w:ascii="Calibri" w:hAnsi="Calibri" w:cs="Calibri"/>
                <w:b/>
                <w:bCs/>
                <w:color w:val="000000" w:themeColor="text1"/>
                <w:sz w:val="20"/>
                <w:szCs w:val="20"/>
                <w:vertAlign w:val="superscript"/>
              </w:rPr>
            </w:pPr>
            <w:proofErr w:type="spellStart"/>
            <w:r w:rsidRPr="00CE6A0A">
              <w:rPr>
                <w:rFonts w:ascii="Calibri" w:hAnsi="Calibri" w:cs="Calibri"/>
                <w:b/>
                <w:bCs/>
                <w:color w:val="000000" w:themeColor="text1"/>
                <w:sz w:val="20"/>
                <w:szCs w:val="20"/>
              </w:rPr>
              <w:t>Cunney</w:t>
            </w:r>
            <w:proofErr w:type="spellEnd"/>
            <w:r w:rsidRPr="00CE6A0A">
              <w:rPr>
                <w:rFonts w:ascii="Calibri" w:hAnsi="Calibri" w:cs="Calibri"/>
                <w:b/>
                <w:bCs/>
                <w:color w:val="000000" w:themeColor="text1"/>
                <w:sz w:val="20"/>
                <w:szCs w:val="20"/>
              </w:rPr>
              <w:t xml:space="preserve"> et al 2019</w:t>
            </w:r>
            <w:r w:rsidR="00F75FA6" w:rsidRPr="00CE6A0A">
              <w:rPr>
                <w:rFonts w:ascii="Calibri" w:hAnsi="Calibri" w:cs="Calibri"/>
                <w:b/>
                <w:bCs/>
                <w:color w:val="000000" w:themeColor="text1"/>
                <w:sz w:val="20"/>
                <w:szCs w:val="20"/>
              </w:rPr>
              <w:t xml:space="preserve"> </w:t>
            </w:r>
            <w:r w:rsidR="002374B9" w:rsidRPr="00CE6A0A">
              <w:rPr>
                <w:rFonts w:ascii="Calibri" w:hAnsi="Calibri" w:cs="Calibri"/>
                <w:b/>
                <w:bCs/>
                <w:color w:val="000000" w:themeColor="text1"/>
                <w:sz w:val="20"/>
                <w:szCs w:val="20"/>
              </w:rPr>
              <w:fldChar w:fldCharType="begin" w:fldLock="1"/>
            </w:r>
            <w:r w:rsidR="002374B9" w:rsidRPr="00CE6A0A">
              <w:rPr>
                <w:rFonts w:ascii="Calibri" w:hAnsi="Calibri" w:cs="Calibri"/>
                <w:b/>
                <w:bCs/>
                <w:color w:val="000000" w:themeColor="text1"/>
                <w:sz w:val="20"/>
                <w:szCs w:val="20"/>
              </w:rPr>
              <w:instrText>ADDIN CSL_CITATION {"citationItems":[{"id":"ITEM-1","itemData":{"DOI":"10.1136/bmjoq-2018-000445","ISSN":"23996641","abstract":"Infection is the most frequent indication for non-scheduled admission to paediatric hospitals, leading to high levels of empiric antibiotic prescribing. Antibiotic prescribing in line with local guidelines, improves patient outcomes, reduces adverse drug events and helps to reduce the emergence of antimicrobial resistance. We undertook an improvement project at Temple Street Children's University Hospital targeting documentation of indication and compliance with empiric antibiotic prescribing guidelines among medical admissions via the emergency department (ED). Results of weekly audits of empiric antibiotic prescribing were fed back to prescribers. Front-line ownership techniques were used to empower prescribers to generate ideas for change, such as regular discussion of antibiotic prescribing issues at weekly clinical meetings, antibiotic ' spot quiz', updates to prescribing guidelines, improved access and promotion of a prescribing app, laminated guideline summary cards, and reminders and guideline summaries at a point of prescribing in ED. Documentation of indication and guideline compliance increased from a median of 30% in December 2014 to 100% in March 2015, and was sustained at 100% to September 2016, then 90% to December 2017. The intervention was associated with improvements in non-targeted indicators of prescribing quality, an overall reduction in antimicrobial consumption in the hospital, and a €105 000 reduction in annual antimicrobial acquisition costs. We found that a simple, paper-based, data collection system was effective, provided opportunities for a point-of-care interaction with prescribers, and facilitated weekly data feedback. We also found that using a pre-existing weekly clinical meeting to foster prescriber ownership of the data, allowing prescribers to identify possible tests of change, and exploiting the competitive nature of doctors, led to a rapid and sustained improvement in prescribing quality. Awareness of local prescribing processes and culture are essential to delivering improvements in antimicrobial stewardship.","author":[{"dropping-particle":"","family":"Cunney","given":"Robert","non-dropping-particle":"","parse-names":false,"suffix":""},{"dropping-particle":"","family":"Kirrane-Scott","given":"Michelle","non-dropping-particle":"","parse-names":false,"suffix":""},{"dropping-particle":"","family":"Rafferty","given":"Aisling","non-dropping-particle":"","parse-names":false,"suffix":""},{"dropping-particle":"","family":"Stapleton","given":"Patrick","non-dropping-particle":"","parse-names":false,"suffix":""},{"dropping-particle":"","family":"Okafor","given":"Ikechukwu","non-dropping-particle":"","parse-names":false,"suffix":""},{"dropping-particle":"","family":"Mcnamara","given":"Roisin","non-dropping-particle":"","parse-names":false,"suffix":""}],"container-title":"BMJ Open Quality","id":"ITEM-1","issue":"3","issued":{"date-parts":[["2019","8","1"]]},"publisher":"BMJ Publishing Group","title":"Start smart': Using front-line ownership to improve the quality of empiric antibiotic prescribing in a paediatric hospital","type":"article-journal","volume":"8"},"uris":["http://www.mendeley.com/documents/?uuid=e448f0ba-7e54-38f2-9fa0-974912a687c5"]}],"mendeley":{"formattedCitation":"(18)","plainTextFormattedCitation":"(18)","previouslyFormattedCitation":"(18)"},"properties":{"noteIndex":0},"schema":"https://github.com/citation-style-language/schema/raw/master/csl-citation.json"}</w:instrText>
            </w:r>
            <w:r w:rsidR="002374B9" w:rsidRPr="00CE6A0A">
              <w:rPr>
                <w:rFonts w:ascii="Calibri" w:hAnsi="Calibri" w:cs="Calibri"/>
                <w:b/>
                <w:bCs/>
                <w:color w:val="000000" w:themeColor="text1"/>
                <w:sz w:val="20"/>
                <w:szCs w:val="20"/>
              </w:rPr>
              <w:fldChar w:fldCharType="separate"/>
            </w:r>
            <w:r w:rsidR="00CE6A0A" w:rsidRPr="00CE6A0A">
              <w:rPr>
                <w:rFonts w:ascii="Calibri" w:hAnsi="Calibri" w:cs="Calibri"/>
                <w:color w:val="000000" w:themeColor="text1"/>
                <w:sz w:val="20"/>
                <w:szCs w:val="20"/>
              </w:rPr>
              <w:t>[</w:t>
            </w:r>
            <w:r w:rsidR="002374B9" w:rsidRPr="00CE6A0A">
              <w:rPr>
                <w:rFonts w:ascii="Calibri" w:hAnsi="Calibri" w:cs="Calibri"/>
                <w:bCs/>
                <w:noProof/>
                <w:color w:val="000000" w:themeColor="text1"/>
                <w:sz w:val="20"/>
                <w:szCs w:val="20"/>
              </w:rPr>
              <w:t>18</w:t>
            </w:r>
            <w:r w:rsidR="00CE6A0A" w:rsidRPr="00CE6A0A">
              <w:rPr>
                <w:rFonts w:ascii="Calibri" w:hAnsi="Calibri" w:cs="Calibri"/>
                <w:bCs/>
                <w:noProof/>
                <w:color w:val="000000" w:themeColor="text1"/>
                <w:sz w:val="20"/>
                <w:szCs w:val="20"/>
              </w:rPr>
              <w:t>]</w:t>
            </w:r>
            <w:r w:rsidR="002374B9" w:rsidRPr="00CE6A0A">
              <w:rPr>
                <w:rFonts w:ascii="Calibri" w:hAnsi="Calibri" w:cs="Calibri"/>
                <w:b/>
                <w:bCs/>
                <w:color w:val="000000" w:themeColor="text1"/>
                <w:sz w:val="20"/>
                <w:szCs w:val="20"/>
              </w:rPr>
              <w:fldChar w:fldCharType="end"/>
            </w:r>
          </w:p>
          <w:p w14:paraId="00286F5D" w14:textId="77777777" w:rsidR="00D82224" w:rsidRPr="00CE6A0A" w:rsidRDefault="00D82224" w:rsidP="009B561A">
            <w:pPr>
              <w:spacing w:line="276" w:lineRule="auto"/>
              <w:rPr>
                <w:rFonts w:ascii="Calibri" w:hAnsi="Calibri" w:cs="Calibri"/>
                <w:color w:val="000000" w:themeColor="text1"/>
                <w:sz w:val="20"/>
                <w:szCs w:val="20"/>
              </w:rPr>
            </w:pPr>
            <w:r w:rsidRPr="00CE6A0A">
              <w:rPr>
                <w:rFonts w:ascii="Calibri" w:hAnsi="Calibri" w:cs="Calibri"/>
                <w:color w:val="000000" w:themeColor="text1"/>
                <w:sz w:val="20"/>
                <w:szCs w:val="20"/>
              </w:rPr>
              <w:t>‘Start smart’: using front-line ownership to improve the quality of empiric antibiotic prescribing in a paediatric hospital</w:t>
            </w:r>
          </w:p>
          <w:p w14:paraId="2A44ED45" w14:textId="77777777" w:rsidR="00D82224" w:rsidRPr="00CE6A0A" w:rsidRDefault="00D82224" w:rsidP="009B561A">
            <w:pPr>
              <w:spacing w:line="276" w:lineRule="auto"/>
              <w:rPr>
                <w:rFonts w:ascii="Calibri" w:hAnsi="Calibri" w:cs="Calibri"/>
                <w:color w:val="000000" w:themeColor="text1"/>
                <w:sz w:val="20"/>
                <w:szCs w:val="20"/>
              </w:rPr>
            </w:pPr>
          </w:p>
          <w:p w14:paraId="314F4989" w14:textId="77777777" w:rsidR="00D82224" w:rsidRPr="00CE6A0A" w:rsidRDefault="00D82224" w:rsidP="009B561A">
            <w:pPr>
              <w:spacing w:line="276" w:lineRule="auto"/>
              <w:rPr>
                <w:rFonts w:ascii="Calibri" w:hAnsi="Calibri" w:cs="Calibri"/>
                <w:b/>
                <w:bCs/>
                <w:color w:val="000000" w:themeColor="text1"/>
                <w:sz w:val="20"/>
                <w:szCs w:val="20"/>
              </w:rPr>
            </w:pPr>
            <w:r w:rsidRPr="00CE6A0A">
              <w:rPr>
                <w:rFonts w:ascii="Calibri" w:hAnsi="Calibri" w:cs="Calibri"/>
                <w:b/>
                <w:bCs/>
                <w:sz w:val="20"/>
                <w:szCs w:val="20"/>
              </w:rPr>
              <w:t>*Links with Table SRC C</w:t>
            </w:r>
          </w:p>
        </w:tc>
        <w:tc>
          <w:tcPr>
            <w:tcW w:w="3260" w:type="dxa"/>
          </w:tcPr>
          <w:p w14:paraId="49C4C9FC" w14:textId="77777777" w:rsidR="00D82224" w:rsidRPr="00CE6A0A" w:rsidRDefault="00D82224" w:rsidP="009B561A">
            <w:pPr>
              <w:spacing w:line="276" w:lineRule="auto"/>
              <w:rPr>
                <w:rFonts w:ascii="Calibri" w:hAnsi="Calibri" w:cs="Calibri"/>
                <w:b/>
                <w:bCs/>
                <w:color w:val="000000" w:themeColor="text1"/>
                <w:sz w:val="20"/>
                <w:szCs w:val="20"/>
              </w:rPr>
            </w:pPr>
            <w:r w:rsidRPr="00CE6A0A">
              <w:rPr>
                <w:rFonts w:ascii="Calibri" w:hAnsi="Calibri" w:cs="Calibri"/>
                <w:b/>
                <w:bCs/>
                <w:color w:val="000000" w:themeColor="text1"/>
                <w:sz w:val="20"/>
                <w:szCs w:val="20"/>
              </w:rPr>
              <w:t>Aims:</w:t>
            </w:r>
            <w:r w:rsidRPr="00CE6A0A">
              <w:rPr>
                <w:rFonts w:ascii="Calibri" w:hAnsi="Calibri" w:cs="Calibri"/>
                <w:color w:val="000000" w:themeColor="text1"/>
                <w:sz w:val="20"/>
                <w:szCs w:val="20"/>
              </w:rPr>
              <w:t xml:space="preserve"> To achieve ≥90% compliance with documentation of indication and prescribing guidelines by June 2015. </w:t>
            </w:r>
          </w:p>
          <w:p w14:paraId="1D85B1C0" w14:textId="77777777" w:rsidR="00D82224" w:rsidRPr="00CE6A0A" w:rsidRDefault="00D82224" w:rsidP="009B561A">
            <w:pPr>
              <w:spacing w:line="276" w:lineRule="auto"/>
              <w:rPr>
                <w:rFonts w:ascii="Calibri" w:hAnsi="Calibri" w:cs="Calibri"/>
                <w:color w:val="000000" w:themeColor="text1"/>
                <w:sz w:val="20"/>
                <w:szCs w:val="20"/>
              </w:rPr>
            </w:pPr>
            <w:r w:rsidRPr="00CE6A0A">
              <w:rPr>
                <w:rFonts w:ascii="Calibri" w:hAnsi="Calibri" w:cs="Calibri"/>
                <w:b/>
                <w:bCs/>
                <w:color w:val="000000" w:themeColor="text1"/>
                <w:sz w:val="20"/>
                <w:szCs w:val="20"/>
              </w:rPr>
              <w:t xml:space="preserve">Methods: </w:t>
            </w:r>
            <w:r w:rsidRPr="00CE6A0A">
              <w:rPr>
                <w:rFonts w:ascii="Calibri" w:hAnsi="Calibri" w:cs="Calibri"/>
                <w:color w:val="000000" w:themeColor="text1"/>
                <w:sz w:val="20"/>
                <w:szCs w:val="20"/>
              </w:rPr>
              <w:t xml:space="preserve">Quality improvement </w:t>
            </w:r>
          </w:p>
          <w:p w14:paraId="2D00C720" w14:textId="77777777" w:rsidR="00D82224" w:rsidRPr="00CE6A0A" w:rsidRDefault="00D82224" w:rsidP="009B561A">
            <w:pPr>
              <w:spacing w:line="276" w:lineRule="auto"/>
              <w:rPr>
                <w:rFonts w:ascii="Calibri" w:hAnsi="Calibri" w:cs="Calibri"/>
                <w:b/>
                <w:bCs/>
                <w:color w:val="000000" w:themeColor="text1"/>
                <w:sz w:val="20"/>
                <w:szCs w:val="20"/>
              </w:rPr>
            </w:pPr>
            <w:r w:rsidRPr="00CE6A0A">
              <w:rPr>
                <w:rFonts w:ascii="Calibri" w:hAnsi="Calibri" w:cs="Calibri"/>
                <w:b/>
                <w:bCs/>
                <w:color w:val="000000" w:themeColor="text1"/>
                <w:sz w:val="20"/>
                <w:szCs w:val="20"/>
              </w:rPr>
              <w:t>Participants: D</w:t>
            </w:r>
            <w:r w:rsidRPr="00CE6A0A">
              <w:rPr>
                <w:rFonts w:ascii="Calibri" w:hAnsi="Calibri" w:cs="Calibri"/>
                <w:color w:val="000000" w:themeColor="text1"/>
                <w:sz w:val="20"/>
                <w:szCs w:val="20"/>
              </w:rPr>
              <w:t>octors</w:t>
            </w:r>
          </w:p>
          <w:p w14:paraId="11E3EF32" w14:textId="77777777" w:rsidR="00D82224" w:rsidRPr="00CE6A0A" w:rsidRDefault="00D82224" w:rsidP="009B561A">
            <w:pPr>
              <w:spacing w:line="276" w:lineRule="auto"/>
              <w:rPr>
                <w:rFonts w:ascii="Calibri" w:hAnsi="Calibri" w:cs="Calibri"/>
                <w:b/>
                <w:bCs/>
                <w:color w:val="000000" w:themeColor="text1"/>
                <w:sz w:val="20"/>
                <w:szCs w:val="20"/>
              </w:rPr>
            </w:pPr>
            <w:r w:rsidRPr="00CE6A0A">
              <w:rPr>
                <w:rFonts w:ascii="Calibri" w:hAnsi="Calibri" w:cs="Calibri"/>
                <w:color w:val="000000" w:themeColor="text1"/>
                <w:sz w:val="20"/>
                <w:szCs w:val="20"/>
              </w:rPr>
              <w:t xml:space="preserve"> </w:t>
            </w:r>
            <w:r w:rsidRPr="00CE6A0A">
              <w:rPr>
                <w:rFonts w:ascii="Calibri" w:hAnsi="Calibri" w:cs="Calibri"/>
                <w:b/>
                <w:bCs/>
                <w:color w:val="000000" w:themeColor="text1"/>
                <w:sz w:val="20"/>
                <w:szCs w:val="20"/>
              </w:rPr>
              <w:t>Recruitment:</w:t>
            </w:r>
            <w:r w:rsidRPr="00CE6A0A">
              <w:rPr>
                <w:rFonts w:ascii="Calibri" w:hAnsi="Calibri" w:cs="Calibri"/>
                <w:color w:val="000000" w:themeColor="text1"/>
                <w:sz w:val="20"/>
                <w:szCs w:val="20"/>
              </w:rPr>
              <w:t xml:space="preserve"> Face to face invite</w:t>
            </w:r>
          </w:p>
        </w:tc>
        <w:tc>
          <w:tcPr>
            <w:tcW w:w="3828" w:type="dxa"/>
          </w:tcPr>
          <w:p w14:paraId="705BF919" w14:textId="77777777" w:rsidR="00D82224" w:rsidRPr="00CE6A0A" w:rsidRDefault="00D82224" w:rsidP="009B561A">
            <w:pPr>
              <w:spacing w:line="276" w:lineRule="auto"/>
              <w:rPr>
                <w:rFonts w:ascii="Calibri" w:hAnsi="Calibri" w:cs="Calibri"/>
                <w:sz w:val="20"/>
                <w:szCs w:val="20"/>
              </w:rPr>
            </w:pPr>
            <w:r w:rsidRPr="00CE6A0A">
              <w:rPr>
                <w:rFonts w:ascii="Calibri" w:hAnsi="Calibri" w:cs="Calibri"/>
                <w:sz w:val="20"/>
                <w:szCs w:val="20"/>
              </w:rPr>
              <w:t>Documentation of indication and guideline compliance increased from a median of 30% in December 2014 to 100% in March 2015, and was sustained at 100% to September 2016, then 90% to December 2017.</w:t>
            </w:r>
          </w:p>
          <w:p w14:paraId="13702D2B" w14:textId="77777777" w:rsidR="00D82224" w:rsidRPr="00CE6A0A" w:rsidRDefault="00D82224" w:rsidP="009B561A">
            <w:pPr>
              <w:spacing w:line="276" w:lineRule="auto"/>
              <w:rPr>
                <w:rFonts w:ascii="Calibri" w:hAnsi="Calibri" w:cs="Calibri"/>
                <w:sz w:val="20"/>
                <w:szCs w:val="20"/>
              </w:rPr>
            </w:pPr>
          </w:p>
          <w:p w14:paraId="5181927A" w14:textId="77777777" w:rsidR="00D82224" w:rsidRPr="00CE6A0A" w:rsidRDefault="00D82224" w:rsidP="009B561A">
            <w:pPr>
              <w:spacing w:line="276" w:lineRule="auto"/>
              <w:rPr>
                <w:rFonts w:ascii="Calibri" w:hAnsi="Calibri" w:cs="Calibri"/>
                <w:b/>
                <w:bCs/>
                <w:sz w:val="20"/>
                <w:szCs w:val="20"/>
              </w:rPr>
            </w:pPr>
            <w:r w:rsidRPr="00CE6A0A">
              <w:rPr>
                <w:rFonts w:ascii="Calibri" w:hAnsi="Calibri" w:cs="Calibri"/>
                <w:sz w:val="20"/>
                <w:szCs w:val="20"/>
              </w:rPr>
              <w:t>Expenditure on antimicrobials was reduced by 105,000 euro per year.</w:t>
            </w:r>
          </w:p>
        </w:tc>
        <w:tc>
          <w:tcPr>
            <w:tcW w:w="2976" w:type="dxa"/>
          </w:tcPr>
          <w:p w14:paraId="72DD3393" w14:textId="77777777" w:rsidR="00D82224" w:rsidRPr="009B561A" w:rsidRDefault="00D82224" w:rsidP="009B561A">
            <w:pPr>
              <w:spacing w:line="276" w:lineRule="auto"/>
              <w:jc w:val="both"/>
              <w:rPr>
                <w:rFonts w:ascii="Calibri" w:hAnsi="Calibri" w:cs="Calibri"/>
                <w:sz w:val="20"/>
                <w:szCs w:val="20"/>
              </w:rPr>
            </w:pPr>
            <w:r w:rsidRPr="00CE6A0A">
              <w:rPr>
                <w:rFonts w:ascii="Calibri" w:hAnsi="Calibri" w:cs="Calibri"/>
                <w:sz w:val="20"/>
                <w:szCs w:val="20"/>
              </w:rPr>
              <w:t>Quality improvement initiatives using an educational intervention in which antibiotics are categorised into red(avoid) and green (preferred) resulted in a reduction of 27% red prescriptions.</w:t>
            </w:r>
            <w:r w:rsidRPr="009B561A">
              <w:rPr>
                <w:rFonts w:ascii="Calibri" w:hAnsi="Calibri" w:cs="Calibri"/>
                <w:sz w:val="20"/>
                <w:szCs w:val="20"/>
              </w:rPr>
              <w:t xml:space="preserve"> </w:t>
            </w:r>
          </w:p>
          <w:p w14:paraId="2B1085C4" w14:textId="77777777" w:rsidR="00D82224" w:rsidRPr="009B561A" w:rsidRDefault="00D82224" w:rsidP="009B561A">
            <w:pPr>
              <w:spacing w:line="276" w:lineRule="auto"/>
              <w:jc w:val="both"/>
              <w:rPr>
                <w:rFonts w:ascii="Calibri" w:hAnsi="Calibri" w:cs="Calibri"/>
                <w:color w:val="FF0000"/>
                <w:sz w:val="20"/>
                <w:szCs w:val="20"/>
              </w:rPr>
            </w:pPr>
          </w:p>
        </w:tc>
      </w:tr>
      <w:tr w:rsidR="00D82224" w:rsidRPr="009B561A" w14:paraId="52C9AE06" w14:textId="77777777" w:rsidTr="0087653A">
        <w:tc>
          <w:tcPr>
            <w:tcW w:w="461" w:type="dxa"/>
          </w:tcPr>
          <w:p w14:paraId="77500458"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2</w:t>
            </w:r>
          </w:p>
        </w:tc>
        <w:tc>
          <w:tcPr>
            <w:tcW w:w="3645" w:type="dxa"/>
          </w:tcPr>
          <w:p w14:paraId="53C38E97" w14:textId="49A24532" w:rsidR="00D82224" w:rsidRPr="00CE6A0A" w:rsidRDefault="00D82224" w:rsidP="009B561A">
            <w:pPr>
              <w:spacing w:line="276" w:lineRule="auto"/>
              <w:rPr>
                <w:rFonts w:ascii="Calibri" w:hAnsi="Calibri" w:cs="Calibri"/>
                <w:color w:val="000000" w:themeColor="text1"/>
                <w:sz w:val="20"/>
                <w:szCs w:val="20"/>
                <w:vertAlign w:val="superscript"/>
              </w:rPr>
            </w:pPr>
            <w:r w:rsidRPr="00CE6A0A">
              <w:rPr>
                <w:rFonts w:ascii="Calibri" w:hAnsi="Calibri" w:cs="Calibri"/>
                <w:b/>
                <w:bCs/>
                <w:color w:val="000000" w:themeColor="text1"/>
                <w:sz w:val="20"/>
                <w:szCs w:val="20"/>
              </w:rPr>
              <w:t>Maguire et al (2018</w:t>
            </w:r>
            <w:r w:rsidRPr="00CE6A0A">
              <w:rPr>
                <w:rFonts w:ascii="Calibri" w:hAnsi="Calibri" w:cs="Calibri"/>
                <w:color w:val="000000" w:themeColor="text1"/>
                <w:sz w:val="20"/>
                <w:szCs w:val="20"/>
              </w:rPr>
              <w:t>)</w:t>
            </w:r>
            <w:r w:rsidRPr="00CE6A0A">
              <w:rPr>
                <w:rFonts w:ascii="Calibri" w:hAnsi="Calibri" w:cs="Calibri"/>
                <w:color w:val="000000" w:themeColor="text1"/>
                <w:sz w:val="20"/>
                <w:szCs w:val="20"/>
                <w:vertAlign w:val="superscript"/>
              </w:rPr>
              <w:t xml:space="preserve"> </w:t>
            </w:r>
            <w:r w:rsidR="00BB3A86" w:rsidRPr="00CE6A0A">
              <w:rPr>
                <w:rFonts w:ascii="Calibri" w:hAnsi="Calibri" w:cs="Calibri"/>
                <w:b/>
                <w:bCs/>
                <w:color w:val="000000" w:themeColor="text1"/>
                <w:sz w:val="20"/>
                <w:szCs w:val="20"/>
              </w:rPr>
              <w:fldChar w:fldCharType="begin" w:fldLock="1"/>
            </w:r>
            <w:r w:rsidR="00F62023" w:rsidRPr="00CE6A0A">
              <w:rPr>
                <w:rFonts w:ascii="Calibri" w:hAnsi="Calibri" w:cs="Calibri"/>
                <w:b/>
                <w:bCs/>
                <w:color w:val="000000" w:themeColor="text1"/>
                <w:sz w:val="20"/>
                <w:szCs w:val="20"/>
              </w:rPr>
              <w:instrText>ADDIN CSL_CITATION {"citationItems":[{"id":"ITEM-1","itemData":{"ISSN":"03323102","PMID":"30558408","abstract":"Introduction This study aimed to analyse antibiotic prescribing in cases of upper respiratory tract infection (URTI) in children under 6 years attending Irish daytime and out-of-hours General Practice (GP) services. There have been large scale changes in entitlements for free GP care for this group in recent years. Methods A cross-sectional study of children under 6 years with URTI presentations was performed, over a two-week period for three years from 2015 to 2017. Factors associated with antibiotic prescription and preferred antibiotic compliance were examined using multivariate logistic regression. Results 1,007 Under-6 patients presented with an URTI in our sample over the study period. Following introduction of free GP care, patients were 50% less likely to receive an antibiotic prescription. Overall antibiotic prescribing fell from 70% to 50% in daytime services and from 72% to 60% in the out-of-hours setting. Patients presenting to out-of-hours services were more likely to receive an antibiotic (OR: 1.42) and less likely to receive a deferred antibiotic (OR: 0.53). One quarter to one third of all prescriptions were for deferred antibiotics. Year-on-year trends showed a 13% decrease in prescriptions and 13% increase in preferred antibiotic use. Conclusion The introduction of free GP care led to significant reductions in antibiotic prescribing, which may be due to changes in health seeking behaviour by parents or other reasons. Antibiotic prescribing was more commonplace in the out-of-hours setting, and rates remains high by international standards. This study underlines the importance of ongoing work around GP antimicrobial stewardship, particularly in the out-of-hours setting.","id":"ITEM-1","issued":{"date-parts":[["0"]]},"language":"English","publisher-place":"M. Rourke, Trinity College Dublin/Health Service Executive (TCD/HSE) GP training scheme, The Russell Centre, Floor 6, Tallaght Cross West, Dublin 24, Tallaght, Ireland","title":"Maguire F, Murphy ME, Rourke M, et al. A Cross-Sectional Study of Antibiotic Prescribing for Childhood Upper Respiratory Tract Infections in Irish General Practice Irish Medical Journal. 2018 Dec;111(10):835. PMID: 30558408.","type":"article-journal"},"uris":["http://www.mendeley.com/documents/?uuid=342849c1-3a68-4e97-b31d-75bf6fe155f8"]}],"mendeley":{"formattedCitation":"(19)","plainTextFormattedCitation":"(19)","previouslyFormattedCitation":"(19)"},"properties":{"noteIndex":0},"schema":"https://github.com/citation-style-language/schema/raw/master/csl-citation.json"}</w:instrText>
            </w:r>
            <w:r w:rsidR="00BB3A86" w:rsidRPr="00CE6A0A">
              <w:rPr>
                <w:rFonts w:ascii="Calibri" w:hAnsi="Calibri" w:cs="Calibri"/>
                <w:b/>
                <w:bCs/>
                <w:color w:val="000000" w:themeColor="text1"/>
                <w:sz w:val="20"/>
                <w:szCs w:val="20"/>
              </w:rPr>
              <w:fldChar w:fldCharType="separate"/>
            </w:r>
            <w:r w:rsidR="00CE6A0A" w:rsidRPr="00CE6A0A">
              <w:rPr>
                <w:rFonts w:ascii="Calibri" w:hAnsi="Calibri" w:cs="Calibri"/>
                <w:color w:val="000000" w:themeColor="text1"/>
                <w:sz w:val="20"/>
                <w:szCs w:val="20"/>
              </w:rPr>
              <w:t>[</w:t>
            </w:r>
            <w:r w:rsidR="00BB3A86" w:rsidRPr="00CE6A0A">
              <w:rPr>
                <w:rFonts w:ascii="Calibri" w:hAnsi="Calibri" w:cs="Calibri"/>
                <w:bCs/>
                <w:noProof/>
                <w:color w:val="000000" w:themeColor="text1"/>
                <w:sz w:val="20"/>
                <w:szCs w:val="20"/>
              </w:rPr>
              <w:t>19</w:t>
            </w:r>
            <w:r w:rsidR="00CE6A0A" w:rsidRPr="00CE6A0A">
              <w:rPr>
                <w:rFonts w:ascii="Calibri" w:hAnsi="Calibri" w:cs="Calibri"/>
                <w:bCs/>
                <w:noProof/>
                <w:color w:val="000000" w:themeColor="text1"/>
                <w:sz w:val="20"/>
                <w:szCs w:val="20"/>
              </w:rPr>
              <w:t>]</w:t>
            </w:r>
            <w:r w:rsidR="00BB3A86" w:rsidRPr="00CE6A0A">
              <w:rPr>
                <w:rFonts w:ascii="Calibri" w:hAnsi="Calibri" w:cs="Calibri"/>
                <w:b/>
                <w:bCs/>
                <w:color w:val="000000" w:themeColor="text1"/>
                <w:sz w:val="20"/>
                <w:szCs w:val="20"/>
              </w:rPr>
              <w:fldChar w:fldCharType="end"/>
            </w:r>
          </w:p>
          <w:p w14:paraId="104222FB" w14:textId="77777777" w:rsidR="00D82224" w:rsidRPr="00CE6A0A" w:rsidRDefault="00D82224" w:rsidP="009B561A">
            <w:pPr>
              <w:spacing w:line="276" w:lineRule="auto"/>
              <w:rPr>
                <w:rFonts w:ascii="Calibri" w:hAnsi="Calibri" w:cs="Calibri"/>
                <w:color w:val="000000" w:themeColor="text1"/>
                <w:sz w:val="20"/>
                <w:szCs w:val="20"/>
              </w:rPr>
            </w:pPr>
            <w:r w:rsidRPr="00CE6A0A">
              <w:rPr>
                <w:rFonts w:ascii="Calibri" w:hAnsi="Calibri" w:cs="Calibri"/>
                <w:color w:val="000000" w:themeColor="text1"/>
                <w:sz w:val="20"/>
                <w:szCs w:val="20"/>
              </w:rPr>
              <w:t>A Cross-Sectional Study of Antibiotic Prescribing for Childhood Upper Respiratory Tract Infections in Irish General Practice</w:t>
            </w:r>
          </w:p>
          <w:p w14:paraId="5444AEC8" w14:textId="77777777" w:rsidR="00D82224" w:rsidRPr="00CE6A0A" w:rsidRDefault="00D82224" w:rsidP="009B561A">
            <w:pPr>
              <w:spacing w:line="276" w:lineRule="auto"/>
              <w:rPr>
                <w:rFonts w:ascii="Calibri" w:hAnsi="Calibri" w:cs="Calibri"/>
                <w:b/>
                <w:bCs/>
                <w:color w:val="000000" w:themeColor="text1"/>
                <w:sz w:val="20"/>
                <w:szCs w:val="20"/>
              </w:rPr>
            </w:pPr>
          </w:p>
          <w:p w14:paraId="69F1FFF4" w14:textId="77777777" w:rsidR="00D82224" w:rsidRPr="00CE6A0A" w:rsidRDefault="00D82224" w:rsidP="009B561A">
            <w:pPr>
              <w:spacing w:line="276" w:lineRule="auto"/>
              <w:rPr>
                <w:rFonts w:ascii="Calibri" w:hAnsi="Calibri" w:cs="Calibri"/>
                <w:b/>
                <w:bCs/>
                <w:color w:val="000000" w:themeColor="text1"/>
                <w:sz w:val="20"/>
                <w:szCs w:val="20"/>
              </w:rPr>
            </w:pPr>
          </w:p>
        </w:tc>
        <w:tc>
          <w:tcPr>
            <w:tcW w:w="3260" w:type="dxa"/>
          </w:tcPr>
          <w:p w14:paraId="03F5108E"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Aims:</w:t>
            </w:r>
            <w:r w:rsidRPr="009B561A">
              <w:rPr>
                <w:rFonts w:ascii="Calibri" w:hAnsi="Calibri" w:cs="Calibri"/>
                <w:color w:val="000000" w:themeColor="text1"/>
                <w:sz w:val="20"/>
                <w:szCs w:val="20"/>
              </w:rPr>
              <w:t xml:space="preserve"> To analyse antibiotic prescribing in cases of upper respiratory tract infection (URTI) in children under 6 years attending Irish daytime and out-of-hours General Practice (GP) services.</w:t>
            </w:r>
          </w:p>
          <w:p w14:paraId="6B88D40D"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Methods:</w:t>
            </w:r>
            <w:r w:rsidRPr="009B561A">
              <w:rPr>
                <w:rFonts w:ascii="Calibri" w:hAnsi="Calibri" w:cs="Calibri"/>
                <w:color w:val="000000" w:themeColor="text1"/>
                <w:sz w:val="20"/>
                <w:szCs w:val="20"/>
              </w:rPr>
              <w:t xml:space="preserve"> </w:t>
            </w:r>
          </w:p>
          <w:p w14:paraId="7B3BE6F6"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color w:val="000000" w:themeColor="text1"/>
                <w:sz w:val="20"/>
                <w:szCs w:val="20"/>
              </w:rPr>
              <w:t>Cross-sectional study of children under 6 years with URTI presentations was performed, over a two-week period for three years from 2015 to 2017</w:t>
            </w:r>
          </w:p>
          <w:p w14:paraId="44186F77" w14:textId="77777777" w:rsidR="00D82224" w:rsidRPr="009B561A" w:rsidRDefault="00D82224" w:rsidP="009B561A">
            <w:pPr>
              <w:autoSpaceDE w:val="0"/>
              <w:autoSpaceDN w:val="0"/>
              <w:adjustRightInd w:val="0"/>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1,007 Under-6 years patients</w:t>
            </w:r>
          </w:p>
          <w:p w14:paraId="78790B0F"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Recruitment:</w:t>
            </w:r>
            <w:r w:rsidRPr="009B561A">
              <w:rPr>
                <w:rFonts w:ascii="Calibri" w:hAnsi="Calibri" w:cs="Calibri"/>
                <w:sz w:val="20"/>
                <w:szCs w:val="20"/>
              </w:rPr>
              <w:t xml:space="preserve"> Anonymised consultation data</w:t>
            </w:r>
          </w:p>
        </w:tc>
        <w:tc>
          <w:tcPr>
            <w:tcW w:w="3828" w:type="dxa"/>
          </w:tcPr>
          <w:p w14:paraId="56AA2EB1" w14:textId="77777777" w:rsidR="00D82224" w:rsidRPr="009B561A" w:rsidRDefault="00D82224" w:rsidP="009B561A">
            <w:pPr>
              <w:spacing w:line="276" w:lineRule="auto"/>
              <w:rPr>
                <w:rFonts w:ascii="Calibri" w:hAnsi="Calibri" w:cs="Calibri"/>
                <w:b/>
                <w:bCs/>
                <w:color w:val="FF0000"/>
                <w:sz w:val="20"/>
                <w:szCs w:val="20"/>
              </w:rPr>
            </w:pPr>
            <w:r w:rsidRPr="009B561A">
              <w:rPr>
                <w:rFonts w:ascii="Calibri" w:hAnsi="Calibri" w:cs="Calibri"/>
                <w:sz w:val="20"/>
                <w:szCs w:val="20"/>
              </w:rPr>
              <w:t>Following introduction of free GP care, patients were 50% less likely to receive an antibiotic prescription.</w:t>
            </w:r>
          </w:p>
        </w:tc>
        <w:tc>
          <w:tcPr>
            <w:tcW w:w="2976" w:type="dxa"/>
          </w:tcPr>
          <w:p w14:paraId="59CE1A09"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sz w:val="20"/>
                <w:szCs w:val="20"/>
              </w:rPr>
              <w:t>GPs should be included in policy decisions</w:t>
            </w:r>
          </w:p>
        </w:tc>
      </w:tr>
      <w:tr w:rsidR="00D82224" w:rsidRPr="009B561A" w14:paraId="2ABDBA47" w14:textId="77777777" w:rsidTr="0087653A">
        <w:tc>
          <w:tcPr>
            <w:tcW w:w="461" w:type="dxa"/>
          </w:tcPr>
          <w:p w14:paraId="1E260575"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3</w:t>
            </w:r>
          </w:p>
        </w:tc>
        <w:tc>
          <w:tcPr>
            <w:tcW w:w="3645" w:type="dxa"/>
          </w:tcPr>
          <w:p w14:paraId="33AC14D9" w14:textId="7F5CC062"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sz w:val="20"/>
                <w:szCs w:val="20"/>
              </w:rPr>
              <w:t>Ni Riain et al (</w:t>
            </w:r>
            <w:r w:rsidRPr="00D506FA">
              <w:rPr>
                <w:rFonts w:ascii="Calibri" w:hAnsi="Calibri" w:cs="Calibri"/>
                <w:b/>
                <w:bCs/>
                <w:sz w:val="20"/>
                <w:szCs w:val="20"/>
              </w:rPr>
              <w:t xml:space="preserve">2016) </w:t>
            </w:r>
            <w:r w:rsidR="00F62023" w:rsidRPr="00D506FA">
              <w:rPr>
                <w:rFonts w:ascii="Calibri" w:hAnsi="Calibri" w:cs="Calibri"/>
                <w:b/>
                <w:bCs/>
                <w:sz w:val="20"/>
                <w:szCs w:val="20"/>
              </w:rPr>
              <w:fldChar w:fldCharType="begin" w:fldLock="1"/>
            </w:r>
            <w:r w:rsidR="00F62023" w:rsidRPr="00D506FA">
              <w:rPr>
                <w:rFonts w:ascii="Calibri" w:hAnsi="Calibri" w:cs="Calibri"/>
                <w:b/>
                <w:bCs/>
                <w:sz w:val="20"/>
                <w:szCs w:val="20"/>
              </w:rPr>
              <w:instrText>ADDIN CSL_CITATION {"citationItems":[{"id":"ITEM-1","itemData":{"DOI":"10.1007/s11845-016-1504-9","ISSN":"18634362","PMID":"27686471","abstract":"Objective: Use of meropenem in our hospital has doubled in recent years. An audit in 2013 showed that although initiation of therapy with meropenem was generally appropriate, therapy was rarely subsequently reviewed and de-escalated where appropriate. Therefore, a structured stewardship initiative focussed on meropenem de-escalation was developed. Methods: A local guideline for review and de-escalation of meropenem was developed and approved by the Antimicrobial Stewardship Team. The guideline outlined clinical and microbiological criteria which when met should lead to recommendation for meropenem de-escalation. Implementation of the guideline was piloted for a period of 4 weeks by a consultant microbiologist and an antimicrobial pharmacist. Days of meropenem use and crude mortality in those in whom de-escalation was implemented were compared with those where de-escalation was not recommended or was recommended but not implemented. Results: Thirty-three patients were reviewed. Overall, a recommendation to de-escalate from meropenem to a specified alternative antibiotic was made for 18 (55 %) patients. This advice was followed for 12 (36 %) patients. The median days of meropenem use in patients where meropenem was de-escalated was 4.5 days (range 2–19) compared with 14 days (range 6–84) where de-escalation was not recommended or the recommendation was not implemented. There was no statistically significant difference in crude mortality between patients de-escalated from meropenem and those where meropenem was continued. Conclusion: This pilot study suggests that targeted carbapenem de-escalation stewardship activity based on pre-determined criteria, while labour intensive, can effectively and safely reduce meropenem use in the acute hospital setting.","author":[{"dropping-particle":"","family":"Ni Riain","given":"U.","non-dropping-particle":"","parse-names":false,"suffix":""},{"dropping-particle":"","family":"Tierney","given":"M.","non-dropping-particle":"","parse-names":false,"suffix":""},{"dropping-particle":"","family":"Doyle","given":"C.","non-dropping-particle":"","parse-names":false,"suffix":""},{"dropping-particle":"","family":"Vellinga","given":"A.","non-dropping-particle":"","parse-names":false,"suffix":""},{"dropping-particle":"","family":"Fleming","given":"C.","non-dropping-particle":"","parse-names":false,"suffix":""},{"dropping-particle":"","family":"Cormican","given":"M.","non-dropping-particle":"","parse-names":false,"suffix":""}],"container-title":"Irish Journal of Medical Science","id":"ITEM-1","issue":"3","issued":{"date-parts":[["2017","8","1"]]},"page":"729-732","publisher":"Springer London","title":"Targeted de-escalation rounds may effectively and safely reduce meropenem use","type":"article-journal","volume":"186"},"uris":["http://www.mendeley.com/documents/?uuid=ef3c54ad-a80e-37a3-a347-044471f857fe"]}],"mendeley":{"formattedCitation":"(20)","plainTextFormattedCitation":"(20)","previouslyFormattedCitation":"(20)"},"properties":{"noteIndex":0},"schema":"https://github.com/citation-style-language/schema/raw/master/csl-citation.json"}</w:instrText>
            </w:r>
            <w:r w:rsidR="00F62023" w:rsidRPr="00D506FA">
              <w:rPr>
                <w:rFonts w:ascii="Calibri" w:hAnsi="Calibri" w:cs="Calibri"/>
                <w:b/>
                <w:bCs/>
                <w:sz w:val="20"/>
                <w:szCs w:val="20"/>
              </w:rPr>
              <w:fldChar w:fldCharType="separate"/>
            </w:r>
            <w:r w:rsidR="00D506FA" w:rsidRPr="00D506FA">
              <w:rPr>
                <w:rFonts w:ascii="Calibri" w:hAnsi="Calibri" w:cs="Calibri"/>
                <w:sz w:val="20"/>
                <w:szCs w:val="20"/>
              </w:rPr>
              <w:t>[</w:t>
            </w:r>
            <w:r w:rsidR="00F62023" w:rsidRPr="00D506FA">
              <w:rPr>
                <w:rFonts w:ascii="Calibri" w:hAnsi="Calibri" w:cs="Calibri"/>
                <w:bCs/>
                <w:noProof/>
                <w:sz w:val="20"/>
                <w:szCs w:val="20"/>
              </w:rPr>
              <w:t>20</w:t>
            </w:r>
            <w:r w:rsidR="00D506FA" w:rsidRPr="00D506FA">
              <w:rPr>
                <w:rFonts w:ascii="Calibri" w:hAnsi="Calibri" w:cs="Calibri"/>
                <w:bCs/>
                <w:noProof/>
                <w:sz w:val="20"/>
                <w:szCs w:val="20"/>
              </w:rPr>
              <w:t>]</w:t>
            </w:r>
            <w:r w:rsidR="00F62023" w:rsidRPr="00D506FA">
              <w:rPr>
                <w:rFonts w:ascii="Calibri" w:hAnsi="Calibri" w:cs="Calibri"/>
                <w:b/>
                <w:bCs/>
                <w:sz w:val="20"/>
                <w:szCs w:val="20"/>
              </w:rPr>
              <w:fldChar w:fldCharType="end"/>
            </w:r>
          </w:p>
          <w:p w14:paraId="6BA89D46"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Targeted de-escalation rounds may effectively and safely reduce meropenem use</w:t>
            </w:r>
          </w:p>
          <w:p w14:paraId="3EA67B78"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sz w:val="20"/>
                <w:szCs w:val="20"/>
              </w:rPr>
              <w:lastRenderedPageBreak/>
              <w:t>* Links with Table SRC C</w:t>
            </w:r>
          </w:p>
        </w:tc>
        <w:tc>
          <w:tcPr>
            <w:tcW w:w="3260" w:type="dxa"/>
          </w:tcPr>
          <w:p w14:paraId="13DB79F2"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lastRenderedPageBreak/>
              <w:t>Aims:</w:t>
            </w:r>
            <w:r w:rsidRPr="009B561A">
              <w:rPr>
                <w:rFonts w:ascii="Calibri" w:hAnsi="Calibri" w:cs="Calibri"/>
                <w:color w:val="000000" w:themeColor="text1"/>
                <w:sz w:val="20"/>
                <w:szCs w:val="20"/>
              </w:rPr>
              <w:t xml:space="preserve"> To develop a stewardship initiative focussed on meropenem de-escalation.</w:t>
            </w:r>
          </w:p>
          <w:p w14:paraId="65E1FA1A"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lastRenderedPageBreak/>
              <w:t xml:space="preserve">Methods: </w:t>
            </w:r>
            <w:r w:rsidRPr="009B561A">
              <w:rPr>
                <w:rFonts w:ascii="Calibri" w:hAnsi="Calibri" w:cs="Calibri"/>
                <w:color w:val="000000" w:themeColor="text1"/>
                <w:sz w:val="20"/>
                <w:szCs w:val="20"/>
              </w:rPr>
              <w:t>Interventional study (</w:t>
            </w:r>
            <w:r w:rsidRPr="009B561A">
              <w:rPr>
                <w:rFonts w:ascii="Calibri" w:hAnsi="Calibri" w:cs="Calibri"/>
                <w:sz w:val="20"/>
                <w:szCs w:val="20"/>
              </w:rPr>
              <w:t xml:space="preserve">a structured stewardship initiative focussed on meropenem de-escalation) </w:t>
            </w:r>
          </w:p>
          <w:p w14:paraId="29449256" w14:textId="77777777" w:rsidR="00D82224" w:rsidRPr="009B561A" w:rsidRDefault="00D82224" w:rsidP="009B561A">
            <w:pPr>
              <w:autoSpaceDE w:val="0"/>
              <w:autoSpaceDN w:val="0"/>
              <w:adjustRightInd w:val="0"/>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 xml:space="preserve">Participants: </w:t>
            </w:r>
            <w:r w:rsidRPr="009B561A">
              <w:rPr>
                <w:rFonts w:ascii="Calibri" w:hAnsi="Calibri" w:cs="Calibri"/>
                <w:color w:val="000000" w:themeColor="text1"/>
                <w:sz w:val="20"/>
                <w:szCs w:val="20"/>
              </w:rPr>
              <w:t>33 patients</w:t>
            </w:r>
          </w:p>
          <w:p w14:paraId="46AEAD61"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Recruitment:</w:t>
            </w:r>
            <w:r w:rsidRPr="009B561A">
              <w:rPr>
                <w:rFonts w:ascii="Calibri" w:hAnsi="Calibri" w:cs="Calibri"/>
                <w:color w:val="000000" w:themeColor="text1"/>
                <w:sz w:val="20"/>
                <w:szCs w:val="20"/>
              </w:rPr>
              <w:t xml:space="preserve"> Chart review</w:t>
            </w:r>
          </w:p>
        </w:tc>
        <w:tc>
          <w:tcPr>
            <w:tcW w:w="3828" w:type="dxa"/>
          </w:tcPr>
          <w:p w14:paraId="363E4EA9"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Recommendation to de-escalate from meropenem to a specified alternative antibiotic was made for 18 (55 %) patients.</w:t>
            </w:r>
          </w:p>
          <w:p w14:paraId="0F5C7CDE"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lastRenderedPageBreak/>
              <w:t>This advice was followed for 12 (36 %) patients</w:t>
            </w:r>
          </w:p>
        </w:tc>
        <w:tc>
          <w:tcPr>
            <w:tcW w:w="2976" w:type="dxa"/>
          </w:tcPr>
          <w:p w14:paraId="6A2F1176" w14:textId="77777777" w:rsidR="00D82224" w:rsidRPr="009B561A" w:rsidRDefault="00D82224" w:rsidP="009B561A">
            <w:pPr>
              <w:spacing w:line="276" w:lineRule="auto"/>
              <w:rPr>
                <w:rFonts w:ascii="Calibri" w:hAnsi="Calibri" w:cs="Calibri"/>
                <w:b/>
                <w:bCs/>
                <w:color w:val="FF0000"/>
                <w:sz w:val="20"/>
                <w:szCs w:val="20"/>
              </w:rPr>
            </w:pPr>
            <w:r w:rsidRPr="009B561A">
              <w:rPr>
                <w:rFonts w:ascii="Calibri" w:hAnsi="Calibri" w:cs="Calibri"/>
                <w:sz w:val="20"/>
                <w:szCs w:val="20"/>
              </w:rPr>
              <w:lastRenderedPageBreak/>
              <w:t>Pilot study involving a structured stewardship initiative focused on Meropenem de-escalation</w:t>
            </w:r>
          </w:p>
        </w:tc>
      </w:tr>
      <w:tr w:rsidR="00D82224" w:rsidRPr="009B561A" w14:paraId="4F004058" w14:textId="77777777" w:rsidTr="0087653A">
        <w:tc>
          <w:tcPr>
            <w:tcW w:w="461" w:type="dxa"/>
          </w:tcPr>
          <w:p w14:paraId="4BA00A89"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4</w:t>
            </w:r>
          </w:p>
        </w:tc>
        <w:tc>
          <w:tcPr>
            <w:tcW w:w="3645" w:type="dxa"/>
          </w:tcPr>
          <w:p w14:paraId="55C11451" w14:textId="60AED285" w:rsidR="00D82224" w:rsidRPr="009B561A" w:rsidRDefault="00D82224" w:rsidP="009B561A">
            <w:pPr>
              <w:spacing w:line="276" w:lineRule="auto"/>
              <w:rPr>
                <w:rFonts w:ascii="Calibri" w:hAnsi="Calibri" w:cs="Calibri"/>
                <w:b/>
                <w:bCs/>
                <w:color w:val="000000" w:themeColor="text1"/>
                <w:sz w:val="20"/>
                <w:szCs w:val="20"/>
                <w:vertAlign w:val="superscript"/>
              </w:rPr>
            </w:pPr>
            <w:r w:rsidRPr="009B561A">
              <w:rPr>
                <w:rFonts w:ascii="Calibri" w:hAnsi="Calibri" w:cs="Calibri"/>
                <w:b/>
                <w:bCs/>
                <w:color w:val="000000" w:themeColor="text1"/>
                <w:sz w:val="20"/>
                <w:szCs w:val="20"/>
              </w:rPr>
              <w:t>O ’Doherty (2019)</w:t>
            </w:r>
            <w:r w:rsidRPr="009B561A">
              <w:rPr>
                <w:rFonts w:ascii="Calibri" w:hAnsi="Calibri" w:cs="Calibri"/>
                <w:b/>
                <w:bCs/>
                <w:color w:val="000000" w:themeColor="text1"/>
                <w:sz w:val="20"/>
                <w:szCs w:val="20"/>
                <w:vertAlign w:val="superscript"/>
              </w:rPr>
              <w:t xml:space="preserve"> </w:t>
            </w:r>
            <w:r w:rsidR="005A1AF4" w:rsidRPr="003041A4">
              <w:rPr>
                <w:rFonts w:ascii="Calibri" w:hAnsi="Calibri" w:cs="Calibri"/>
                <w:b/>
                <w:bCs/>
                <w:color w:val="000000" w:themeColor="text1"/>
                <w:sz w:val="20"/>
                <w:szCs w:val="20"/>
                <w:vertAlign w:val="superscript"/>
              </w:rPr>
              <w:fldChar w:fldCharType="begin" w:fldLock="1"/>
            </w:r>
            <w:r w:rsidR="005A1AF4" w:rsidRPr="003041A4">
              <w:rPr>
                <w:rFonts w:ascii="Calibri" w:hAnsi="Calibri" w:cs="Calibri"/>
                <w:b/>
                <w:bCs/>
                <w:color w:val="000000" w:themeColor="text1"/>
                <w:sz w:val="20"/>
                <w:szCs w:val="20"/>
                <w:vertAlign w:val="superscript"/>
              </w:rPr>
              <w:instrText>ADDIN CSL_CITATION {"citationItems":[{"id":"ITEM-1","itemData":{"DOI":"10.1186/s12875-019-0917-8","ISSN":"14712296","PMID":"30764777","abstract":"Background: Anti-microbial resistance (AMR) is a global threat to public health and antibiotics are often unnecessarily prescribed for acute respiratory tract infections (ARTIs) in general practice. We aimed to investigate why general practitioners (GPs) continue to prescribe antibiotics for ARTIs despite increasing knowledge of their poor efficacy and worsening antimicrobial resistance. Methods: We used an explorative qualitative study design. Thirteen GPs were recruited through purposive sampling to represent urban and rural settings and years of experience. They were based in general practices within the Mid-West of Ireland. GPs took part in semi-structured interviews that were digitally audio recorded and transcribed. Results: Three main themes and three subthemes were identified. Themes include (1) non-comprehensive guidelines; how guideline adherence can be difficult, (2) GPs under pressure; pressures to prescribe from patients and perceived patient expectations and (3) Unnecessary prescribing; how to address it and the potential of public interventions to reduce it. Conclusions: GPs acknowledge their failure to implement guidelines because they feel they are less usable in clinical situations. GPs felt pressurised to prescribe, especially for fee-paying patients and in out of hours settings (OOH), suggesting the need for interventions that target the public's perceptions of antibiotics. GPs behaviours surrounding prescribing antibiotics need to change in order to reduce AMR and change patients' expectations.","author":[{"dropping-particle":"","family":"O'Doherty","given":"Jane","non-dropping-particle":"","parse-names":false,"suffix":""},{"dropping-particle":"","family":"Leader","given":"Leonard F.W.","non-dropping-particle":"","parse-names":false,"suffix":""},{"dropping-particle":"","family":"O'Regan","given":"Andrew","non-dropping-particle":"","parse-names":false,"suffix":""},{"dropping-particle":"","family":"Dunne","given":"Colum","non-dropping-particle":"","parse-names":false,"suffix":""},{"dropping-particle":"","family":"Puthoopparambil","given":"Soorej Jose","non-dropping-particle":"","parse-names":false,"suffix":""},{"dropping-particle":"","family":"O'Connor","given":"Raymond","non-dropping-particle":"","parse-names":false,"suffix":""}],"container-title":"BMC Family Practice","id":"ITEM-1","issue":"1","issued":{"date-parts":[["2019","2","14"]]},"publisher":"BioMed Central Ltd.","title":"Over prescribing of antibiotics for acute respiratory tract infections; A qualitative study to explore Irish general practitioners' perspectives","type":"article-journal","volume":"20"},"uris":["http://www.mendeley.com/documents/?uuid=f0677681-2753-35a4-859f-71b83cd0d0d9"]}],"mendeley":{"formattedCitation":"(21)","plainTextFormattedCitation":"(21)","previouslyFormattedCitation":"(21)"},"properties":{"noteIndex":0},"schema":"https://github.com/citation-style-language/schema/raw/master/csl-citation.json"}</w:instrText>
            </w:r>
            <w:r w:rsidR="005A1AF4" w:rsidRPr="003041A4">
              <w:rPr>
                <w:rFonts w:ascii="Calibri" w:hAnsi="Calibri" w:cs="Calibri"/>
                <w:b/>
                <w:bCs/>
                <w:color w:val="000000" w:themeColor="text1"/>
                <w:sz w:val="20"/>
                <w:szCs w:val="20"/>
                <w:vertAlign w:val="superscript"/>
              </w:rPr>
              <w:fldChar w:fldCharType="separate"/>
            </w:r>
            <w:r w:rsidR="003041A4" w:rsidRPr="003041A4">
              <w:rPr>
                <w:rFonts w:ascii="Calibri" w:hAnsi="Calibri" w:cs="Calibri"/>
                <w:b/>
                <w:bCs/>
                <w:color w:val="000000" w:themeColor="text1"/>
                <w:sz w:val="20"/>
                <w:szCs w:val="20"/>
                <w:vertAlign w:val="superscript"/>
              </w:rPr>
              <w:t xml:space="preserve"> </w:t>
            </w:r>
            <w:r w:rsidR="003041A4" w:rsidRPr="003041A4">
              <w:rPr>
                <w:rFonts w:ascii="Calibri" w:hAnsi="Calibri" w:cs="Calibri"/>
                <w:color w:val="000000" w:themeColor="text1"/>
                <w:sz w:val="20"/>
                <w:szCs w:val="20"/>
                <w:vertAlign w:val="superscript"/>
              </w:rPr>
              <w:t xml:space="preserve"> </w:t>
            </w:r>
            <w:r w:rsidR="003041A4" w:rsidRPr="003041A4">
              <w:rPr>
                <w:rFonts w:ascii="Calibri" w:hAnsi="Calibri" w:cs="Calibri"/>
                <w:color w:val="000000" w:themeColor="text1"/>
                <w:sz w:val="20"/>
                <w:szCs w:val="20"/>
              </w:rPr>
              <w:t>[</w:t>
            </w:r>
            <w:r w:rsidR="005A1AF4" w:rsidRPr="003041A4">
              <w:rPr>
                <w:rFonts w:ascii="Calibri" w:hAnsi="Calibri" w:cs="Calibri"/>
                <w:bCs/>
                <w:noProof/>
                <w:color w:val="000000" w:themeColor="text1"/>
                <w:sz w:val="20"/>
                <w:szCs w:val="20"/>
              </w:rPr>
              <w:t>21</w:t>
            </w:r>
            <w:r w:rsidR="003041A4" w:rsidRPr="003041A4">
              <w:rPr>
                <w:rFonts w:ascii="Calibri" w:hAnsi="Calibri" w:cs="Calibri"/>
                <w:bCs/>
                <w:noProof/>
                <w:color w:val="000000" w:themeColor="text1"/>
                <w:sz w:val="20"/>
                <w:szCs w:val="20"/>
              </w:rPr>
              <w:t>]</w:t>
            </w:r>
            <w:r w:rsidR="005A1AF4" w:rsidRPr="003041A4">
              <w:rPr>
                <w:rFonts w:ascii="Calibri" w:hAnsi="Calibri" w:cs="Calibri"/>
                <w:b/>
                <w:bCs/>
                <w:color w:val="000000" w:themeColor="text1"/>
                <w:sz w:val="20"/>
                <w:szCs w:val="20"/>
                <w:vertAlign w:val="superscript"/>
              </w:rPr>
              <w:fldChar w:fldCharType="end"/>
            </w:r>
          </w:p>
          <w:p w14:paraId="6B354C80"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Over prescribing of antibiotics for acute respiratory tract infections; a qualitative study to explore Irish general practitioners’ perspectives</w:t>
            </w:r>
          </w:p>
          <w:p w14:paraId="76C4CBF9"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 </w:t>
            </w:r>
          </w:p>
        </w:tc>
        <w:tc>
          <w:tcPr>
            <w:tcW w:w="3260" w:type="dxa"/>
          </w:tcPr>
          <w:p w14:paraId="76D20ADC"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Aims:</w:t>
            </w:r>
            <w:r w:rsidRPr="009B561A">
              <w:rPr>
                <w:rFonts w:ascii="Calibri" w:hAnsi="Calibri" w:cs="Calibri"/>
                <w:color w:val="000000" w:themeColor="text1"/>
                <w:sz w:val="20"/>
                <w:szCs w:val="20"/>
              </w:rPr>
              <w:t xml:space="preserve"> To investigate why general practitioners (GPs) continue to prescribe antibiotics for acute respiratory tract infections (ARTI) despite increasing knowledge of their poor efficacy and worsening antimicrobial resistance.</w:t>
            </w:r>
          </w:p>
          <w:p w14:paraId="72F7A06A"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Methods:</w:t>
            </w:r>
            <w:r w:rsidRPr="009B561A">
              <w:rPr>
                <w:rFonts w:ascii="Calibri" w:hAnsi="Calibri" w:cs="Calibri"/>
                <w:color w:val="000000" w:themeColor="text1"/>
                <w:sz w:val="20"/>
                <w:szCs w:val="20"/>
              </w:rPr>
              <w:t xml:space="preserve"> Qualitative</w:t>
            </w:r>
          </w:p>
          <w:p w14:paraId="20D20483" w14:textId="77777777" w:rsidR="00D82224" w:rsidRPr="009B561A" w:rsidRDefault="00D82224" w:rsidP="009B561A">
            <w:pPr>
              <w:autoSpaceDE w:val="0"/>
              <w:autoSpaceDN w:val="0"/>
              <w:adjustRightInd w:val="0"/>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 xml:space="preserve">Participants: </w:t>
            </w:r>
            <w:r w:rsidRPr="009B561A">
              <w:rPr>
                <w:rFonts w:ascii="Calibri" w:hAnsi="Calibri" w:cs="Calibri"/>
                <w:color w:val="000000" w:themeColor="text1"/>
                <w:sz w:val="20"/>
                <w:szCs w:val="20"/>
              </w:rPr>
              <w:t>13 GPs</w:t>
            </w:r>
          </w:p>
          <w:p w14:paraId="3403CEC3"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Recruitment:</w:t>
            </w:r>
            <w:r w:rsidRPr="009B561A">
              <w:rPr>
                <w:rFonts w:ascii="Calibri" w:hAnsi="Calibri" w:cs="Calibri"/>
                <w:sz w:val="20"/>
                <w:szCs w:val="20"/>
              </w:rPr>
              <w:t xml:space="preserve"> Practices affiliated with the University of Limerick Medical School</w:t>
            </w:r>
          </w:p>
        </w:tc>
        <w:tc>
          <w:tcPr>
            <w:tcW w:w="3828" w:type="dxa"/>
          </w:tcPr>
          <w:p w14:paraId="111FD906"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Three main themes from the emerging data; (1) non-comprehensive guidelines; how guideline adherence can be difficult, (2) GPs under pressure; pressures to prescribe from patients and perceived patient expectations and (3) Unnecessary prescribing: how to address it and the potential of public interventions to reduce it.</w:t>
            </w:r>
          </w:p>
        </w:tc>
        <w:tc>
          <w:tcPr>
            <w:tcW w:w="2976" w:type="dxa"/>
          </w:tcPr>
          <w:p w14:paraId="0DD567EA"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GPs should be included in policy decisions</w:t>
            </w:r>
          </w:p>
        </w:tc>
      </w:tr>
      <w:tr w:rsidR="00D82224" w:rsidRPr="009B561A" w14:paraId="58736EC4" w14:textId="77777777" w:rsidTr="0087653A">
        <w:tc>
          <w:tcPr>
            <w:tcW w:w="461" w:type="dxa"/>
          </w:tcPr>
          <w:p w14:paraId="57B13C9F"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5</w:t>
            </w:r>
          </w:p>
        </w:tc>
        <w:tc>
          <w:tcPr>
            <w:tcW w:w="3645" w:type="dxa"/>
          </w:tcPr>
          <w:p w14:paraId="456F72A2" w14:textId="712AE4E0"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sz w:val="20"/>
                <w:szCs w:val="20"/>
              </w:rPr>
              <w:t xml:space="preserve">O’Connor et al (2020) </w:t>
            </w:r>
            <w:r w:rsidR="005A1AF4" w:rsidRPr="00CE6A0A">
              <w:rPr>
                <w:rFonts w:ascii="Calibri" w:hAnsi="Calibri" w:cs="Calibri"/>
                <w:b/>
                <w:bCs/>
                <w:sz w:val="20"/>
                <w:szCs w:val="20"/>
              </w:rPr>
              <w:fldChar w:fldCharType="begin" w:fldLock="1"/>
            </w:r>
            <w:r w:rsidR="005A1AF4" w:rsidRPr="00CE6A0A">
              <w:rPr>
                <w:rFonts w:ascii="Calibri" w:hAnsi="Calibri" w:cs="Calibri"/>
                <w:b/>
                <w:bCs/>
                <w:sz w:val="20"/>
                <w:szCs w:val="20"/>
              </w:rPr>
              <w:instrText>ADDIN CSL_CITATION {"citationItems":[{"id":"ITEM-1","itemData":{"DOI":"10.1080/13814788.2020.1784137","ISSN":"17511402","PMID":"32757866","abstract":"Background: Antibiotic resistance is a threat to our health and health systems. Up to 70% of antibiotics are prescribed in general practice. In Ireland, Out-of-hours (OOH) services are mostly provided by co-operatives of GPs and the 11 main OOH centres cover up to 90% of the population. More than 80% of GPs are involved in OOH care in their area, which provides an opportunity to deliver education and awareness through this centralised system. Objectives: To analyse the change in the quality of antibiotic prescribing after the introduction of an educational intervention categorising antibiotics into a red (avoid) and green (preferred) panel. Methods: Educational information for the GP was developed based on the national prescribing guidelines. A particular focus was to reduce co-amoxyclav prescribing. An electronic pop-up message to record whether an antibiotic was prescribed, was displayed at the end of each consultation in the patient management software of the OOH-centre, after the decision of prescribing was made. Antibiotic prescribing was compared for a 13-week period (week 47–week 7) in 2016/2017 with 2017/2018. Results: Pre-intervention prescribing of red antibiotics was 44% which reduced to 17% after the intervention. The mean percentage of co-amoxyclav, the most prescribed non-firstline prescription, was 33% of all antibiotic prescriptions which dropped to 10%. Conclusion: Our intervention implemented in the OOH GP service categorised antibiotics into red prescriptions and green (firstline) prescriptions, which was recorded through an electronic pop-up message, resulted in an absolute reduction of 27% in red prescriptions and more than 23% in co-amoxyclav prescriptions.","author":[{"dropping-particle":"","family":"O’Connor","given":"Nuala","non-dropping-particle":"","parse-names":false,"suffix":""},{"dropping-particle":"","family":"Breen","given":"Roisin","non-dropping-particle":"","parse-names":false,"suffix":""},{"dropping-particle":"","family":"Carton","given":"Mícheál","non-dropping-particle":"","parse-names":false,"suffix":""},{"dropping-particle":"","family":"Mc Grath","given":"Ina","non-dropping-particle":"","parse-names":false,"suffix":""},{"dropping-particle":"","family":"Deasy","given":"Norma","non-dropping-particle":"","parse-names":false,"suffix":""},{"dropping-particle":"","family":"Collins","given":"Claire","non-dropping-particle":"","parse-names":false,"suffix":""},{"dropping-particle":"","family":"Vellinga","given":"Akke","non-dropping-particle":"","parse-names":false,"suffix":""}],"container-title":"European Journal of General Practice","id":"ITEM-1","issue":"1","issued":{"date-parts":[["2020","12","16"]]},"page":"119-124","publisher":"Taylor and Francis Ltd","title":"Improving the quality of antibiotic prescribing through an educational intervention delivered through the out-of-hours general practice service in Ireland","type":"article-journal","volume":"26"},"uris":["http://www.mendeley.com/documents/?uuid=45b9facc-f38b-3e95-8eaa-5f23a90af048"]}],"mendeley":{"formattedCitation":"(22)","plainTextFormattedCitation":"(22)","previouslyFormattedCitation":"(22)"},"properties":{"noteIndex":0},"schema":"https://github.com/citation-style-language/schema/raw/master/csl-citation.json"}</w:instrText>
            </w:r>
            <w:r w:rsidR="005A1AF4" w:rsidRPr="00CE6A0A">
              <w:rPr>
                <w:rFonts w:ascii="Calibri" w:hAnsi="Calibri" w:cs="Calibri"/>
                <w:b/>
                <w:bCs/>
                <w:sz w:val="20"/>
                <w:szCs w:val="20"/>
              </w:rPr>
              <w:fldChar w:fldCharType="separate"/>
            </w:r>
            <w:r w:rsidR="003041A4" w:rsidRPr="00CE6A0A">
              <w:rPr>
                <w:rFonts w:ascii="Calibri" w:hAnsi="Calibri" w:cs="Calibri"/>
                <w:sz w:val="20"/>
                <w:szCs w:val="20"/>
              </w:rPr>
              <w:t>[</w:t>
            </w:r>
            <w:r w:rsidR="005A1AF4" w:rsidRPr="00CE6A0A">
              <w:rPr>
                <w:rFonts w:ascii="Calibri" w:hAnsi="Calibri" w:cs="Calibri"/>
                <w:bCs/>
                <w:noProof/>
                <w:sz w:val="20"/>
                <w:szCs w:val="20"/>
              </w:rPr>
              <w:t>22</w:t>
            </w:r>
            <w:r w:rsidR="003041A4" w:rsidRPr="00CE6A0A">
              <w:rPr>
                <w:rFonts w:ascii="Calibri" w:hAnsi="Calibri" w:cs="Calibri"/>
                <w:bCs/>
                <w:noProof/>
                <w:sz w:val="20"/>
                <w:szCs w:val="20"/>
              </w:rPr>
              <w:t>]</w:t>
            </w:r>
            <w:r w:rsidR="005A1AF4" w:rsidRPr="00CE6A0A">
              <w:rPr>
                <w:rFonts w:ascii="Calibri" w:hAnsi="Calibri" w:cs="Calibri"/>
                <w:b/>
                <w:bCs/>
                <w:sz w:val="20"/>
                <w:szCs w:val="20"/>
              </w:rPr>
              <w:fldChar w:fldCharType="end"/>
            </w:r>
            <w:r w:rsidR="00CE6A0A" w:rsidRPr="009B561A">
              <w:rPr>
                <w:rFonts w:ascii="Calibri" w:hAnsi="Calibri" w:cs="Calibri"/>
                <w:b/>
                <w:bCs/>
                <w:sz w:val="20"/>
                <w:szCs w:val="20"/>
                <w:vertAlign w:val="superscript"/>
              </w:rPr>
              <w:t xml:space="preserve"> </w:t>
            </w:r>
          </w:p>
          <w:p w14:paraId="5F8D86A5"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Improving the quality of antibiotic prescribing through an educational intervention delivered through the out-of-hours general practice service in Ireland</w:t>
            </w:r>
          </w:p>
          <w:p w14:paraId="537340F5" w14:textId="77777777" w:rsidR="00D82224" w:rsidRPr="009B561A" w:rsidRDefault="00D82224" w:rsidP="009B561A">
            <w:pPr>
              <w:spacing w:line="276" w:lineRule="auto"/>
              <w:rPr>
                <w:rFonts w:ascii="Calibri" w:hAnsi="Calibri" w:cs="Calibri"/>
                <w:sz w:val="20"/>
                <w:szCs w:val="20"/>
              </w:rPr>
            </w:pPr>
          </w:p>
          <w:p w14:paraId="078FC8C1"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*Links with Table SRC C</w:t>
            </w:r>
          </w:p>
          <w:p w14:paraId="32154E1C" w14:textId="77777777" w:rsidR="00D82224" w:rsidRPr="009B561A" w:rsidRDefault="00D82224" w:rsidP="009B561A">
            <w:pPr>
              <w:spacing w:line="276" w:lineRule="auto"/>
              <w:rPr>
                <w:rFonts w:ascii="Calibri" w:hAnsi="Calibri" w:cs="Calibri"/>
                <w:b/>
                <w:bCs/>
                <w:color w:val="000000" w:themeColor="text1"/>
                <w:sz w:val="20"/>
                <w:szCs w:val="20"/>
              </w:rPr>
            </w:pPr>
          </w:p>
        </w:tc>
        <w:tc>
          <w:tcPr>
            <w:tcW w:w="3260" w:type="dxa"/>
          </w:tcPr>
          <w:p w14:paraId="76625246"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Aims:</w:t>
            </w:r>
            <w:r w:rsidRPr="009B561A">
              <w:rPr>
                <w:rFonts w:ascii="Calibri" w:hAnsi="Calibri" w:cs="Calibri"/>
                <w:color w:val="000000" w:themeColor="text1"/>
                <w:sz w:val="20"/>
                <w:szCs w:val="20"/>
              </w:rPr>
              <w:t xml:space="preserve"> To analyse the change in the quality of antibiotic prescribing after the introduction of an educational intervention categorising antibiotics into a red (avoid) and green (preferred) panel.</w:t>
            </w:r>
          </w:p>
          <w:p w14:paraId="34FB39EC"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Methods: </w:t>
            </w:r>
            <w:r w:rsidRPr="009B561A">
              <w:rPr>
                <w:rFonts w:ascii="Calibri" w:hAnsi="Calibri" w:cs="Calibri"/>
                <w:color w:val="000000" w:themeColor="text1"/>
                <w:sz w:val="20"/>
                <w:szCs w:val="20"/>
              </w:rPr>
              <w:t>Quality improvement study.</w:t>
            </w:r>
          </w:p>
          <w:p w14:paraId="24E9DB31"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11 main “Out of Hours “GP centres</w:t>
            </w:r>
          </w:p>
          <w:p w14:paraId="3A8AB314"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Recruitment:</w:t>
            </w:r>
            <w:r w:rsidRPr="009B561A">
              <w:rPr>
                <w:rFonts w:ascii="Calibri" w:hAnsi="Calibri" w:cs="Calibri"/>
                <w:color w:val="000000" w:themeColor="text1"/>
                <w:sz w:val="20"/>
                <w:szCs w:val="20"/>
              </w:rPr>
              <w:t xml:space="preserve"> Not stated</w:t>
            </w:r>
          </w:p>
        </w:tc>
        <w:tc>
          <w:tcPr>
            <w:tcW w:w="3828" w:type="dxa"/>
          </w:tcPr>
          <w:p w14:paraId="7604DCA8"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Pre-intervention prescribing of red antibiotics was 44% which reduced to 17% after the intervention.</w:t>
            </w:r>
          </w:p>
        </w:tc>
        <w:tc>
          <w:tcPr>
            <w:tcW w:w="2976" w:type="dxa"/>
          </w:tcPr>
          <w:p w14:paraId="3392036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Provision of educational material to support AMS in General Practice</w:t>
            </w:r>
          </w:p>
          <w:p w14:paraId="039A6A1B" w14:textId="77777777" w:rsidR="00D82224" w:rsidRPr="009B561A" w:rsidRDefault="00D82224" w:rsidP="009B561A">
            <w:pPr>
              <w:spacing w:line="276" w:lineRule="auto"/>
              <w:rPr>
                <w:rFonts w:ascii="Calibri" w:hAnsi="Calibri" w:cs="Calibri"/>
                <w:sz w:val="20"/>
                <w:szCs w:val="20"/>
              </w:rPr>
            </w:pPr>
          </w:p>
          <w:p w14:paraId="55E54ACD" w14:textId="77777777" w:rsidR="00D82224" w:rsidRPr="009B561A" w:rsidRDefault="00D82224" w:rsidP="009B561A">
            <w:pPr>
              <w:spacing w:line="276" w:lineRule="auto"/>
              <w:rPr>
                <w:rFonts w:ascii="Calibri" w:hAnsi="Calibri" w:cs="Calibri"/>
                <w:sz w:val="20"/>
                <w:szCs w:val="20"/>
              </w:rPr>
            </w:pPr>
          </w:p>
        </w:tc>
      </w:tr>
      <w:tr w:rsidR="00D82224" w:rsidRPr="009B561A" w14:paraId="71D5D8E8" w14:textId="77777777" w:rsidTr="0087653A">
        <w:tc>
          <w:tcPr>
            <w:tcW w:w="461" w:type="dxa"/>
          </w:tcPr>
          <w:p w14:paraId="5F6D3C4E"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6</w:t>
            </w:r>
          </w:p>
        </w:tc>
        <w:tc>
          <w:tcPr>
            <w:tcW w:w="3645" w:type="dxa"/>
          </w:tcPr>
          <w:p w14:paraId="7CAF53C6" w14:textId="50E7328A"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sz w:val="20"/>
                <w:szCs w:val="20"/>
              </w:rPr>
              <w:t>O Riordan et al (2020</w:t>
            </w:r>
            <w:r w:rsidRPr="00CE6A0A">
              <w:rPr>
                <w:rFonts w:ascii="Calibri" w:hAnsi="Calibri" w:cs="Calibri"/>
                <w:sz w:val="20"/>
                <w:szCs w:val="20"/>
              </w:rPr>
              <w:t xml:space="preserve">) </w:t>
            </w:r>
            <w:r w:rsidR="005A1AF4" w:rsidRPr="00CE6A0A">
              <w:rPr>
                <w:rFonts w:ascii="Calibri" w:hAnsi="Calibri" w:cs="Calibri"/>
                <w:sz w:val="20"/>
                <w:szCs w:val="20"/>
              </w:rPr>
              <w:fldChar w:fldCharType="begin" w:fldLock="1"/>
            </w:r>
            <w:r w:rsidR="005A1AF4" w:rsidRPr="00CE6A0A">
              <w:rPr>
                <w:rFonts w:ascii="Calibri" w:hAnsi="Calibri" w:cs="Calibri"/>
                <w:sz w:val="20"/>
                <w:szCs w:val="20"/>
              </w:rPr>
              <w:instrText>ADDIN CSL_CITATION {"citationItems":[{"id":"ITEM-1","itemData":{"DOI":"10.1007/s11096-020-01159-1","ISBN":"0123456789","ISSN":"22107711","PMID":"33001314","abstract":"Background Successful antimicrobial stewardship interventions are imperative in today’s environment of antimicrobial resistance. New antimicrobial stewardship interventions should include qualitative analysis such as a process evaluation to determine which elements within an intervention are effective and provide insight into the context in which the intervention is introduced. Objective To assess the implementation process and explore the contextual factors which influenced implementation. Setting An academic teaching hospital in Cork, Ireland. Methods A process evaluation was conducted on completion of a feasibility study of the introduction of a procalcitonin antimicrobial stewardship intervention. The process evaluation consisted of semi-structured face-to-face interviews of key stakeholders including participating (senior) doctors (5), medical laboratory scientists (3) and a hospital administrator. The Consolidated Framework for Implementation Research was used to guide data collection, analysis, and interpretation. Main outcome measures Qualitative assessment of the intervention implementation process, the contextual factors which influenced implementation and identification of improvements to the intervention and its implementation and determine if proceeding to a randomised controlled trial would be appropriate. Results Analysis of the interviews identified three main themes. (1) The procalcitonin intervention and implementation process was viewed positively to support prescribing decisions. Participants identified modifications to procalcitonin processing and availability to improve implementation and allow procalcitonin to be “more of a clinical influence”. (2) In the antimicrobial stewardship context the concept of fear of missing an infection and risks of potentially serious outcomes for patients emerged. (3) The hospital context consisted of barriers such as available resources and facilitators including the hospital culture of quality improvement. Conclusion This process evaluation provides a detailed analysis of the implementation of procalcitonin testing as an antimicrobial stewardship intervention. The positive findings of this process evaluation and feasibility study should be built upon and a full randomised controlled trial and economic evaluation should be conducted in a variety of hospital settings to confirm the effectiveness of procalcitonin as an antimicrobial stewardship intervention.","author":[{"dropping-particle":"","family":"O'Riordan","given":"F","non-dropping-particle":"","parse-names":false,"suffix":""},{"dropping-particle":"","family":"Shiely","given":"F.","non-dropping-particle":"","parse-names":false,"suffix":""},{"dropping-particle":"","family":"Byrne","given":"S.","non-dropping-particle":"","parse-names":false,"suffix":""},{"dropping-particle":"","family":"Fleming","given":"A.","non-dropping-particle":"","parse-names":false,"suffix":""},{"dropping-particle":"","family":"O’Riordan","given":"F.","non-dropping-particle":"","parse-names":false,"suffix":""},{"dropping-particle":"","family":"Shiely","given":"F.","non-dropping-particle":"","parse-names":false,"suffix":""},{"dropping-particle":"","family":"Byrne","given":"S.","non-dropping-particle":"","parse-names":false,"suffix":""},{"dropping-particle":"","family":"Fleming","given":"A.","non-dropping-particle":"","parse-names":false,"suffix":""},{"dropping-particle":"","family":"O'Riordan","given":"F","non-dropping-particle":"","parse-names":false,"suffix":""},{"dropping-particle":"","family":"Shiely","given":"F.","non-dropping-particle":"","parse-names":false,"suffix":""},{"dropping-particle":"","family":"Byrne","given":"S.","non-dropping-particle":"","parse-names":false,"suffix":""},{"dropping-particle":"","family":"Fleming","given":"A.","non-dropping-particle":"","parse-names":false,"suffix":""},{"dropping-particle":"","family":"O’Riordan","given":"F.","non-dropping-particle":"","parse-names":false,"suffix":""},{"dropping-particle":"","family":"Shiely","given":"F.","non-dropping-particle":"","parse-names":false,"suffix":""},{"dropping-particle":"","family":"Byrne","given":"S.","non-dropping-particle":"","parse-names":false,"suffix":""},{"dropping-particle":"","family":"Fleming","given":"A.","non-dropping-particle":"","parse-names":false,"suffix":""}],"container-title":"International Journal of Clinical Pharmacy","id":"ITEM-1","issue":"3","issued":{"date-parts":[["2020","6"]]},"language":"eng","page":"532-540","publisher":"Springer International Publishing","publisher-place":"F. O’Riordan, Pharmacy Department, Mercy University Hospital, Grenville Place, Cork, Ireland, Netherlands","title":"A qualitative process evaluation of the introduction of procalcitonin testing as an antimicrobial stewardship intervention","type":"article-journal","volume":"43"},"uris":["http://www.mendeley.com/documents/?uuid=96f81416-b239-4e7a-bce4-b40be96298dd"]}],"mendeley":{"formattedCitation":"(23)","plainTextFormattedCitation":"(23)","previouslyFormattedCitation":"(23)"},"properties":{"noteIndex":0},"schema":"https://github.com/citation-style-language/schema/raw/master/csl-citation.json"}</w:instrText>
            </w:r>
            <w:r w:rsidR="005A1AF4" w:rsidRPr="00CE6A0A">
              <w:rPr>
                <w:rFonts w:ascii="Calibri" w:hAnsi="Calibri" w:cs="Calibri"/>
                <w:sz w:val="20"/>
                <w:szCs w:val="20"/>
              </w:rPr>
              <w:fldChar w:fldCharType="separate"/>
            </w:r>
            <w:r w:rsidR="003041A4" w:rsidRPr="00CE6A0A">
              <w:rPr>
                <w:rFonts w:ascii="Calibri" w:hAnsi="Calibri" w:cs="Calibri"/>
                <w:sz w:val="20"/>
                <w:szCs w:val="20"/>
              </w:rPr>
              <w:t>[</w:t>
            </w:r>
            <w:r w:rsidR="005A1AF4" w:rsidRPr="00CE6A0A">
              <w:rPr>
                <w:rFonts w:ascii="Calibri" w:hAnsi="Calibri" w:cs="Calibri"/>
                <w:noProof/>
                <w:sz w:val="20"/>
                <w:szCs w:val="20"/>
              </w:rPr>
              <w:t>23</w:t>
            </w:r>
            <w:r w:rsidR="003041A4" w:rsidRPr="00CE6A0A">
              <w:rPr>
                <w:rFonts w:ascii="Calibri" w:hAnsi="Calibri" w:cs="Calibri"/>
                <w:noProof/>
                <w:sz w:val="20"/>
                <w:szCs w:val="20"/>
              </w:rPr>
              <w:t>]</w:t>
            </w:r>
            <w:r w:rsidR="005A1AF4" w:rsidRPr="00CE6A0A">
              <w:rPr>
                <w:rFonts w:ascii="Calibri" w:hAnsi="Calibri" w:cs="Calibri"/>
                <w:sz w:val="20"/>
                <w:szCs w:val="20"/>
              </w:rPr>
              <w:fldChar w:fldCharType="end"/>
            </w:r>
            <w:r w:rsidR="00CE6A0A" w:rsidRPr="009B561A">
              <w:rPr>
                <w:rFonts w:ascii="Calibri" w:hAnsi="Calibri" w:cs="Calibri"/>
                <w:b/>
                <w:bCs/>
                <w:sz w:val="20"/>
                <w:szCs w:val="20"/>
                <w:vertAlign w:val="superscript"/>
              </w:rPr>
              <w:t xml:space="preserve"> </w:t>
            </w:r>
          </w:p>
          <w:p w14:paraId="6D2DD228"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A qualitative process evaluation of the introduction of procalcitonin testing as an antimicrobial stewardship intervention</w:t>
            </w:r>
          </w:p>
          <w:p w14:paraId="11E432DC" w14:textId="77777777" w:rsidR="00D82224" w:rsidRPr="009B561A" w:rsidRDefault="00D82224" w:rsidP="009B561A">
            <w:pPr>
              <w:spacing w:line="276" w:lineRule="auto"/>
              <w:rPr>
                <w:rFonts w:ascii="Calibri" w:hAnsi="Calibri" w:cs="Calibri"/>
                <w:sz w:val="20"/>
                <w:szCs w:val="20"/>
              </w:rPr>
            </w:pPr>
          </w:p>
          <w:p w14:paraId="7A7FCBCE"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 Links with Table SRC C</w:t>
            </w:r>
          </w:p>
        </w:tc>
        <w:tc>
          <w:tcPr>
            <w:tcW w:w="3260" w:type="dxa"/>
          </w:tcPr>
          <w:p w14:paraId="13BA8C49"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Aims:</w:t>
            </w:r>
            <w:r w:rsidRPr="009B561A">
              <w:rPr>
                <w:rFonts w:ascii="Calibri" w:hAnsi="Calibri" w:cs="Calibri"/>
                <w:color w:val="000000" w:themeColor="text1"/>
                <w:sz w:val="20"/>
                <w:szCs w:val="20"/>
              </w:rPr>
              <w:t xml:space="preserve"> To assess the implementation process and explore the contextual factors which influenced implementation of procalcitonin testing as an antimicrobial stewardship intervention</w:t>
            </w:r>
          </w:p>
          <w:p w14:paraId="76A4761A"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Methods: </w:t>
            </w:r>
            <w:r w:rsidRPr="009B561A">
              <w:rPr>
                <w:rFonts w:ascii="Calibri" w:hAnsi="Calibri" w:cs="Calibri"/>
                <w:color w:val="000000" w:themeColor="text1"/>
                <w:sz w:val="20"/>
                <w:szCs w:val="20"/>
              </w:rPr>
              <w:t>Qualitative</w:t>
            </w:r>
          </w:p>
          <w:p w14:paraId="1E53BC62"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Doctors (5), medical laboratory scientists (3) and a hospital administrator.</w:t>
            </w:r>
          </w:p>
          <w:p w14:paraId="0D6EB5AD"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Recruitment:</w:t>
            </w:r>
            <w:r w:rsidRPr="009B561A">
              <w:rPr>
                <w:rFonts w:ascii="Calibri" w:hAnsi="Calibri" w:cs="Calibri"/>
                <w:color w:val="000000" w:themeColor="text1"/>
                <w:sz w:val="20"/>
                <w:szCs w:val="20"/>
              </w:rPr>
              <w:t xml:space="preserve"> Face to face invite and email to key stakeholders</w:t>
            </w:r>
          </w:p>
        </w:tc>
        <w:tc>
          <w:tcPr>
            <w:tcW w:w="3828" w:type="dxa"/>
          </w:tcPr>
          <w:p w14:paraId="6B3C588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Participants identified modifications to procalcitonin processing and availability to improve implementation and allow procalcitonin to be “more of a clinical influence”.</w:t>
            </w:r>
          </w:p>
        </w:tc>
        <w:tc>
          <w:tcPr>
            <w:tcW w:w="2976" w:type="dxa"/>
          </w:tcPr>
          <w:p w14:paraId="051E2DF6"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Evaluation of the feasibility of implementation should be based on local needs, resources, education</w:t>
            </w:r>
          </w:p>
        </w:tc>
      </w:tr>
      <w:tr w:rsidR="00D82224" w:rsidRPr="009B561A" w14:paraId="37D12BD2" w14:textId="77777777" w:rsidTr="0087653A">
        <w:tc>
          <w:tcPr>
            <w:tcW w:w="461" w:type="dxa"/>
          </w:tcPr>
          <w:p w14:paraId="33EF325F"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7</w:t>
            </w:r>
          </w:p>
        </w:tc>
        <w:tc>
          <w:tcPr>
            <w:tcW w:w="3645" w:type="dxa"/>
          </w:tcPr>
          <w:p w14:paraId="7A6C242D" w14:textId="3A8ABF29" w:rsidR="00D82224" w:rsidRPr="00CE6A0A" w:rsidRDefault="00D82224" w:rsidP="009B561A">
            <w:pPr>
              <w:spacing w:line="276" w:lineRule="auto"/>
              <w:rPr>
                <w:rFonts w:ascii="Calibri" w:hAnsi="Calibri" w:cs="Calibri"/>
                <w:b/>
                <w:bCs/>
                <w:sz w:val="20"/>
                <w:szCs w:val="20"/>
                <w:vertAlign w:val="superscript"/>
              </w:rPr>
            </w:pPr>
            <w:r w:rsidRPr="0066679D">
              <w:rPr>
                <w:rFonts w:ascii="Calibri" w:hAnsi="Calibri" w:cs="Calibri"/>
                <w:b/>
                <w:bCs/>
                <w:sz w:val="20"/>
                <w:szCs w:val="20"/>
              </w:rPr>
              <w:t>Vellinga et al (2011)</w:t>
            </w:r>
            <w:r w:rsidRPr="0066679D">
              <w:rPr>
                <w:rFonts w:ascii="Calibri" w:hAnsi="Calibri" w:cs="Calibri"/>
                <w:b/>
                <w:bCs/>
                <w:sz w:val="20"/>
                <w:szCs w:val="20"/>
                <w:vertAlign w:val="superscript"/>
              </w:rPr>
              <w:t xml:space="preserve"> </w:t>
            </w:r>
            <w:r w:rsidR="005A1AF4" w:rsidRPr="00CE6A0A">
              <w:rPr>
                <w:rFonts w:ascii="Calibri" w:hAnsi="Calibri" w:cs="Calibri"/>
                <w:b/>
                <w:bCs/>
                <w:sz w:val="20"/>
                <w:szCs w:val="20"/>
              </w:rPr>
              <w:fldChar w:fldCharType="begin" w:fldLock="1"/>
            </w:r>
            <w:r w:rsidR="00E26157" w:rsidRPr="00CE6A0A">
              <w:rPr>
                <w:rFonts w:ascii="Calibri" w:hAnsi="Calibri" w:cs="Calibri"/>
                <w:b/>
                <w:bCs/>
                <w:sz w:val="20"/>
                <w:szCs w:val="20"/>
              </w:rPr>
              <w:instrText>ADDIN CSL_CITATION {"citationItems":[{"id":"ITEM-1","itemData":{"DOI":"10.1186/1471-2296-12-108","ISSN":"14712296","abstract":"Background: Urinary tract infections (UTIs) are the second most common bacterial infections in general practice and a frequent indication for prescription of antimicrobials. Increasing concern about the association between the use of antimicrobials and acquired antimicrobial resistance has highlighted the need for rational pharmacotherapy of common infections in general practice. Methods. Management of urinary tract infections in general practice was studied prospectively over 8 weeks. Patients presenting with suspected UTI submitted a urine sample and were enrolled with an opt-out methodology. Data were collected on demographic variables, previous antimicrobial use and urine samples. Appropriateness of different treatment scenarios was assessed by comparing treatment with the laboratory report of the urine sample. Results: A total of 22 practices participated in the study and included 866 patients. Bacteriuria was established for 21% of the patients, pyuria without bacteriuria for 9% and 70% showed no laboratory evidence of UTI. An antimicrobial agent was prescribed to 56% (481) of the patients, of whom 33% had an isolate, 11% with pyuria only and 56% without laboratory evidence of UTI. When taking all patients into account, 14% patients had an isolate identified and were prescribed an antimicrobial to which the isolate was susceptible. The agents most commonly prescribed for UTI were co-amoxyclav (33%), trimethoprim (26%) and fluoroquinolones (17%). Variation between practices in antimicrobial prescribing as well as in their preference for certain antimicrobials, was observed. Treatment as prescribed by the GP was interpreted as appropriate for 55% of the patients. Three different treatment scenarios were simulated, i.e. if all patients who received an antimicrobial were treated with nitrofurantoin, trimethoprim or ciprofloxacin only. Treatment as prescribed by the GP was no more effective than treatment with nitrofurantoin for all patients given an antimicrobial or treatment with ciprofloxacin in all patients. Prescribing cost was lower for nitrofurantoin. Empirical treatment of all patients with trimethoprim only was less effective due to the higher resistance levels. Conclusions: There appears to be considerable scope to reduce the frequency and increase the quality of antimicrobial prescribing for patients with suspected UTI. © 2011 Vellinga et al; licensee BioMed Central Ltd.","author":[{"dropping-particle":"","family":"Vellinga","given":"Akke","non-dropping-particle":"","parse-names":false,"suffix":""},{"dropping-particle":"","family":"Cormican","given":"Martin","non-dropping-particle":"","parse-names":false,"suffix":""},{"dropping-particle":"","family":"Hanahoe","given":"Belinda","non-dropping-particle":"","parse-names":false,"suffix":""},{"dropping-particle":"","family":"Bennett","given":"Kathleen","non-dropping-particle":"","parse-names":false,"suffix":""},{"dropping-particle":"","family":"Murphy","given":"Andrew W.","non-dropping-particle":"","parse-names":false,"suffix":""}],"container-title":"BMC Family Practice","id":"ITEM-1","issued":{"date-parts":[["2011"]]},"title":"Antimicrobial management and appropriateness of treatment of urinary tract infection in general practice in Ireland","type":"article-journal","volume":"12"},"uris":["http://www.mendeley.com/documents/?uuid=739aae59-d6a2-3558-9a81-d0152a7eb0ed"]}],"mendeley":{"formattedCitation":"(24)","plainTextFormattedCitation":"(24)","previouslyFormattedCitation":"(24)"},"properties":{"noteIndex":0},"schema":"https://github.com/citation-style-language/schema/raw/master/csl-citation.json"}</w:instrText>
            </w:r>
            <w:r w:rsidR="005A1AF4" w:rsidRPr="00CE6A0A">
              <w:rPr>
                <w:rFonts w:ascii="Calibri" w:hAnsi="Calibri" w:cs="Calibri"/>
                <w:b/>
                <w:bCs/>
                <w:sz w:val="20"/>
                <w:szCs w:val="20"/>
              </w:rPr>
              <w:fldChar w:fldCharType="separate"/>
            </w:r>
            <w:r w:rsidR="003041A4" w:rsidRPr="00CE6A0A">
              <w:rPr>
                <w:rFonts w:ascii="Calibri" w:hAnsi="Calibri" w:cs="Calibri"/>
                <w:sz w:val="20"/>
                <w:szCs w:val="20"/>
              </w:rPr>
              <w:t>[</w:t>
            </w:r>
            <w:r w:rsidR="005A1AF4" w:rsidRPr="00CE6A0A">
              <w:rPr>
                <w:rFonts w:ascii="Calibri" w:hAnsi="Calibri" w:cs="Calibri"/>
                <w:bCs/>
                <w:noProof/>
                <w:sz w:val="20"/>
                <w:szCs w:val="20"/>
              </w:rPr>
              <w:t>24</w:t>
            </w:r>
            <w:r w:rsidR="003041A4" w:rsidRPr="00CE6A0A">
              <w:rPr>
                <w:rFonts w:ascii="Calibri" w:hAnsi="Calibri" w:cs="Calibri"/>
                <w:bCs/>
                <w:noProof/>
                <w:sz w:val="20"/>
                <w:szCs w:val="20"/>
              </w:rPr>
              <w:t>]</w:t>
            </w:r>
            <w:r w:rsidR="00CE6A0A" w:rsidRPr="00CE6A0A">
              <w:rPr>
                <w:rFonts w:ascii="Calibri" w:hAnsi="Calibri" w:cs="Calibri"/>
                <w:bCs/>
                <w:noProof/>
                <w:sz w:val="20"/>
                <w:szCs w:val="20"/>
              </w:rPr>
              <w:t xml:space="preserve"> </w:t>
            </w:r>
            <w:r w:rsidR="005A1AF4" w:rsidRPr="00CE6A0A">
              <w:rPr>
                <w:rFonts w:ascii="Calibri" w:hAnsi="Calibri" w:cs="Calibri"/>
                <w:b/>
                <w:bCs/>
                <w:sz w:val="20"/>
                <w:szCs w:val="20"/>
                <w:vertAlign w:val="superscript"/>
              </w:rPr>
              <w:fldChar w:fldCharType="end"/>
            </w:r>
          </w:p>
          <w:p w14:paraId="21B4BEFF" w14:textId="77777777" w:rsidR="00D82224" w:rsidRPr="00762997" w:rsidRDefault="00D82224" w:rsidP="009B561A">
            <w:pPr>
              <w:spacing w:line="276" w:lineRule="auto"/>
              <w:rPr>
                <w:rFonts w:ascii="Calibri" w:hAnsi="Calibri" w:cs="Calibri"/>
                <w:sz w:val="20"/>
                <w:szCs w:val="20"/>
              </w:rPr>
            </w:pPr>
            <w:r w:rsidRPr="00CE6A0A">
              <w:rPr>
                <w:rFonts w:ascii="Calibri" w:hAnsi="Calibri" w:cs="Calibri"/>
                <w:sz w:val="20"/>
                <w:szCs w:val="20"/>
              </w:rPr>
              <w:t>Antimicrobial management a</w:t>
            </w:r>
            <w:r w:rsidRPr="0066679D">
              <w:rPr>
                <w:rFonts w:ascii="Calibri" w:hAnsi="Calibri" w:cs="Calibri"/>
                <w:sz w:val="20"/>
                <w:szCs w:val="20"/>
              </w:rPr>
              <w:t>nd appropriateness of treatment of urinary tract infection in general practice in Ireland</w:t>
            </w:r>
          </w:p>
          <w:p w14:paraId="2E0FFECD" w14:textId="77777777" w:rsidR="00D82224" w:rsidRPr="00762997" w:rsidRDefault="00D82224" w:rsidP="009B561A">
            <w:pPr>
              <w:spacing w:line="276" w:lineRule="auto"/>
              <w:rPr>
                <w:rFonts w:ascii="Calibri" w:hAnsi="Calibri" w:cs="Calibri"/>
                <w:sz w:val="20"/>
                <w:szCs w:val="20"/>
              </w:rPr>
            </w:pPr>
          </w:p>
          <w:p w14:paraId="36AEC0DC" w14:textId="4A2ADA8E" w:rsidR="00D82224" w:rsidRPr="00762997" w:rsidRDefault="00D82224" w:rsidP="009B561A">
            <w:pPr>
              <w:spacing w:line="276" w:lineRule="auto"/>
              <w:rPr>
                <w:rFonts w:ascii="Calibri" w:hAnsi="Calibri" w:cs="Calibri"/>
                <w:b/>
                <w:bCs/>
                <w:sz w:val="20"/>
                <w:szCs w:val="20"/>
              </w:rPr>
            </w:pPr>
          </w:p>
        </w:tc>
        <w:tc>
          <w:tcPr>
            <w:tcW w:w="3260" w:type="dxa"/>
          </w:tcPr>
          <w:p w14:paraId="69298F36" w14:textId="77777777" w:rsidR="00D82224" w:rsidRPr="00762997" w:rsidRDefault="00D82224" w:rsidP="009B561A">
            <w:pPr>
              <w:spacing w:line="276" w:lineRule="auto"/>
              <w:rPr>
                <w:rFonts w:ascii="Calibri" w:hAnsi="Calibri" w:cs="Calibri"/>
                <w:b/>
                <w:bCs/>
                <w:color w:val="000000" w:themeColor="text1"/>
                <w:sz w:val="20"/>
                <w:szCs w:val="20"/>
              </w:rPr>
            </w:pPr>
            <w:r w:rsidRPr="00762997">
              <w:rPr>
                <w:rFonts w:ascii="Calibri" w:hAnsi="Calibri" w:cs="Calibri"/>
                <w:b/>
                <w:bCs/>
                <w:color w:val="000000" w:themeColor="text1"/>
                <w:sz w:val="20"/>
                <w:szCs w:val="20"/>
              </w:rPr>
              <w:t>Aims</w:t>
            </w:r>
            <w:r w:rsidRPr="00762997">
              <w:rPr>
                <w:rFonts w:ascii="Calibri" w:hAnsi="Calibri" w:cs="Calibri"/>
                <w:color w:val="000000" w:themeColor="text1"/>
                <w:sz w:val="20"/>
                <w:szCs w:val="20"/>
              </w:rPr>
              <w:t>: To describe the current management of UTI in general practice including the evaluation of appropriateness of the antimicrobial treatment in relation to the laboratory results.</w:t>
            </w:r>
          </w:p>
          <w:p w14:paraId="7A67FBE8" w14:textId="77777777" w:rsidR="00D82224" w:rsidRPr="00762997" w:rsidRDefault="00D82224" w:rsidP="009B561A">
            <w:pPr>
              <w:spacing w:line="276" w:lineRule="auto"/>
              <w:rPr>
                <w:rFonts w:ascii="Calibri" w:hAnsi="Calibri" w:cs="Calibri"/>
                <w:color w:val="000000" w:themeColor="text1"/>
                <w:sz w:val="20"/>
                <w:szCs w:val="20"/>
              </w:rPr>
            </w:pPr>
            <w:r w:rsidRPr="00762997">
              <w:rPr>
                <w:rFonts w:ascii="Calibri" w:hAnsi="Calibri" w:cs="Calibri"/>
                <w:b/>
                <w:bCs/>
                <w:color w:val="000000" w:themeColor="text1"/>
                <w:sz w:val="20"/>
                <w:szCs w:val="20"/>
              </w:rPr>
              <w:t>Methods:</w:t>
            </w:r>
            <w:r w:rsidRPr="00762997">
              <w:rPr>
                <w:rFonts w:ascii="Calibri" w:hAnsi="Calibri" w:cs="Calibri"/>
                <w:color w:val="000000" w:themeColor="text1"/>
                <w:sz w:val="20"/>
                <w:szCs w:val="20"/>
              </w:rPr>
              <w:t xml:space="preserve"> Cohort study</w:t>
            </w:r>
          </w:p>
          <w:p w14:paraId="0237E5B3" w14:textId="77777777" w:rsidR="00D82224" w:rsidRPr="00762997" w:rsidRDefault="00D82224" w:rsidP="009B561A">
            <w:pPr>
              <w:spacing w:line="276" w:lineRule="auto"/>
              <w:rPr>
                <w:rFonts w:ascii="Calibri" w:hAnsi="Calibri" w:cs="Calibri"/>
                <w:color w:val="000000" w:themeColor="text1"/>
                <w:sz w:val="20"/>
                <w:szCs w:val="20"/>
              </w:rPr>
            </w:pPr>
            <w:r w:rsidRPr="00762997">
              <w:rPr>
                <w:rFonts w:ascii="Calibri" w:hAnsi="Calibri" w:cs="Calibri"/>
                <w:b/>
                <w:bCs/>
                <w:color w:val="000000" w:themeColor="text1"/>
                <w:sz w:val="20"/>
                <w:szCs w:val="20"/>
              </w:rPr>
              <w:t>Participants:</w:t>
            </w:r>
            <w:r w:rsidRPr="00762997">
              <w:rPr>
                <w:rFonts w:ascii="Calibri" w:hAnsi="Calibri" w:cs="Calibri"/>
                <w:color w:val="000000" w:themeColor="text1"/>
                <w:sz w:val="20"/>
                <w:szCs w:val="20"/>
              </w:rPr>
              <w:t xml:space="preserve"> 22 practices and 866 patients.</w:t>
            </w:r>
          </w:p>
          <w:p w14:paraId="3573C597" w14:textId="77777777" w:rsidR="00D82224" w:rsidRPr="00762997" w:rsidRDefault="00D82224" w:rsidP="009B561A">
            <w:pPr>
              <w:spacing w:line="276" w:lineRule="auto"/>
              <w:rPr>
                <w:rFonts w:ascii="Calibri" w:hAnsi="Calibri" w:cs="Calibri"/>
                <w:b/>
                <w:bCs/>
                <w:color w:val="000000" w:themeColor="text1"/>
                <w:sz w:val="20"/>
                <w:szCs w:val="20"/>
              </w:rPr>
            </w:pPr>
            <w:r w:rsidRPr="00762997">
              <w:rPr>
                <w:rFonts w:ascii="Calibri" w:hAnsi="Calibri" w:cs="Calibri"/>
                <w:b/>
                <w:bCs/>
                <w:color w:val="000000" w:themeColor="text1"/>
                <w:sz w:val="20"/>
                <w:szCs w:val="20"/>
              </w:rPr>
              <w:t>Recruitment:</w:t>
            </w:r>
            <w:r w:rsidRPr="00762997">
              <w:rPr>
                <w:rFonts w:ascii="Calibri" w:hAnsi="Calibri" w:cs="Calibri"/>
                <w:color w:val="000000" w:themeColor="text1"/>
                <w:sz w:val="20"/>
                <w:szCs w:val="20"/>
              </w:rPr>
              <w:t xml:space="preserve"> Letter</w:t>
            </w:r>
          </w:p>
        </w:tc>
        <w:tc>
          <w:tcPr>
            <w:tcW w:w="3828" w:type="dxa"/>
          </w:tcPr>
          <w:p w14:paraId="3570093A" w14:textId="77777777" w:rsidR="00D82224" w:rsidRPr="00762997" w:rsidRDefault="00D82224" w:rsidP="009B561A">
            <w:pPr>
              <w:spacing w:line="276" w:lineRule="auto"/>
              <w:rPr>
                <w:rFonts w:ascii="Calibri" w:hAnsi="Calibri" w:cs="Calibri"/>
                <w:b/>
                <w:bCs/>
                <w:sz w:val="20"/>
                <w:szCs w:val="20"/>
              </w:rPr>
            </w:pPr>
            <w:r w:rsidRPr="00762997">
              <w:rPr>
                <w:rFonts w:ascii="Calibri" w:hAnsi="Calibri" w:cs="Calibri"/>
                <w:sz w:val="20"/>
                <w:szCs w:val="20"/>
              </w:rPr>
              <w:t>A high proportion of patients (481 or 56%) were treated with antimicrobials. Of these 481 patients, 56% (268) had no laboratory evidence of UTI and a further 11% (55) of these patients have pyuria but no significant bacteriuria.</w:t>
            </w:r>
          </w:p>
        </w:tc>
        <w:tc>
          <w:tcPr>
            <w:tcW w:w="2976" w:type="dxa"/>
          </w:tcPr>
          <w:p w14:paraId="261EB89C" w14:textId="77777777" w:rsidR="00D82224" w:rsidRPr="00762997" w:rsidRDefault="00D82224" w:rsidP="009B561A">
            <w:pPr>
              <w:spacing w:line="276" w:lineRule="auto"/>
              <w:rPr>
                <w:rFonts w:ascii="Calibri" w:hAnsi="Calibri" w:cs="Calibri"/>
                <w:sz w:val="20"/>
                <w:szCs w:val="20"/>
              </w:rPr>
            </w:pPr>
            <w:r w:rsidRPr="00762997">
              <w:rPr>
                <w:rFonts w:ascii="Calibri" w:hAnsi="Calibri" w:cs="Calibri"/>
                <w:sz w:val="20"/>
                <w:szCs w:val="20"/>
              </w:rPr>
              <w:t>Scope to reduce the frequency and improve the quality of antimicrobial prescriptions for patients presenting to GPs with symptoms suggestive of UTI</w:t>
            </w:r>
          </w:p>
          <w:p w14:paraId="039CF78A" w14:textId="77777777" w:rsidR="00D82224" w:rsidRPr="00762997" w:rsidRDefault="00D82224" w:rsidP="009B561A">
            <w:pPr>
              <w:spacing w:line="276" w:lineRule="auto"/>
              <w:rPr>
                <w:rFonts w:ascii="Calibri" w:hAnsi="Calibri" w:cs="Calibri"/>
                <w:sz w:val="20"/>
                <w:szCs w:val="20"/>
              </w:rPr>
            </w:pPr>
          </w:p>
        </w:tc>
      </w:tr>
    </w:tbl>
    <w:p w14:paraId="6E8AE417" w14:textId="77777777" w:rsidR="00D82224" w:rsidRPr="009B561A" w:rsidRDefault="00D82224" w:rsidP="009B561A">
      <w:pPr>
        <w:spacing w:line="276" w:lineRule="auto"/>
        <w:rPr>
          <w:rFonts w:ascii="Calibri" w:hAnsi="Calibri" w:cs="Calibri"/>
          <w:b/>
          <w:bCs/>
          <w:sz w:val="20"/>
          <w:szCs w:val="20"/>
        </w:rPr>
      </w:pPr>
    </w:p>
    <w:p w14:paraId="615D2729" w14:textId="77777777" w:rsidR="00D82224" w:rsidRPr="009B561A" w:rsidRDefault="00D82224" w:rsidP="009B561A">
      <w:pPr>
        <w:spacing w:line="276" w:lineRule="auto"/>
        <w:rPr>
          <w:rFonts w:ascii="Calibri" w:hAnsi="Calibri" w:cs="Calibri"/>
          <w:b/>
          <w:bCs/>
          <w:sz w:val="20"/>
          <w:szCs w:val="20"/>
        </w:rPr>
      </w:pPr>
    </w:p>
    <w:p w14:paraId="4DB443CF" w14:textId="77777777" w:rsidR="00D82224" w:rsidRPr="009B561A" w:rsidRDefault="00D82224" w:rsidP="009B561A">
      <w:pPr>
        <w:spacing w:line="276" w:lineRule="auto"/>
        <w:rPr>
          <w:rFonts w:ascii="Calibri" w:hAnsi="Calibri" w:cs="Calibri"/>
          <w:b/>
          <w:bCs/>
          <w:sz w:val="20"/>
          <w:szCs w:val="20"/>
        </w:rPr>
      </w:pPr>
    </w:p>
    <w:p w14:paraId="179A35F7" w14:textId="77777777" w:rsidR="00D82224" w:rsidRPr="009B561A" w:rsidRDefault="00D82224" w:rsidP="009B561A">
      <w:pPr>
        <w:spacing w:line="276" w:lineRule="auto"/>
        <w:rPr>
          <w:rFonts w:ascii="Calibri" w:hAnsi="Calibri" w:cs="Calibri"/>
          <w:b/>
          <w:bCs/>
          <w:sz w:val="20"/>
          <w:szCs w:val="20"/>
        </w:rPr>
      </w:pPr>
    </w:p>
    <w:p w14:paraId="12150F70" w14:textId="77777777" w:rsidR="00D82224" w:rsidRPr="009B561A" w:rsidRDefault="00D82224" w:rsidP="009B561A">
      <w:pPr>
        <w:spacing w:line="276" w:lineRule="auto"/>
        <w:rPr>
          <w:rFonts w:ascii="Calibri" w:hAnsi="Calibri" w:cs="Calibri"/>
          <w:b/>
          <w:bCs/>
          <w:sz w:val="20"/>
          <w:szCs w:val="20"/>
        </w:rPr>
      </w:pPr>
    </w:p>
    <w:p w14:paraId="3E524610" w14:textId="77777777" w:rsidR="00F75FA6" w:rsidRPr="009B561A" w:rsidRDefault="00F75FA6" w:rsidP="009B561A">
      <w:pPr>
        <w:spacing w:line="276" w:lineRule="auto"/>
        <w:rPr>
          <w:rFonts w:ascii="Calibri" w:hAnsi="Calibri" w:cs="Calibri"/>
          <w:b/>
          <w:bCs/>
          <w:color w:val="FF0000"/>
          <w:sz w:val="20"/>
          <w:szCs w:val="20"/>
        </w:rPr>
      </w:pPr>
    </w:p>
    <w:p w14:paraId="02934A5F" w14:textId="552DFCD9" w:rsidR="00D82224" w:rsidRPr="00396E50" w:rsidRDefault="00D82224" w:rsidP="009B561A">
      <w:pPr>
        <w:spacing w:line="276" w:lineRule="auto"/>
        <w:rPr>
          <w:rFonts w:ascii="Calibri" w:hAnsi="Calibri" w:cs="Calibri"/>
          <w:b/>
          <w:bCs/>
          <w:color w:val="FF0000"/>
          <w:sz w:val="24"/>
          <w:szCs w:val="24"/>
        </w:rPr>
      </w:pPr>
      <w:r w:rsidRPr="005C2D38">
        <w:rPr>
          <w:rFonts w:ascii="Calibri" w:hAnsi="Calibri" w:cs="Calibri"/>
          <w:b/>
          <w:bCs/>
          <w:sz w:val="24"/>
          <w:szCs w:val="24"/>
        </w:rPr>
        <w:lastRenderedPageBreak/>
        <w:t xml:space="preserve">Supplemental File </w:t>
      </w:r>
      <w:r w:rsidR="00835F1B" w:rsidRPr="005C2D38">
        <w:rPr>
          <w:rFonts w:ascii="Calibri" w:hAnsi="Calibri" w:cs="Calibri"/>
          <w:b/>
          <w:bCs/>
          <w:sz w:val="24"/>
          <w:szCs w:val="24"/>
        </w:rPr>
        <w:t>5</w:t>
      </w:r>
      <w:r w:rsidRPr="0094788B">
        <w:rPr>
          <w:rFonts w:ascii="Calibri" w:hAnsi="Calibri" w:cs="Calibri"/>
          <w:b/>
          <w:bCs/>
          <w:sz w:val="24"/>
          <w:szCs w:val="24"/>
        </w:rPr>
        <w:t xml:space="preserve">: Table </w:t>
      </w:r>
      <w:r w:rsidR="00FC6DFD" w:rsidRPr="0094788B">
        <w:rPr>
          <w:rFonts w:ascii="Calibri" w:hAnsi="Calibri" w:cs="Calibri"/>
          <w:b/>
          <w:bCs/>
          <w:sz w:val="24"/>
          <w:szCs w:val="24"/>
        </w:rPr>
        <w:t>9</w:t>
      </w:r>
      <w:r w:rsidRPr="0094788B">
        <w:rPr>
          <w:rFonts w:ascii="Calibri" w:hAnsi="Calibri" w:cs="Calibri"/>
          <w:b/>
          <w:bCs/>
          <w:sz w:val="24"/>
          <w:szCs w:val="24"/>
        </w:rPr>
        <w:t xml:space="preserve">ii SRC B: Grey </w:t>
      </w:r>
      <w:r w:rsidRPr="00D62F06">
        <w:rPr>
          <w:rFonts w:ascii="Calibri" w:hAnsi="Calibri" w:cs="Calibri"/>
          <w:b/>
          <w:bCs/>
          <w:sz w:val="24"/>
          <w:szCs w:val="24"/>
        </w:rPr>
        <w:t xml:space="preserve">Literature - Roles and Responsibilities for Prescribers (Reports </w:t>
      </w:r>
      <w:r w:rsidRPr="00396E50">
        <w:rPr>
          <w:rFonts w:ascii="Calibri" w:hAnsi="Calibri" w:cs="Calibri"/>
          <w:b/>
          <w:bCs/>
          <w:sz w:val="24"/>
          <w:szCs w:val="24"/>
        </w:rPr>
        <w:t>n=11)</w:t>
      </w:r>
      <w:r w:rsidR="00B26031" w:rsidRPr="00396E50">
        <w:rPr>
          <w:rFonts w:ascii="Calibri" w:hAnsi="Calibri" w:cs="Calibri"/>
          <w:b/>
          <w:bCs/>
          <w:sz w:val="24"/>
          <w:szCs w:val="24"/>
        </w:rPr>
        <w:fldChar w:fldCharType="begin" w:fldLock="1"/>
      </w:r>
      <w:r w:rsidR="00B26031" w:rsidRPr="00396E50">
        <w:rPr>
          <w:rFonts w:ascii="Calibri" w:hAnsi="Calibri" w:cs="Calibri"/>
          <w:b/>
          <w:bCs/>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396E50">
        <w:rPr>
          <w:rFonts w:ascii="Calibri" w:hAnsi="Calibri" w:cs="Calibri"/>
          <w:b/>
          <w:bCs/>
          <w:sz w:val="24"/>
          <w:szCs w:val="24"/>
        </w:rPr>
        <w:fldChar w:fldCharType="separate"/>
      </w:r>
      <w:r w:rsidR="003723E4" w:rsidRPr="00396E50">
        <w:rPr>
          <w:rFonts w:ascii="Calibri" w:hAnsi="Calibri" w:cs="Calibri"/>
          <w:bCs/>
          <w:noProof/>
          <w:sz w:val="24"/>
          <w:szCs w:val="24"/>
        </w:rPr>
        <w:t>[</w:t>
      </w:r>
      <w:r w:rsidR="00B26031" w:rsidRPr="00396E50">
        <w:rPr>
          <w:rFonts w:ascii="Calibri" w:hAnsi="Calibri" w:cs="Calibri"/>
          <w:bCs/>
          <w:noProof/>
          <w:sz w:val="24"/>
          <w:szCs w:val="24"/>
        </w:rPr>
        <w:t>1</w:t>
      </w:r>
      <w:r w:rsidR="003723E4" w:rsidRPr="00396E50">
        <w:rPr>
          <w:rFonts w:ascii="Calibri" w:hAnsi="Calibri" w:cs="Calibri"/>
          <w:bCs/>
          <w:noProof/>
          <w:sz w:val="24"/>
          <w:szCs w:val="24"/>
        </w:rPr>
        <w:t>]</w:t>
      </w:r>
      <w:r w:rsidR="00B26031" w:rsidRPr="00396E50">
        <w:rPr>
          <w:rFonts w:ascii="Calibri" w:hAnsi="Calibri" w:cs="Calibri"/>
          <w:b/>
          <w:bCs/>
          <w:sz w:val="24"/>
          <w:szCs w:val="24"/>
        </w:rPr>
        <w:fldChar w:fldCharType="end"/>
      </w:r>
      <w:r w:rsidR="00396E50" w:rsidRPr="00396E50">
        <w:rPr>
          <w:rFonts w:ascii="Calibri" w:hAnsi="Calibri" w:cs="Calibri"/>
          <w:b/>
          <w:bCs/>
          <w:color w:val="FF0000"/>
          <w:sz w:val="24"/>
          <w:szCs w:val="24"/>
        </w:rPr>
        <w:t xml:space="preserve"> </w:t>
      </w:r>
      <w:r w:rsidRPr="00396E50">
        <w:rPr>
          <w:rFonts w:ascii="Calibri" w:hAnsi="Calibri" w:cs="Calibri"/>
          <w:b/>
          <w:bCs/>
          <w:color w:val="FF0000"/>
          <w:sz w:val="24"/>
          <w:szCs w:val="24"/>
        </w:rPr>
        <w:t xml:space="preserve"> </w:t>
      </w:r>
    </w:p>
    <w:tbl>
      <w:tblPr>
        <w:tblStyle w:val="TableGrid4"/>
        <w:tblW w:w="14170" w:type="dxa"/>
        <w:tblLook w:val="0620" w:firstRow="1" w:lastRow="0" w:firstColumn="0" w:lastColumn="0" w:noHBand="1" w:noVBand="1"/>
      </w:tblPr>
      <w:tblGrid>
        <w:gridCol w:w="435"/>
        <w:gridCol w:w="4620"/>
        <w:gridCol w:w="4120"/>
        <w:gridCol w:w="4995"/>
      </w:tblGrid>
      <w:tr w:rsidR="00D82224" w:rsidRPr="00396E50" w14:paraId="2329F260" w14:textId="77777777" w:rsidTr="0087653A">
        <w:trPr>
          <w:tblHeader/>
        </w:trPr>
        <w:tc>
          <w:tcPr>
            <w:tcW w:w="435" w:type="dxa"/>
          </w:tcPr>
          <w:p w14:paraId="6798BE6E" w14:textId="77777777" w:rsidR="00D82224" w:rsidRPr="00396E50" w:rsidRDefault="00D82224" w:rsidP="009B561A">
            <w:pPr>
              <w:spacing w:line="276" w:lineRule="auto"/>
              <w:rPr>
                <w:rFonts w:ascii="Calibri" w:hAnsi="Calibri" w:cs="Calibri"/>
                <w:sz w:val="20"/>
                <w:szCs w:val="20"/>
              </w:rPr>
            </w:pPr>
          </w:p>
        </w:tc>
        <w:tc>
          <w:tcPr>
            <w:tcW w:w="4620" w:type="dxa"/>
          </w:tcPr>
          <w:p w14:paraId="69CE6A56" w14:textId="77777777" w:rsidR="00D82224" w:rsidRPr="00396E50" w:rsidRDefault="00D82224" w:rsidP="009B561A">
            <w:pPr>
              <w:spacing w:line="276" w:lineRule="auto"/>
              <w:jc w:val="center"/>
              <w:rPr>
                <w:rFonts w:ascii="Calibri" w:hAnsi="Calibri" w:cs="Calibri"/>
                <w:b/>
                <w:bCs/>
                <w:noProof/>
                <w:kern w:val="2"/>
                <w:sz w:val="20"/>
                <w:szCs w:val="20"/>
                <w14:ligatures w14:val="standardContextual"/>
              </w:rPr>
            </w:pPr>
            <w:r w:rsidRPr="00396E50">
              <w:rPr>
                <w:rFonts w:ascii="Calibri" w:hAnsi="Calibri" w:cs="Calibri"/>
                <w:b/>
                <w:bCs/>
                <w:noProof/>
                <w:kern w:val="2"/>
                <w:sz w:val="20"/>
                <w:szCs w:val="20"/>
                <w14:ligatures w14:val="standardContextual"/>
              </w:rPr>
              <w:t>Reports/documentation</w:t>
            </w:r>
          </w:p>
        </w:tc>
        <w:tc>
          <w:tcPr>
            <w:tcW w:w="4120" w:type="dxa"/>
          </w:tcPr>
          <w:p w14:paraId="2ED2570F" w14:textId="77777777" w:rsidR="00D82224" w:rsidRPr="00396E50" w:rsidRDefault="00D82224" w:rsidP="009B561A">
            <w:pPr>
              <w:spacing w:line="276" w:lineRule="auto"/>
              <w:jc w:val="center"/>
              <w:rPr>
                <w:rFonts w:ascii="Calibri" w:hAnsi="Calibri" w:cs="Calibri"/>
                <w:b/>
                <w:bCs/>
                <w:sz w:val="20"/>
                <w:szCs w:val="20"/>
              </w:rPr>
            </w:pPr>
            <w:r w:rsidRPr="00396E50">
              <w:rPr>
                <w:rFonts w:ascii="Calibri" w:hAnsi="Calibri" w:cs="Calibri"/>
                <w:b/>
                <w:bCs/>
                <w:sz w:val="20"/>
                <w:szCs w:val="20"/>
              </w:rPr>
              <w:t>Purpose</w:t>
            </w:r>
          </w:p>
        </w:tc>
        <w:tc>
          <w:tcPr>
            <w:tcW w:w="4995" w:type="dxa"/>
          </w:tcPr>
          <w:p w14:paraId="5662B0EA" w14:textId="77777777" w:rsidR="00D82224" w:rsidRPr="00396E50" w:rsidRDefault="00D82224" w:rsidP="009B561A">
            <w:pPr>
              <w:spacing w:line="276" w:lineRule="auto"/>
              <w:jc w:val="center"/>
              <w:rPr>
                <w:rFonts w:ascii="Calibri" w:hAnsi="Calibri" w:cs="Calibri"/>
                <w:b/>
                <w:bCs/>
                <w:sz w:val="20"/>
                <w:szCs w:val="20"/>
                <w:shd w:val="clear" w:color="auto" w:fill="FFFFFF"/>
              </w:rPr>
            </w:pPr>
            <w:r w:rsidRPr="00396E50">
              <w:rPr>
                <w:rFonts w:ascii="Calibri" w:hAnsi="Calibri" w:cs="Calibri"/>
                <w:b/>
                <w:bCs/>
                <w:sz w:val="20"/>
                <w:szCs w:val="20"/>
                <w:shd w:val="clear" w:color="auto" w:fill="FFFFFF"/>
              </w:rPr>
              <w:t>Findings/Evidence</w:t>
            </w:r>
          </w:p>
        </w:tc>
      </w:tr>
      <w:tr w:rsidR="00D82224" w:rsidRPr="009B561A" w14:paraId="0F43E8EF" w14:textId="77777777" w:rsidTr="0087653A">
        <w:tc>
          <w:tcPr>
            <w:tcW w:w="435" w:type="dxa"/>
          </w:tcPr>
          <w:p w14:paraId="1B441FE6" w14:textId="77777777" w:rsidR="00D82224" w:rsidRPr="00396E50" w:rsidRDefault="00D82224" w:rsidP="009B561A">
            <w:pPr>
              <w:spacing w:line="276" w:lineRule="auto"/>
              <w:rPr>
                <w:rFonts w:ascii="Calibri" w:hAnsi="Calibri" w:cs="Calibri"/>
                <w:sz w:val="20"/>
                <w:szCs w:val="20"/>
              </w:rPr>
            </w:pPr>
            <w:r w:rsidRPr="00396E50">
              <w:rPr>
                <w:rFonts w:ascii="Calibri" w:hAnsi="Calibri" w:cs="Calibri"/>
                <w:sz w:val="20"/>
                <w:szCs w:val="20"/>
              </w:rPr>
              <w:t>1</w:t>
            </w:r>
          </w:p>
        </w:tc>
        <w:tc>
          <w:tcPr>
            <w:tcW w:w="4620" w:type="dxa"/>
          </w:tcPr>
          <w:p w14:paraId="1F8877EC" w14:textId="6355E516" w:rsidR="00D82224" w:rsidRPr="00396E50" w:rsidRDefault="00D82224" w:rsidP="009B561A">
            <w:pPr>
              <w:spacing w:line="276" w:lineRule="auto"/>
              <w:rPr>
                <w:rFonts w:ascii="Calibri" w:hAnsi="Calibri" w:cs="Calibri"/>
                <w:b/>
                <w:bCs/>
                <w:sz w:val="20"/>
                <w:szCs w:val="20"/>
                <w:vertAlign w:val="superscript"/>
              </w:rPr>
            </w:pPr>
            <w:r w:rsidRPr="00396E50">
              <w:rPr>
                <w:rFonts w:ascii="Calibri" w:hAnsi="Calibri" w:cs="Calibri"/>
                <w:b/>
                <w:bCs/>
                <w:sz w:val="20"/>
                <w:szCs w:val="20"/>
              </w:rPr>
              <w:t>Health Service Executive (2021).</w:t>
            </w:r>
            <w:r w:rsidRPr="00396E50">
              <w:rPr>
                <w:rFonts w:ascii="Calibri" w:hAnsi="Calibri" w:cs="Calibri"/>
                <w:sz w:val="20"/>
                <w:szCs w:val="20"/>
              </w:rPr>
              <w:t xml:space="preserve"> Health Service Executive 2022-2025 AMRIC Action Plan</w:t>
            </w:r>
            <w:r w:rsidRPr="00396E50">
              <w:rPr>
                <w:rFonts w:ascii="Calibri" w:hAnsi="Calibri" w:cs="Calibri"/>
                <w:b/>
                <w:bCs/>
                <w:sz w:val="20"/>
                <w:szCs w:val="20"/>
              </w:rPr>
              <w:t xml:space="preserve"> </w:t>
            </w:r>
            <w:r w:rsidR="00FD4196" w:rsidRPr="00396E50">
              <w:rPr>
                <w:rFonts w:ascii="Calibri" w:hAnsi="Calibri" w:cs="Calibri"/>
                <w:b/>
                <w:bCs/>
                <w:sz w:val="20"/>
                <w:szCs w:val="20"/>
              </w:rPr>
              <w:fldChar w:fldCharType="begin" w:fldLock="1"/>
            </w:r>
            <w:r w:rsidR="00FD4196" w:rsidRPr="00396E50">
              <w:rPr>
                <w:rFonts w:ascii="Calibri" w:hAnsi="Calibri" w:cs="Calibri"/>
                <w:b/>
                <w:bCs/>
                <w:sz w:val="20"/>
                <w:szCs w:val="20"/>
              </w:rPr>
              <w:instrText>ADDIN CSL_CITATION {"citationItems":[{"id":"ITEM-1","itemData":{"ISBN":"9781786021854","author":[{"dropping-particle":"","family":"Health Service Executive (HSE)","given":"","non-dropping-particle":"","parse-names":false,"suffix":""}],"id":"ITEM-1","issued":{"date-parts":[["2022"]]},"title":"Health Service Executive (2021). Health Service Executive 2022-2025 AMRIC Action Plan Available at https://bit.ly/3nWROS7","type":"report"},"uris":["http://www.mendeley.com/documents/?uuid=3b9c19ff-832f-4476-93de-609f37e9eec5"]}],"mendeley":{"formattedCitation":"(10)","plainTextFormattedCitation":"(10)","previouslyFormattedCitation":"(10)"},"properties":{"noteIndex":0},"schema":"https://github.com/citation-style-language/schema/raw/master/csl-citation.json"}</w:instrText>
            </w:r>
            <w:r w:rsidR="00FD4196" w:rsidRPr="00396E50">
              <w:rPr>
                <w:rFonts w:ascii="Calibri" w:hAnsi="Calibri" w:cs="Calibri"/>
                <w:b/>
                <w:bCs/>
                <w:sz w:val="20"/>
                <w:szCs w:val="20"/>
              </w:rPr>
              <w:fldChar w:fldCharType="separate"/>
            </w:r>
            <w:r w:rsidR="00396E50" w:rsidRPr="00396E50">
              <w:rPr>
                <w:rFonts w:ascii="Calibri" w:hAnsi="Calibri" w:cs="Calibri"/>
                <w:sz w:val="20"/>
                <w:szCs w:val="20"/>
              </w:rPr>
              <w:t>[</w:t>
            </w:r>
            <w:r w:rsidR="00FD4196" w:rsidRPr="00396E50">
              <w:rPr>
                <w:rFonts w:ascii="Calibri" w:hAnsi="Calibri" w:cs="Calibri"/>
                <w:bCs/>
                <w:noProof/>
                <w:sz w:val="20"/>
                <w:szCs w:val="20"/>
              </w:rPr>
              <w:t>10</w:t>
            </w:r>
            <w:r w:rsidR="00396E50" w:rsidRPr="00396E50">
              <w:rPr>
                <w:rFonts w:ascii="Calibri" w:hAnsi="Calibri" w:cs="Calibri"/>
                <w:bCs/>
                <w:noProof/>
                <w:sz w:val="20"/>
                <w:szCs w:val="20"/>
              </w:rPr>
              <w:t>]</w:t>
            </w:r>
            <w:r w:rsidR="00396E50">
              <w:rPr>
                <w:rFonts w:ascii="Calibri" w:hAnsi="Calibri" w:cs="Calibri"/>
                <w:bCs/>
                <w:noProof/>
                <w:sz w:val="20"/>
                <w:szCs w:val="20"/>
              </w:rPr>
              <w:t xml:space="preserve">  </w:t>
            </w:r>
            <w:r w:rsidR="00FD4196" w:rsidRPr="00396E50">
              <w:rPr>
                <w:rFonts w:ascii="Calibri" w:hAnsi="Calibri" w:cs="Calibri"/>
                <w:b/>
                <w:bCs/>
                <w:sz w:val="20"/>
                <w:szCs w:val="20"/>
              </w:rPr>
              <w:fldChar w:fldCharType="end"/>
            </w:r>
          </w:p>
          <w:p w14:paraId="516D6982" w14:textId="77777777" w:rsidR="00D82224" w:rsidRPr="00396E50" w:rsidRDefault="00D82224" w:rsidP="009B561A">
            <w:pPr>
              <w:spacing w:line="276" w:lineRule="auto"/>
              <w:rPr>
                <w:rFonts w:ascii="Calibri" w:hAnsi="Calibri" w:cs="Calibri"/>
                <w:b/>
                <w:bCs/>
                <w:sz w:val="20"/>
                <w:szCs w:val="20"/>
                <w:vertAlign w:val="superscript"/>
              </w:rPr>
            </w:pPr>
          </w:p>
          <w:p w14:paraId="6D7572B8" w14:textId="77777777" w:rsidR="00D82224" w:rsidRPr="00396E50" w:rsidRDefault="00D82224" w:rsidP="009B561A">
            <w:pPr>
              <w:spacing w:line="276" w:lineRule="auto"/>
              <w:rPr>
                <w:rFonts w:ascii="Calibri" w:hAnsi="Calibri" w:cs="Calibri"/>
                <w:b/>
                <w:bCs/>
                <w:noProof/>
                <w:kern w:val="2"/>
                <w:sz w:val="20"/>
                <w:szCs w:val="20"/>
                <w14:ligatures w14:val="standardContextual"/>
              </w:rPr>
            </w:pPr>
            <w:r w:rsidRPr="00396E50">
              <w:rPr>
                <w:rFonts w:ascii="Calibri" w:hAnsi="Calibri" w:cs="Calibri"/>
                <w:b/>
                <w:bCs/>
                <w:sz w:val="20"/>
                <w:szCs w:val="20"/>
              </w:rPr>
              <w:t>*Links with Tables SRC A, C</w:t>
            </w:r>
            <w:r w:rsidRPr="00396E50">
              <w:rPr>
                <w:rFonts w:ascii="Calibri" w:hAnsi="Calibri" w:cs="Calibri"/>
                <w:b/>
                <w:bCs/>
                <w:color w:val="000000" w:themeColor="text1"/>
                <w:sz w:val="20"/>
                <w:szCs w:val="20"/>
              </w:rPr>
              <w:t>&amp;</w:t>
            </w:r>
            <w:r w:rsidRPr="00396E50">
              <w:rPr>
                <w:rFonts w:ascii="Calibri" w:hAnsi="Calibri" w:cs="Calibri"/>
                <w:b/>
                <w:bCs/>
                <w:sz w:val="20"/>
                <w:szCs w:val="20"/>
              </w:rPr>
              <w:t>D</w:t>
            </w:r>
          </w:p>
        </w:tc>
        <w:tc>
          <w:tcPr>
            <w:tcW w:w="4120" w:type="dxa"/>
          </w:tcPr>
          <w:p w14:paraId="4DBEFC85" w14:textId="77777777" w:rsidR="00D82224" w:rsidRPr="00396E50" w:rsidRDefault="00D82224" w:rsidP="009B561A">
            <w:pPr>
              <w:spacing w:line="276" w:lineRule="auto"/>
              <w:rPr>
                <w:rFonts w:ascii="Calibri" w:hAnsi="Calibri" w:cs="Calibri"/>
                <w:color w:val="FF0000"/>
                <w:sz w:val="20"/>
                <w:szCs w:val="20"/>
              </w:rPr>
            </w:pPr>
            <w:r w:rsidRPr="00396E50">
              <w:rPr>
                <w:rFonts w:ascii="Calibri" w:hAnsi="Calibri" w:cs="Calibri"/>
                <w:sz w:val="20"/>
                <w:szCs w:val="20"/>
              </w:rPr>
              <w:t>This HSE plan, which complements iNAP2, sets out how the HSE will play its part in delivering on the commitments of iNAP2</w:t>
            </w:r>
          </w:p>
        </w:tc>
        <w:tc>
          <w:tcPr>
            <w:tcW w:w="4995" w:type="dxa"/>
          </w:tcPr>
          <w:p w14:paraId="32EA67F0" w14:textId="77777777" w:rsidR="00D82224" w:rsidRPr="00396E50" w:rsidRDefault="00D82224" w:rsidP="009B561A">
            <w:pPr>
              <w:spacing w:line="276" w:lineRule="auto"/>
              <w:rPr>
                <w:rFonts w:ascii="Calibri" w:hAnsi="Calibri" w:cs="Calibri"/>
                <w:sz w:val="20"/>
                <w:szCs w:val="20"/>
              </w:rPr>
            </w:pPr>
            <w:r w:rsidRPr="00396E50">
              <w:rPr>
                <w:rFonts w:ascii="Calibri" w:hAnsi="Calibri" w:cs="Calibri"/>
                <w:sz w:val="20"/>
                <w:szCs w:val="20"/>
              </w:rPr>
              <w:t>Antimicrobial consumption-targets for hospital,</w:t>
            </w:r>
          </w:p>
          <w:p w14:paraId="65A2320F" w14:textId="77777777" w:rsidR="00D82224" w:rsidRPr="00396E50" w:rsidRDefault="00D82224" w:rsidP="009B561A">
            <w:pPr>
              <w:spacing w:line="276" w:lineRule="auto"/>
              <w:rPr>
                <w:rFonts w:ascii="Calibri" w:hAnsi="Calibri" w:cs="Calibri"/>
                <w:sz w:val="20"/>
                <w:szCs w:val="20"/>
              </w:rPr>
            </w:pPr>
            <w:r w:rsidRPr="00396E50">
              <w:rPr>
                <w:rFonts w:ascii="Calibri" w:hAnsi="Calibri" w:cs="Calibri"/>
                <w:sz w:val="20"/>
                <w:szCs w:val="20"/>
              </w:rPr>
              <w:t>community and GP practices</w:t>
            </w:r>
          </w:p>
          <w:p w14:paraId="1A675B6B" w14:textId="77777777" w:rsidR="00D82224" w:rsidRPr="00396E50" w:rsidRDefault="00D82224" w:rsidP="009B561A">
            <w:pPr>
              <w:spacing w:line="276" w:lineRule="auto"/>
              <w:rPr>
                <w:rFonts w:ascii="Calibri" w:hAnsi="Calibri" w:cs="Calibri"/>
                <w:sz w:val="20"/>
                <w:szCs w:val="20"/>
              </w:rPr>
            </w:pPr>
            <w:r w:rsidRPr="00396E50">
              <w:rPr>
                <w:rFonts w:ascii="Calibri" w:hAnsi="Calibri" w:cs="Calibri"/>
                <w:sz w:val="20"/>
                <w:szCs w:val="20"/>
              </w:rPr>
              <w:t>Patient involvement</w:t>
            </w:r>
          </w:p>
          <w:p w14:paraId="0A2AD5EA" w14:textId="77777777" w:rsidR="00D82224" w:rsidRPr="00396E50" w:rsidRDefault="00D82224" w:rsidP="009B561A">
            <w:pPr>
              <w:spacing w:line="276" w:lineRule="auto"/>
              <w:rPr>
                <w:rFonts w:ascii="Calibri" w:hAnsi="Calibri" w:cs="Calibri"/>
                <w:sz w:val="20"/>
                <w:szCs w:val="20"/>
              </w:rPr>
            </w:pPr>
            <w:r w:rsidRPr="00396E50">
              <w:rPr>
                <w:rFonts w:ascii="Calibri" w:hAnsi="Calibri" w:cs="Calibri"/>
                <w:sz w:val="20"/>
                <w:szCs w:val="20"/>
              </w:rPr>
              <w:t xml:space="preserve">Developed and delivered AMRIC social media campaigns incorporating the above </w:t>
            </w:r>
          </w:p>
          <w:p w14:paraId="285D34C5" w14:textId="77777777" w:rsidR="00D82224" w:rsidRPr="00396E50" w:rsidRDefault="00D82224" w:rsidP="009B561A">
            <w:pPr>
              <w:spacing w:line="276" w:lineRule="auto"/>
              <w:rPr>
                <w:rFonts w:ascii="Calibri" w:hAnsi="Calibri" w:cs="Calibri"/>
                <w:sz w:val="20"/>
                <w:szCs w:val="20"/>
              </w:rPr>
            </w:pPr>
            <w:r w:rsidRPr="00396E50">
              <w:rPr>
                <w:rFonts w:ascii="Calibri" w:hAnsi="Calibri" w:cs="Calibri"/>
                <w:sz w:val="20"/>
                <w:szCs w:val="20"/>
              </w:rPr>
              <w:t>Designed, implemented and evaluated annual IPC awareness campaigns</w:t>
            </w:r>
          </w:p>
          <w:p w14:paraId="1ABE3D57" w14:textId="77777777" w:rsidR="00D82224" w:rsidRPr="009B561A" w:rsidRDefault="00D82224" w:rsidP="009B561A">
            <w:pPr>
              <w:spacing w:line="276" w:lineRule="auto"/>
              <w:rPr>
                <w:rFonts w:ascii="Calibri" w:hAnsi="Calibri" w:cs="Calibri"/>
                <w:color w:val="FF0000"/>
                <w:sz w:val="20"/>
                <w:szCs w:val="20"/>
              </w:rPr>
            </w:pPr>
            <w:r w:rsidRPr="00396E50">
              <w:rPr>
                <w:rFonts w:ascii="Calibri" w:hAnsi="Calibri" w:cs="Calibri"/>
                <w:sz w:val="20"/>
                <w:szCs w:val="20"/>
              </w:rPr>
              <w:t>Audit of antimicrobial prescribing in HSE Older Persons facilities</w:t>
            </w:r>
          </w:p>
        </w:tc>
      </w:tr>
      <w:tr w:rsidR="00D82224" w:rsidRPr="009B561A" w14:paraId="77F74BF2" w14:textId="77777777" w:rsidTr="0087653A">
        <w:tc>
          <w:tcPr>
            <w:tcW w:w="435" w:type="dxa"/>
          </w:tcPr>
          <w:p w14:paraId="3B4BC063" w14:textId="77777777" w:rsidR="00D82224" w:rsidRPr="009B561A" w:rsidRDefault="00D82224" w:rsidP="009B561A">
            <w:pPr>
              <w:spacing w:line="276" w:lineRule="auto"/>
              <w:rPr>
                <w:rFonts w:ascii="Calibri" w:hAnsi="Calibri" w:cs="Calibri"/>
                <w:sz w:val="20"/>
                <w:szCs w:val="20"/>
                <w:highlight w:val="magenta"/>
              </w:rPr>
            </w:pPr>
            <w:r w:rsidRPr="009B561A">
              <w:rPr>
                <w:rFonts w:ascii="Calibri" w:hAnsi="Calibri" w:cs="Calibri"/>
                <w:sz w:val="20"/>
                <w:szCs w:val="20"/>
              </w:rPr>
              <w:t>2</w:t>
            </w:r>
          </w:p>
        </w:tc>
        <w:tc>
          <w:tcPr>
            <w:tcW w:w="4620" w:type="dxa"/>
          </w:tcPr>
          <w:p w14:paraId="4AE409B7" w14:textId="22894A2B" w:rsidR="00D82224" w:rsidRPr="009B561A" w:rsidRDefault="00D82224" w:rsidP="009B561A">
            <w:pPr>
              <w:spacing w:line="276" w:lineRule="auto"/>
              <w:rPr>
                <w:rFonts w:ascii="Calibri" w:hAnsi="Calibri" w:cs="Calibri"/>
                <w:sz w:val="20"/>
                <w:szCs w:val="20"/>
              </w:rPr>
            </w:pPr>
            <w:r w:rsidRPr="009B561A">
              <w:rPr>
                <w:rFonts w:ascii="Calibri" w:hAnsi="Calibri" w:cs="Calibri"/>
                <w:b/>
                <w:bCs/>
                <w:sz w:val="20"/>
                <w:szCs w:val="20"/>
              </w:rPr>
              <w:t>Government of Ireland (2021).</w:t>
            </w:r>
            <w:r w:rsidRPr="009B561A">
              <w:rPr>
                <w:rFonts w:ascii="Calibri" w:hAnsi="Calibri" w:cs="Calibri"/>
                <w:sz w:val="20"/>
                <w:szCs w:val="20"/>
              </w:rPr>
              <w:t xml:space="preserve"> Ireland’s One Health National Action Plan on Antimicrobial Resistance 2021 – 2025 (known as iNAP2</w:t>
            </w:r>
            <w:r w:rsidR="00AE2577" w:rsidRPr="00396E50">
              <w:rPr>
                <w:rFonts w:ascii="Calibri" w:hAnsi="Calibri" w:cs="Calibri"/>
                <w:sz w:val="20"/>
                <w:szCs w:val="20"/>
              </w:rPr>
              <w:t>)</w:t>
            </w:r>
            <w:r w:rsidR="00AE2577" w:rsidRPr="00396E50">
              <w:rPr>
                <w:rFonts w:ascii="Calibri" w:hAnsi="Calibri" w:cs="Calibri"/>
                <w:sz w:val="20"/>
                <w:szCs w:val="20"/>
              </w:rPr>
              <w:fldChar w:fldCharType="begin" w:fldLock="1"/>
            </w:r>
            <w:r w:rsidR="00AE2577" w:rsidRPr="00396E50">
              <w:rPr>
                <w:rFonts w:ascii="Calibri" w:hAnsi="Calibri" w:cs="Calibri"/>
                <w:sz w:val="20"/>
                <w:szCs w:val="20"/>
              </w:rPr>
              <w:instrText>ADDIN CSL_CITATION {"citationItems":[{"id":"ITEM-1","itemData":{"abstract":"Cosmetic products are generally formulated as emulsions, ointments, solutions or powders containing active ingredients. According to EU legislation, a cosmetic product is \"any substance or preparation intended to be placed in contact with the various external parts of the human body with a view exclusively or mainly to cleaning, perfuming them, changing their appearance, and/or correcting body odors and/or protecting them or keeping them in good conditions\". However, science advancement in both active carriers and ingredients has streamlined the process through which many cosmetic products by their delivery systems can induce modifications on the skin physiology. This is the reason why Reed and Kligman redefined these products as \"cosmeceuticals\", which refers to the combination of cosmetics and pharmaceuticals. Until recently, the term of cosmeceuticals has not had legal significance. The so-called cosmeceuticals, in fact, may induce modifications on the skin physiology, modifying, for example, transepidermal water loss, keratinocytes cohesion and turnover, modulating the inflammatory cascade, and/or altering the surface microbiota by the activity of the preservatives content. For these reasons, they are claimed to have medical or drug-like benefits. Naturally, their effectiveness on minor skin disorders or mild skin abnormalities has to be shown by in vitro and in vivo studies. On the other hand, their formulations contain emulsifiers, preservatives, and other chemicals which, by their cumulative use, may provoke side effects, such as allergic and/or sensitization phenomena. Moreover, many ingredients and packaging for such products are not biodegradable. In this study, we would like to introduce an innovative category of cosmeceuticals made by biodegradable nonwoven tissues. These cosmeceutical tissues, produced through the use of natural fibers, may bind different active ingredients and therefore become effective as antibacterial, anti-inflammatory, sun-protective, whitening, or anti-aging products, depending on the ingredient(s) used. Differently from the usual cosmetics, they do not contain preservatives, emulsifiers, colors, and other chemicals. They can be applied as dried tissue on wet skin, remaining in loco for around 30 min, slowly releasing the active ingredients entrapped into the fibers. It is interesting to underline that the tissue, acting as a carrier, has its own effectiveness via chitin and lignin polymers with an antibacterial and a…","id":"ITEM-1","issued":{"date-parts":[["0"]]},"title":"Government of Ireland (2021). Ireland’s One Health National Action Plan on Antimicrobial Resistance 2021 –2025 (known as iNAP2). Available at https://www.gov.ie/en/publication/d72f1-joint-action-on-antimicrobial-resistance/ www.gov.ie/amr","type":"report"},"uris":["http://www.mendeley.com/documents/?uuid=a77d5ae4-4132-49fb-8520-4c7a2e5f557f"]}],"mendeley":{"formattedCitation":"(9)","plainTextFormattedCitation":"(9)","previouslyFormattedCitation":"(9)"},"properties":{"noteIndex":0},"schema":"https://github.com/citation-style-language/schema/raw/master/csl-citation.json"}</w:instrText>
            </w:r>
            <w:r w:rsidR="00AE2577" w:rsidRPr="00396E50">
              <w:rPr>
                <w:rFonts w:ascii="Calibri" w:hAnsi="Calibri" w:cs="Calibri"/>
                <w:sz w:val="20"/>
                <w:szCs w:val="20"/>
              </w:rPr>
              <w:fldChar w:fldCharType="separate"/>
            </w:r>
            <w:r w:rsidR="00396E50" w:rsidRPr="00396E50">
              <w:rPr>
                <w:rFonts w:ascii="Calibri" w:hAnsi="Calibri" w:cs="Calibri"/>
                <w:sz w:val="20"/>
                <w:szCs w:val="20"/>
              </w:rPr>
              <w:t>[</w:t>
            </w:r>
            <w:r w:rsidR="00AE2577" w:rsidRPr="00396E50">
              <w:rPr>
                <w:rFonts w:ascii="Calibri" w:hAnsi="Calibri" w:cs="Calibri"/>
                <w:noProof/>
                <w:sz w:val="20"/>
                <w:szCs w:val="20"/>
              </w:rPr>
              <w:t>9</w:t>
            </w:r>
            <w:r w:rsidR="00396E50" w:rsidRPr="00396E50">
              <w:rPr>
                <w:rFonts w:ascii="Calibri" w:hAnsi="Calibri" w:cs="Calibri"/>
                <w:noProof/>
                <w:sz w:val="20"/>
                <w:szCs w:val="20"/>
              </w:rPr>
              <w:t xml:space="preserve">]  </w:t>
            </w:r>
            <w:r w:rsidR="00AE2577" w:rsidRPr="00396E50">
              <w:rPr>
                <w:rFonts w:ascii="Calibri" w:hAnsi="Calibri" w:cs="Calibri"/>
                <w:sz w:val="20"/>
                <w:szCs w:val="20"/>
              </w:rPr>
              <w:fldChar w:fldCharType="end"/>
            </w:r>
          </w:p>
          <w:p w14:paraId="02E9379C" w14:textId="77777777" w:rsidR="00C4605E" w:rsidRPr="009B561A" w:rsidRDefault="00C4605E" w:rsidP="009B561A">
            <w:pPr>
              <w:spacing w:line="276" w:lineRule="auto"/>
              <w:rPr>
                <w:rFonts w:ascii="Calibri" w:hAnsi="Calibri" w:cs="Calibri"/>
                <w:b/>
                <w:bCs/>
                <w:sz w:val="20"/>
                <w:szCs w:val="20"/>
                <w:vertAlign w:val="superscript"/>
              </w:rPr>
            </w:pPr>
          </w:p>
          <w:p w14:paraId="295590DE" w14:textId="77777777" w:rsidR="00D82224" w:rsidRPr="009B561A" w:rsidRDefault="00D82224" w:rsidP="009B561A">
            <w:pPr>
              <w:spacing w:line="276" w:lineRule="auto"/>
              <w:rPr>
                <w:rFonts w:ascii="Calibri" w:hAnsi="Calibri" w:cs="Calibri"/>
                <w:b/>
                <w:bCs/>
                <w:noProof/>
                <w:kern w:val="2"/>
                <w:sz w:val="20"/>
                <w:szCs w:val="20"/>
                <w14:ligatures w14:val="standardContextual"/>
              </w:rPr>
            </w:pPr>
            <w:r w:rsidRPr="009B561A">
              <w:rPr>
                <w:rFonts w:ascii="Calibri" w:hAnsi="Calibri" w:cs="Calibri"/>
                <w:b/>
                <w:bCs/>
                <w:sz w:val="20"/>
                <w:szCs w:val="20"/>
              </w:rPr>
              <w:t>*Links with Tables SRC A, C</w:t>
            </w:r>
            <w:r w:rsidRPr="009B561A">
              <w:rPr>
                <w:rFonts w:ascii="Calibri" w:hAnsi="Calibri" w:cs="Calibri"/>
                <w:b/>
                <w:bCs/>
                <w:color w:val="000000" w:themeColor="text1"/>
                <w:sz w:val="20"/>
                <w:szCs w:val="20"/>
              </w:rPr>
              <w:t>&amp;</w:t>
            </w:r>
            <w:r w:rsidRPr="009B561A">
              <w:rPr>
                <w:rFonts w:ascii="Calibri" w:hAnsi="Calibri" w:cs="Calibri"/>
                <w:b/>
                <w:bCs/>
                <w:sz w:val="20"/>
                <w:szCs w:val="20"/>
              </w:rPr>
              <w:t>D</w:t>
            </w:r>
          </w:p>
        </w:tc>
        <w:tc>
          <w:tcPr>
            <w:tcW w:w="4120" w:type="dxa"/>
          </w:tcPr>
          <w:p w14:paraId="52A350E4"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National Action Plan in continuing to advance Ireland’s One Health response to Antimicrobial Resistance</w:t>
            </w:r>
          </w:p>
        </w:tc>
        <w:tc>
          <w:tcPr>
            <w:tcW w:w="4995" w:type="dxa"/>
          </w:tcPr>
          <w:p w14:paraId="5E63162A"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Antibiotic questions included in the latest wave of the Healthy Ireland Survey.</w:t>
            </w:r>
          </w:p>
          <w:p w14:paraId="1A563336"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The prescribing guidelines on www.antibioticprescribing.ie continue to be developed and expanded to encourage appropriate prescribing of antimicrobials</w:t>
            </w:r>
          </w:p>
        </w:tc>
      </w:tr>
      <w:tr w:rsidR="00D82224" w:rsidRPr="009B561A" w14:paraId="412B26E5" w14:textId="77777777" w:rsidTr="0087653A">
        <w:tc>
          <w:tcPr>
            <w:tcW w:w="435" w:type="dxa"/>
          </w:tcPr>
          <w:p w14:paraId="65297EF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3</w:t>
            </w:r>
          </w:p>
        </w:tc>
        <w:tc>
          <w:tcPr>
            <w:tcW w:w="4620" w:type="dxa"/>
          </w:tcPr>
          <w:p w14:paraId="03F9CEB0" w14:textId="66372F90" w:rsidR="00D82224" w:rsidRPr="009B561A" w:rsidRDefault="00D82224" w:rsidP="009B561A">
            <w:pPr>
              <w:spacing w:line="276" w:lineRule="auto"/>
              <w:rPr>
                <w:rFonts w:ascii="Calibri" w:hAnsi="Calibri" w:cs="Calibri"/>
                <w:noProof/>
                <w:sz w:val="20"/>
                <w:szCs w:val="20"/>
              </w:rPr>
            </w:pPr>
            <w:r w:rsidRPr="009B561A">
              <w:rPr>
                <w:rFonts w:ascii="Calibri" w:hAnsi="Calibri" w:cs="Calibri"/>
                <w:b/>
                <w:bCs/>
                <w:noProof/>
                <w:sz w:val="20"/>
                <w:szCs w:val="20"/>
              </w:rPr>
              <w:t>HSE Antimicrobial Resistance and Infection Control Team (AMRIC)  the HASAG&amp; the NCP for S (NCPS).</w:t>
            </w:r>
            <w:r w:rsidRPr="009B561A">
              <w:rPr>
                <w:rFonts w:ascii="Calibri" w:hAnsi="Calibri" w:cs="Calibri"/>
                <w:noProof/>
                <w:sz w:val="20"/>
                <w:szCs w:val="20"/>
              </w:rPr>
              <w:t xml:space="preserve"> Surgical Antibiotic Prophylaxis Duration Position Paper October 2021 Summary of Recommendations. 2021</w:t>
            </w:r>
            <w:r w:rsidR="00E26157" w:rsidRPr="009B561A">
              <w:rPr>
                <w:rFonts w:ascii="Calibri" w:hAnsi="Calibri" w:cs="Calibri"/>
                <w:noProof/>
                <w:sz w:val="20"/>
                <w:szCs w:val="20"/>
              </w:rPr>
              <w:t xml:space="preserve"> </w:t>
            </w:r>
            <w:r w:rsidR="00E26157" w:rsidRPr="00396E50">
              <w:rPr>
                <w:rFonts w:ascii="Calibri" w:hAnsi="Calibri" w:cs="Calibri"/>
                <w:noProof/>
                <w:sz w:val="20"/>
                <w:szCs w:val="20"/>
              </w:rPr>
              <w:fldChar w:fldCharType="begin" w:fldLock="1"/>
            </w:r>
            <w:r w:rsidR="00906925" w:rsidRPr="00396E50">
              <w:rPr>
                <w:rFonts w:ascii="Calibri" w:hAnsi="Calibri" w:cs="Calibri"/>
                <w:noProof/>
                <w:sz w:val="20"/>
                <w:szCs w:val="20"/>
              </w:rPr>
              <w:instrText>ADDIN CSL_CITATION {"citationItems":[{"id":"ITEM-1","itemData":{"id":"ITEM-1","issue":"October","issued":{"date-parts":[["2021"]]},"title":"Health Service Executive (HSE)/Royal College of Surgeons in Ireland (RCSI) (2021) Surgical antibiotic prophylaxis duration position paper October 2021. Dublin: HSE/RCSI.","type":"report"},"uris":["http://www.mendeley.com/documents/?uuid=be1450de-dd7d-4e68-844f-cae6f10ba00f"]}],"mendeley":{"formattedCitation":"(25)","plainTextFormattedCitation":"(25)","previouslyFormattedCitation":"(25)"},"properties":{"noteIndex":0},"schema":"https://github.com/citation-style-language/schema/raw/master/csl-citation.json"}</w:instrText>
            </w:r>
            <w:r w:rsidR="00E26157" w:rsidRPr="00396E50">
              <w:rPr>
                <w:rFonts w:ascii="Calibri" w:hAnsi="Calibri" w:cs="Calibri"/>
                <w:noProof/>
                <w:sz w:val="20"/>
                <w:szCs w:val="20"/>
              </w:rPr>
              <w:fldChar w:fldCharType="separate"/>
            </w:r>
            <w:r w:rsidR="00396E50" w:rsidRPr="00396E50">
              <w:rPr>
                <w:rFonts w:ascii="Calibri" w:hAnsi="Calibri" w:cs="Calibri"/>
                <w:noProof/>
                <w:sz w:val="20"/>
                <w:szCs w:val="20"/>
              </w:rPr>
              <w:t>[</w:t>
            </w:r>
            <w:r w:rsidR="00E26157" w:rsidRPr="00396E50">
              <w:rPr>
                <w:rFonts w:ascii="Calibri" w:hAnsi="Calibri" w:cs="Calibri"/>
                <w:noProof/>
                <w:sz w:val="20"/>
                <w:szCs w:val="20"/>
              </w:rPr>
              <w:t>25</w:t>
            </w:r>
            <w:r w:rsidR="00396E50" w:rsidRPr="00396E50">
              <w:rPr>
                <w:rFonts w:ascii="Calibri" w:hAnsi="Calibri" w:cs="Calibri"/>
                <w:noProof/>
                <w:sz w:val="20"/>
                <w:szCs w:val="20"/>
              </w:rPr>
              <w:t xml:space="preserve">]   </w:t>
            </w:r>
            <w:r w:rsidR="00E26157" w:rsidRPr="00396E50">
              <w:rPr>
                <w:rFonts w:ascii="Calibri" w:hAnsi="Calibri" w:cs="Calibri"/>
                <w:noProof/>
                <w:sz w:val="20"/>
                <w:szCs w:val="20"/>
              </w:rPr>
              <w:fldChar w:fldCharType="end"/>
            </w:r>
          </w:p>
        </w:tc>
        <w:tc>
          <w:tcPr>
            <w:tcW w:w="4120" w:type="dxa"/>
          </w:tcPr>
          <w:p w14:paraId="217AE572"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color w:val="000000"/>
                <w:sz w:val="20"/>
                <w:szCs w:val="20"/>
              </w:rPr>
              <w:t>The content of this statement including initiation and prompt discontinuation of antibiotic prophylaxis is applicable to all adult and paediatric patients (including neonates).</w:t>
            </w:r>
          </w:p>
        </w:tc>
        <w:tc>
          <w:tcPr>
            <w:tcW w:w="4995" w:type="dxa"/>
          </w:tcPr>
          <w:p w14:paraId="02C1000A"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 xml:space="preserve">This involves administering the correct antibiotic, dose given over the correct duration preoperatively to reduce resistance.  </w:t>
            </w:r>
            <w:hyperlink r:id="rId11" w:history="1">
              <w:r w:rsidRPr="009B561A">
                <w:rPr>
                  <w:rFonts w:ascii="Calibri" w:hAnsi="Calibri" w:cs="Calibri"/>
                  <w:sz w:val="20"/>
                  <w:szCs w:val="20"/>
                  <w:u w:val="single"/>
                  <w:shd w:val="clear" w:color="auto" w:fill="FFFFFF"/>
                </w:rPr>
                <w:t>www.antibioticprescribing.ie</w:t>
              </w:r>
            </w:hyperlink>
          </w:p>
        </w:tc>
      </w:tr>
      <w:tr w:rsidR="00D82224" w:rsidRPr="009B561A" w14:paraId="06887B4A" w14:textId="77777777" w:rsidTr="0087653A">
        <w:tc>
          <w:tcPr>
            <w:tcW w:w="435" w:type="dxa"/>
          </w:tcPr>
          <w:p w14:paraId="2F7FFFED"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4</w:t>
            </w:r>
          </w:p>
        </w:tc>
        <w:tc>
          <w:tcPr>
            <w:tcW w:w="4620" w:type="dxa"/>
          </w:tcPr>
          <w:p w14:paraId="5C8A04AF" w14:textId="2973318F"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sz w:val="20"/>
                <w:szCs w:val="20"/>
              </w:rPr>
              <w:t>European Centre for Disease Prevention and Control</w:t>
            </w:r>
            <w:r w:rsidRPr="009B561A">
              <w:rPr>
                <w:rFonts w:ascii="Calibri" w:hAnsi="Calibri" w:cs="Calibri"/>
                <w:sz w:val="20"/>
                <w:szCs w:val="20"/>
              </w:rPr>
              <w:t>. Final Joint Report in respect of a One Health Country Visit to Ireland from 07 October 2019 to 11 October 2019 to discuss policies relating to Antimicrobial Resistance. (2020</w:t>
            </w:r>
            <w:r w:rsidRPr="00396E50">
              <w:rPr>
                <w:rFonts w:ascii="Calibri" w:hAnsi="Calibri" w:cs="Calibri"/>
                <w:sz w:val="20"/>
                <w:szCs w:val="20"/>
              </w:rPr>
              <w:t xml:space="preserve">) </w:t>
            </w:r>
            <w:r w:rsidR="007477FF" w:rsidRPr="00396E50">
              <w:rPr>
                <w:rFonts w:ascii="Calibri" w:hAnsi="Calibri" w:cs="Calibri"/>
                <w:sz w:val="20"/>
                <w:szCs w:val="20"/>
              </w:rPr>
              <w:fldChar w:fldCharType="begin" w:fldLock="1"/>
            </w:r>
            <w:r w:rsidR="007477FF" w:rsidRPr="00396E50">
              <w:rPr>
                <w:rFonts w:ascii="Calibri" w:hAnsi="Calibri" w:cs="Calibri"/>
                <w:sz w:val="20"/>
                <w:szCs w:val="20"/>
              </w:rPr>
              <w:instrText>ADDIN CSL_CITATION {"citationItems":[{"id":"ITEM-1","itemData":{"ISSN":"2015-7561","abstract":"This report describes the outcome of a Food and Veterinary Office (FVO) audit in Botswana carried out between 13 and 20 October 2015, as part of the FVO audit programme for 2015. The objective was to evaluate the effectiveness of surveillance and regionalisation measures for foot-and-mouth (FMD) disease. Overall, the report concludes that: The shortcomings which led to the suspension of authorisation of imports from two regions have been completely solved in one of these regions, while the Competent Authorities are still working on solutions for the other one. The Competent Authorities are actively involved in continuous improvement of their operational standards. In addition to addressing satisfactorily most recommendations issued after the last FVO audit in 2013, they have introduced new systems for identification of cattle and regionalisation for FMD, which have the potential to improve the health control standards and level of guarantees for export of bovine meat to the EU. Loopholes have however been identified: if not tackled promptly, they will undermine the reliability of these systems. The assurance of the maintenance of FMD-free status without vaccination of the authorised territories relies largely on clinical surveillance. Serological surveillance, while not directly required for export of bovine meat to the EU, is in place: it does not bring the additional intended guarantee, as implementation shortcomings and laboratory quality issues prevent from concluding that seropositive results obtained are not a sign of contact with FMD (vaccine or wild) virus. Recommendations are made to the Competent Authorities of Botswana to address the shortcomings described in the report.","author":[{"dropping-particle":"","family":"EUROPEAN COMMISSION DIRECTORATE-GENERAL FOR HEALTH AND FOOD SAFETY","given":"","non-dropping-particle":"","parse-names":false,"suffix":""}],"id":"ITEM-1","issue":"October 2019","issued":{"date-parts":[["2020"]]},"title":"European Centre for Disease Prevention and Control. Final Joint Report in respect of a One Health Country Visit to Ireland from 07 October 2019 to 11 October 2019 to discuss policies relating to Antimicrobial Resistance. (2020).","type":"report"},"uris":["http://www.mendeley.com/documents/?uuid=788e2269-6361-48a2-aebf-bc8c16dca78b"]}],"mendeley":{"formattedCitation":"(11)","plainTextFormattedCitation":"(11)","previouslyFormattedCitation":"(11)"},"properties":{"noteIndex":0},"schema":"https://github.com/citation-style-language/schema/raw/master/csl-citation.json"}</w:instrText>
            </w:r>
            <w:r w:rsidR="007477FF" w:rsidRPr="00396E50">
              <w:rPr>
                <w:rFonts w:ascii="Calibri" w:hAnsi="Calibri" w:cs="Calibri"/>
                <w:sz w:val="20"/>
                <w:szCs w:val="20"/>
              </w:rPr>
              <w:fldChar w:fldCharType="separate"/>
            </w:r>
            <w:r w:rsidR="00396E50" w:rsidRPr="00396E50">
              <w:rPr>
                <w:rFonts w:ascii="Calibri" w:hAnsi="Calibri" w:cs="Calibri"/>
                <w:sz w:val="20"/>
                <w:szCs w:val="20"/>
              </w:rPr>
              <w:t>[</w:t>
            </w:r>
            <w:r w:rsidR="007477FF" w:rsidRPr="00396E50">
              <w:rPr>
                <w:rFonts w:ascii="Calibri" w:hAnsi="Calibri" w:cs="Calibri"/>
                <w:noProof/>
                <w:sz w:val="20"/>
                <w:szCs w:val="20"/>
              </w:rPr>
              <w:t>11</w:t>
            </w:r>
            <w:r w:rsidR="00396E50" w:rsidRPr="00396E50">
              <w:rPr>
                <w:rFonts w:ascii="Calibri" w:hAnsi="Calibri" w:cs="Calibri"/>
                <w:noProof/>
                <w:sz w:val="20"/>
                <w:szCs w:val="20"/>
              </w:rPr>
              <w:t xml:space="preserve">]   </w:t>
            </w:r>
            <w:r w:rsidR="007477FF" w:rsidRPr="00396E50">
              <w:rPr>
                <w:rFonts w:ascii="Calibri" w:hAnsi="Calibri" w:cs="Calibri"/>
                <w:sz w:val="20"/>
                <w:szCs w:val="20"/>
              </w:rPr>
              <w:fldChar w:fldCharType="end"/>
            </w:r>
          </w:p>
          <w:p w14:paraId="35E28265" w14:textId="77777777" w:rsidR="00D82224" w:rsidRPr="009B561A" w:rsidRDefault="00D82224" w:rsidP="009B561A">
            <w:pPr>
              <w:spacing w:line="276" w:lineRule="auto"/>
              <w:rPr>
                <w:rFonts w:ascii="Calibri" w:hAnsi="Calibri" w:cs="Calibri"/>
                <w:sz w:val="20"/>
                <w:szCs w:val="20"/>
              </w:rPr>
            </w:pPr>
          </w:p>
          <w:p w14:paraId="4DB127D8" w14:textId="77777777" w:rsidR="00D82224" w:rsidRPr="009B561A" w:rsidRDefault="00D82224" w:rsidP="009B561A">
            <w:pPr>
              <w:spacing w:line="276" w:lineRule="auto"/>
              <w:rPr>
                <w:rFonts w:ascii="Calibri" w:hAnsi="Calibri" w:cs="Calibri"/>
                <w:b/>
                <w:bCs/>
                <w:sz w:val="20"/>
                <w:szCs w:val="20"/>
              </w:rPr>
            </w:pPr>
          </w:p>
          <w:p w14:paraId="20526A6E" w14:textId="77777777" w:rsidR="00D82224" w:rsidRPr="009B561A" w:rsidRDefault="00D82224" w:rsidP="009B561A">
            <w:pPr>
              <w:spacing w:line="276" w:lineRule="auto"/>
              <w:rPr>
                <w:rFonts w:ascii="Calibri" w:hAnsi="Calibri" w:cs="Calibri"/>
                <w:b/>
                <w:bCs/>
                <w:noProof/>
                <w:kern w:val="2"/>
                <w:sz w:val="20"/>
                <w:szCs w:val="20"/>
                <w14:ligatures w14:val="standardContextual"/>
              </w:rPr>
            </w:pPr>
            <w:r w:rsidRPr="009B561A">
              <w:rPr>
                <w:rFonts w:ascii="Calibri" w:hAnsi="Calibri" w:cs="Calibri"/>
                <w:b/>
                <w:bCs/>
                <w:sz w:val="20"/>
                <w:szCs w:val="20"/>
              </w:rPr>
              <w:t xml:space="preserve">*Links with Tables SRC A, C </w:t>
            </w:r>
            <w:r w:rsidRPr="009B561A">
              <w:rPr>
                <w:rFonts w:ascii="Calibri" w:hAnsi="Calibri" w:cs="Calibri"/>
                <w:b/>
                <w:bCs/>
                <w:color w:val="000000" w:themeColor="text1"/>
                <w:sz w:val="20"/>
                <w:szCs w:val="20"/>
              </w:rPr>
              <w:t>&amp;</w:t>
            </w:r>
            <w:r w:rsidRPr="009B561A">
              <w:rPr>
                <w:rFonts w:ascii="Calibri" w:hAnsi="Calibri" w:cs="Calibri"/>
                <w:b/>
                <w:bCs/>
                <w:sz w:val="20"/>
                <w:szCs w:val="20"/>
              </w:rPr>
              <w:t>D</w:t>
            </w:r>
          </w:p>
        </w:tc>
        <w:tc>
          <w:tcPr>
            <w:tcW w:w="4120" w:type="dxa"/>
          </w:tcPr>
          <w:p w14:paraId="14C9B317" w14:textId="77777777" w:rsidR="00D82224" w:rsidRPr="009B561A" w:rsidRDefault="00D82224" w:rsidP="009B561A">
            <w:pPr>
              <w:autoSpaceDE w:val="0"/>
              <w:autoSpaceDN w:val="0"/>
              <w:adjustRightInd w:val="0"/>
              <w:spacing w:line="276" w:lineRule="auto"/>
              <w:rPr>
                <w:rFonts w:ascii="Calibri" w:hAnsi="Calibri" w:cs="Calibri"/>
                <w:sz w:val="20"/>
                <w:szCs w:val="20"/>
              </w:rPr>
            </w:pPr>
            <w:r w:rsidRPr="009B561A">
              <w:rPr>
                <w:rFonts w:ascii="Calibri" w:hAnsi="Calibri" w:cs="Calibri"/>
                <w:sz w:val="20"/>
                <w:szCs w:val="20"/>
              </w:rPr>
              <w:t>The report outlines various considerations which could be helpful in reviewing and implementing a national, One Health, AMR strategy.</w:t>
            </w:r>
          </w:p>
        </w:tc>
        <w:tc>
          <w:tcPr>
            <w:tcW w:w="4995" w:type="dxa"/>
          </w:tcPr>
          <w:p w14:paraId="18E82484"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The report noted relevant to our review:</w:t>
            </w:r>
          </w:p>
          <w:p w14:paraId="1CCDA769"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“Prescribing is paper based inhibiting easy access to antimicrobial prescriptions for review. Still, there are efforts to optimise antimicrobial prescribing in hospitals with for example introduction of special pages for the prescription of antimicrobials into the medical charts.” p12.</w:t>
            </w:r>
          </w:p>
          <w:p w14:paraId="189C1740"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color w:val="FF0000"/>
                <w:sz w:val="20"/>
                <w:szCs w:val="20"/>
              </w:rPr>
              <w:t xml:space="preserve"> </w:t>
            </w:r>
          </w:p>
          <w:p w14:paraId="3734BD41"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“Detailed guidance on the prescribing of antibiotics is also available online for specific conditions in primary care </w:t>
            </w:r>
            <w:r w:rsidRPr="009B561A">
              <w:rPr>
                <w:rFonts w:ascii="Calibri" w:hAnsi="Calibri" w:cs="Calibri"/>
                <w:sz w:val="20"/>
                <w:szCs w:val="20"/>
              </w:rPr>
              <w:lastRenderedPageBreak/>
              <w:t>including influenza, meningitis, infections in pregnancy and the postpartum period, infections of the upper and lower respiratory, urinary, gastrointestinal and genital tracts, and dental, skin and soft tissue infections” p12.</w:t>
            </w:r>
          </w:p>
          <w:p w14:paraId="7D4D39A1" w14:textId="77777777" w:rsidR="00D82224" w:rsidRPr="009B561A" w:rsidRDefault="00D82224" w:rsidP="009B561A">
            <w:pPr>
              <w:spacing w:line="276" w:lineRule="auto"/>
              <w:rPr>
                <w:rFonts w:ascii="Calibri" w:hAnsi="Calibri" w:cs="Calibri"/>
                <w:sz w:val="20"/>
                <w:szCs w:val="20"/>
              </w:rPr>
            </w:pPr>
          </w:p>
          <w:p w14:paraId="16A8DF95"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Public information related to AMR</w:t>
            </w:r>
          </w:p>
          <w:p w14:paraId="679627F9"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“The key messages have been focusing on patients instead of the general population benefits of prudent antibiotic use.” p16 </w:t>
            </w:r>
          </w:p>
        </w:tc>
      </w:tr>
      <w:tr w:rsidR="00D82224" w:rsidRPr="009B561A" w14:paraId="0FBDE5D9" w14:textId="77777777" w:rsidTr="0087653A">
        <w:tc>
          <w:tcPr>
            <w:tcW w:w="435" w:type="dxa"/>
          </w:tcPr>
          <w:p w14:paraId="3CEE74B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5</w:t>
            </w:r>
          </w:p>
        </w:tc>
        <w:tc>
          <w:tcPr>
            <w:tcW w:w="4620" w:type="dxa"/>
          </w:tcPr>
          <w:p w14:paraId="2300581D"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b/>
                <w:bCs/>
                <w:noProof/>
                <w:sz w:val="20"/>
                <w:szCs w:val="20"/>
              </w:rPr>
            </w:pPr>
            <w:r w:rsidRPr="009B561A">
              <w:rPr>
                <w:rFonts w:ascii="Calibri" w:hAnsi="Calibri" w:cs="Calibri"/>
                <w:b/>
                <w:bCs/>
                <w:noProof/>
                <w:sz w:val="20"/>
                <w:szCs w:val="20"/>
              </w:rPr>
              <w:t xml:space="preserve">AMRIC Oversight Group &amp; Antimicrobial </w:t>
            </w:r>
          </w:p>
          <w:p w14:paraId="5F411CE3"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noProof/>
                <w:sz w:val="20"/>
                <w:szCs w:val="20"/>
              </w:rPr>
            </w:pPr>
            <w:r w:rsidRPr="009B561A">
              <w:rPr>
                <w:rFonts w:ascii="Calibri" w:hAnsi="Calibri" w:cs="Calibri"/>
                <w:b/>
                <w:bCs/>
                <w:noProof/>
                <w:sz w:val="20"/>
                <w:szCs w:val="20"/>
              </w:rPr>
              <w:t>Stewardship Advisory Group</w:t>
            </w:r>
            <w:r w:rsidRPr="009B561A">
              <w:rPr>
                <w:rFonts w:ascii="Calibri" w:hAnsi="Calibri" w:cs="Calibri"/>
                <w:noProof/>
                <w:sz w:val="20"/>
                <w:szCs w:val="20"/>
              </w:rPr>
              <w:t>. Summary of PCRS</w:t>
            </w:r>
          </w:p>
          <w:p w14:paraId="606C9D3A" w14:textId="77777777" w:rsidR="00E26157" w:rsidRPr="009B561A" w:rsidRDefault="00D82224" w:rsidP="009B561A">
            <w:pPr>
              <w:widowControl w:val="0"/>
              <w:autoSpaceDE w:val="0"/>
              <w:autoSpaceDN w:val="0"/>
              <w:adjustRightInd w:val="0"/>
              <w:spacing w:line="276" w:lineRule="auto"/>
              <w:ind w:left="640" w:hanging="640"/>
              <w:rPr>
                <w:rFonts w:ascii="Calibri" w:hAnsi="Calibri" w:cs="Calibri"/>
                <w:noProof/>
                <w:sz w:val="20"/>
                <w:szCs w:val="20"/>
              </w:rPr>
            </w:pPr>
            <w:r w:rsidRPr="009B561A">
              <w:rPr>
                <w:rFonts w:ascii="Calibri" w:hAnsi="Calibri" w:cs="Calibri"/>
                <w:noProof/>
                <w:sz w:val="20"/>
                <w:szCs w:val="20"/>
              </w:rPr>
              <w:t xml:space="preserve"> AMRIC GP Green Red Reports 2019/2020 for </w:t>
            </w:r>
          </w:p>
          <w:p w14:paraId="61E1201F" w14:textId="77777777" w:rsidR="00906925" w:rsidRPr="009B561A" w:rsidRDefault="00D82224" w:rsidP="009B561A">
            <w:pPr>
              <w:widowControl w:val="0"/>
              <w:autoSpaceDE w:val="0"/>
              <w:autoSpaceDN w:val="0"/>
              <w:adjustRightInd w:val="0"/>
              <w:spacing w:line="276" w:lineRule="auto"/>
              <w:ind w:left="640" w:hanging="640"/>
              <w:rPr>
                <w:rFonts w:ascii="Calibri" w:hAnsi="Calibri" w:cs="Calibri"/>
                <w:noProof/>
                <w:sz w:val="20"/>
                <w:szCs w:val="20"/>
              </w:rPr>
            </w:pPr>
            <w:r w:rsidRPr="009B561A">
              <w:rPr>
                <w:rFonts w:ascii="Calibri" w:hAnsi="Calibri" w:cs="Calibri"/>
                <w:noProof/>
                <w:sz w:val="20"/>
                <w:szCs w:val="20"/>
              </w:rPr>
              <w:t>AMRIC</w:t>
            </w:r>
            <w:r w:rsidR="00E26157" w:rsidRPr="009B561A">
              <w:rPr>
                <w:rFonts w:ascii="Calibri" w:hAnsi="Calibri" w:cs="Calibri"/>
                <w:noProof/>
                <w:sz w:val="20"/>
                <w:szCs w:val="20"/>
              </w:rPr>
              <w:t xml:space="preserve"> </w:t>
            </w:r>
            <w:r w:rsidRPr="009B561A">
              <w:rPr>
                <w:rFonts w:ascii="Calibri" w:hAnsi="Calibri" w:cs="Calibri"/>
                <w:noProof/>
                <w:sz w:val="20"/>
                <w:szCs w:val="20"/>
              </w:rPr>
              <w:t xml:space="preserve">Oversight Group &amp; Antimicrobial </w:t>
            </w:r>
          </w:p>
          <w:p w14:paraId="3705AAFA" w14:textId="17664C3C" w:rsidR="00D82224" w:rsidRPr="009B561A" w:rsidRDefault="00D82224" w:rsidP="009B561A">
            <w:pPr>
              <w:widowControl w:val="0"/>
              <w:autoSpaceDE w:val="0"/>
              <w:autoSpaceDN w:val="0"/>
              <w:adjustRightInd w:val="0"/>
              <w:spacing w:line="276" w:lineRule="auto"/>
              <w:ind w:left="640" w:hanging="640"/>
              <w:rPr>
                <w:rFonts w:ascii="Calibri" w:hAnsi="Calibri" w:cs="Calibri"/>
                <w:noProof/>
                <w:sz w:val="20"/>
                <w:szCs w:val="20"/>
              </w:rPr>
            </w:pPr>
            <w:r w:rsidRPr="009B561A">
              <w:rPr>
                <w:rFonts w:ascii="Calibri" w:hAnsi="Calibri" w:cs="Calibri"/>
                <w:noProof/>
                <w:sz w:val="20"/>
                <w:szCs w:val="20"/>
              </w:rPr>
              <w:t>Stewardship</w:t>
            </w:r>
            <w:r w:rsidR="00906925" w:rsidRPr="009B561A">
              <w:rPr>
                <w:rFonts w:ascii="Calibri" w:hAnsi="Calibri" w:cs="Calibri"/>
                <w:noProof/>
                <w:sz w:val="20"/>
                <w:szCs w:val="20"/>
              </w:rPr>
              <w:t xml:space="preserve">  </w:t>
            </w:r>
            <w:r w:rsidRPr="009B561A">
              <w:rPr>
                <w:rFonts w:ascii="Calibri" w:hAnsi="Calibri" w:cs="Calibri"/>
                <w:noProof/>
                <w:sz w:val="20"/>
                <w:szCs w:val="20"/>
              </w:rPr>
              <w:t xml:space="preserve">Advisory Group Key  Vol. 3. </w:t>
            </w:r>
            <w:r w:rsidRPr="00396E50">
              <w:rPr>
                <w:rFonts w:ascii="Calibri" w:hAnsi="Calibri" w:cs="Calibri"/>
                <w:noProof/>
                <w:sz w:val="20"/>
                <w:szCs w:val="20"/>
              </w:rPr>
              <w:t>2020</w:t>
            </w:r>
            <w:r w:rsidR="00906925" w:rsidRPr="00396E50">
              <w:rPr>
                <w:rFonts w:ascii="Calibri" w:hAnsi="Calibri" w:cs="Calibri"/>
                <w:noProof/>
                <w:sz w:val="20"/>
                <w:szCs w:val="20"/>
              </w:rPr>
              <w:t xml:space="preserve"> </w:t>
            </w:r>
            <w:r w:rsidR="00906925" w:rsidRPr="00396E50">
              <w:rPr>
                <w:rFonts w:ascii="Calibri" w:hAnsi="Calibri" w:cs="Calibri"/>
                <w:noProof/>
                <w:sz w:val="20"/>
                <w:szCs w:val="20"/>
              </w:rPr>
              <w:fldChar w:fldCharType="begin" w:fldLock="1"/>
            </w:r>
            <w:r w:rsidR="00906925" w:rsidRPr="00396E50">
              <w:rPr>
                <w:rFonts w:ascii="Calibri" w:hAnsi="Calibri" w:cs="Calibri"/>
                <w:noProof/>
                <w:sz w:val="20"/>
                <w:szCs w:val="20"/>
              </w:rPr>
              <w:instrText>ADDIN CSL_CITATION {"citationItems":[{"id":"ITEM-1","itemData":{"ISBN":"2319714519882","ISSN":"17427169","PMID":"2106","author":[{"dropping-particle":"","family":"AMRIC Oversight Group &amp; Antimicrobial Stewardship Advisory Group","given":"","non-dropping-particle":"","parse-names":false,"suffix":""}],"id":"ITEM-1","issue":"1","issued":{"date-parts":[["2020"]]},"number-of-pages":"1-8","title":"Summary of PCRS AMRIC GP Green Red Reports 2019/2020 for AMRIC Oversight Group &amp; Antimicrobial Stewardship Advisory Group Key","type":"report","volume":"3"},"uris":["http://www.mendeley.com/documents/?uuid=1f0eab4d-df78-418e-b086-1ae4d31ade71"]}],"mendeley":{"formattedCitation":"(26)","plainTextFormattedCitation":"(26)","previouslyFormattedCitation":"(26)"},"properties":{"noteIndex":0},"schema":"https://github.com/citation-style-language/schema/raw/master/csl-citation.json"}</w:instrText>
            </w:r>
            <w:r w:rsidR="00906925" w:rsidRPr="00396E50">
              <w:rPr>
                <w:rFonts w:ascii="Calibri" w:hAnsi="Calibri" w:cs="Calibri"/>
                <w:noProof/>
                <w:sz w:val="20"/>
                <w:szCs w:val="20"/>
              </w:rPr>
              <w:fldChar w:fldCharType="separate"/>
            </w:r>
            <w:r w:rsidR="00396E50" w:rsidRPr="00396E50">
              <w:rPr>
                <w:rFonts w:ascii="Calibri" w:hAnsi="Calibri" w:cs="Calibri"/>
                <w:noProof/>
                <w:sz w:val="20"/>
                <w:szCs w:val="20"/>
              </w:rPr>
              <w:t>[</w:t>
            </w:r>
            <w:r w:rsidR="00906925" w:rsidRPr="00396E50">
              <w:rPr>
                <w:rFonts w:ascii="Calibri" w:hAnsi="Calibri" w:cs="Calibri"/>
                <w:noProof/>
                <w:sz w:val="20"/>
                <w:szCs w:val="20"/>
              </w:rPr>
              <w:t>26</w:t>
            </w:r>
            <w:r w:rsidR="00396E50" w:rsidRPr="00396E50">
              <w:rPr>
                <w:rFonts w:ascii="Calibri" w:hAnsi="Calibri" w:cs="Calibri"/>
                <w:noProof/>
                <w:sz w:val="20"/>
                <w:szCs w:val="20"/>
              </w:rPr>
              <w:t xml:space="preserve">]  </w:t>
            </w:r>
            <w:r w:rsidR="00906925" w:rsidRPr="00396E50">
              <w:rPr>
                <w:rFonts w:ascii="Calibri" w:hAnsi="Calibri" w:cs="Calibri"/>
                <w:noProof/>
                <w:sz w:val="20"/>
                <w:szCs w:val="20"/>
              </w:rPr>
              <w:fldChar w:fldCharType="end"/>
            </w:r>
          </w:p>
          <w:p w14:paraId="6F7D18A7"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b/>
                <w:bCs/>
                <w:noProof/>
                <w:sz w:val="20"/>
                <w:szCs w:val="20"/>
              </w:rPr>
            </w:pPr>
          </w:p>
          <w:p w14:paraId="2D27A4B9" w14:textId="77777777" w:rsidR="00D82224" w:rsidRPr="009B561A" w:rsidRDefault="00D82224" w:rsidP="009B561A">
            <w:pPr>
              <w:spacing w:line="276" w:lineRule="auto"/>
              <w:rPr>
                <w:rFonts w:ascii="Calibri" w:hAnsi="Calibri" w:cs="Calibri"/>
                <w:b/>
                <w:bCs/>
                <w:noProof/>
                <w:kern w:val="2"/>
                <w:sz w:val="20"/>
                <w:szCs w:val="20"/>
                <w:highlight w:val="cyan"/>
                <w14:ligatures w14:val="standardContextual"/>
              </w:rPr>
            </w:pPr>
            <w:r w:rsidRPr="009B561A">
              <w:rPr>
                <w:rFonts w:ascii="Calibri" w:hAnsi="Calibri" w:cs="Calibri"/>
                <w:b/>
                <w:bCs/>
                <w:sz w:val="20"/>
                <w:szCs w:val="20"/>
              </w:rPr>
              <w:t>*Links with Tables SRC C</w:t>
            </w:r>
            <w:r w:rsidRPr="009B561A">
              <w:rPr>
                <w:rFonts w:ascii="Calibri" w:hAnsi="Calibri" w:cs="Calibri"/>
                <w:b/>
                <w:bCs/>
                <w:color w:val="000000" w:themeColor="text1"/>
                <w:sz w:val="20"/>
                <w:szCs w:val="20"/>
              </w:rPr>
              <w:t>&amp;</w:t>
            </w:r>
            <w:r w:rsidRPr="009B561A">
              <w:rPr>
                <w:rFonts w:ascii="Calibri" w:hAnsi="Calibri" w:cs="Calibri"/>
                <w:b/>
                <w:bCs/>
                <w:sz w:val="20"/>
                <w:szCs w:val="20"/>
              </w:rPr>
              <w:t>D</w:t>
            </w:r>
          </w:p>
        </w:tc>
        <w:tc>
          <w:tcPr>
            <w:tcW w:w="4120" w:type="dxa"/>
          </w:tcPr>
          <w:p w14:paraId="64E70FF7"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 xml:space="preserve">Report details the percentage of agent use that are green agents (safer more appropriate agents) and the percentage that are red agents (quinolones, most cephalosporins except cefalexin, </w:t>
            </w:r>
            <w:proofErr w:type="spellStart"/>
            <w:r w:rsidRPr="009B561A">
              <w:rPr>
                <w:rFonts w:ascii="Calibri" w:hAnsi="Calibri" w:cs="Calibri"/>
                <w:sz w:val="20"/>
                <w:szCs w:val="20"/>
              </w:rPr>
              <w:t>coamoxiclav</w:t>
            </w:r>
            <w:proofErr w:type="spellEnd"/>
            <w:r w:rsidRPr="009B561A">
              <w:rPr>
                <w:rFonts w:ascii="Calibri" w:hAnsi="Calibri" w:cs="Calibri"/>
                <w:sz w:val="20"/>
                <w:szCs w:val="20"/>
              </w:rPr>
              <w:t>, clarithromycin) and places GP own rate within a national quartile of low, midrange or high</w:t>
            </w:r>
          </w:p>
        </w:tc>
        <w:tc>
          <w:tcPr>
            <w:tcW w:w="4995" w:type="dxa"/>
          </w:tcPr>
          <w:p w14:paraId="0F5C70D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A simple categorisation is promoted to identify preferred antimicrobials (Green) versus non-preferred antimicrobials (Red). </w:t>
            </w:r>
          </w:p>
          <w:p w14:paraId="6862AAF8"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This prescribing aid now available on the </w:t>
            </w:r>
            <w:hyperlink r:id="rId12" w:history="1">
              <w:r w:rsidRPr="009B561A">
                <w:rPr>
                  <w:rFonts w:ascii="Calibri" w:hAnsi="Calibri" w:cs="Calibri"/>
                  <w:sz w:val="20"/>
                  <w:szCs w:val="20"/>
                  <w:u w:val="single"/>
                </w:rPr>
                <w:t>www.antibioticprescribing.ie</w:t>
              </w:r>
            </w:hyperlink>
            <w:r w:rsidRPr="009B561A">
              <w:rPr>
                <w:rFonts w:ascii="Calibri" w:hAnsi="Calibri" w:cs="Calibri"/>
                <w:sz w:val="20"/>
                <w:szCs w:val="20"/>
              </w:rPr>
              <w:t xml:space="preserve"> website.</w:t>
            </w:r>
          </w:p>
          <w:p w14:paraId="2C45E062" w14:textId="77777777" w:rsidR="00D82224" w:rsidRPr="009B561A" w:rsidRDefault="00D82224" w:rsidP="009B561A">
            <w:pPr>
              <w:spacing w:line="276" w:lineRule="auto"/>
              <w:rPr>
                <w:rFonts w:ascii="Calibri" w:hAnsi="Calibri" w:cs="Calibri"/>
                <w:color w:val="FF0000"/>
                <w:sz w:val="20"/>
                <w:szCs w:val="20"/>
              </w:rPr>
            </w:pPr>
          </w:p>
        </w:tc>
      </w:tr>
      <w:tr w:rsidR="00D82224" w:rsidRPr="009B561A" w14:paraId="014C994E" w14:textId="77777777" w:rsidTr="0087653A">
        <w:tc>
          <w:tcPr>
            <w:tcW w:w="435" w:type="dxa"/>
          </w:tcPr>
          <w:p w14:paraId="03276BEF"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6</w:t>
            </w:r>
          </w:p>
        </w:tc>
        <w:tc>
          <w:tcPr>
            <w:tcW w:w="4620" w:type="dxa"/>
          </w:tcPr>
          <w:p w14:paraId="1A6468D9" w14:textId="7A9CDB19"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noProof/>
                <w:sz w:val="20"/>
                <w:szCs w:val="20"/>
              </w:rPr>
              <w:t>Antimicobial Resistance and Infection Control Team.</w:t>
            </w:r>
            <w:r w:rsidRPr="009B561A">
              <w:rPr>
                <w:rFonts w:ascii="Calibri" w:hAnsi="Calibri" w:cs="Calibri"/>
                <w:noProof/>
                <w:sz w:val="20"/>
                <w:szCs w:val="20"/>
              </w:rPr>
              <w:t xml:space="preserve"> Antimicrobial Stewardship in COVID-19 (Version 1 23/04/20). Vol. 19. 2020</w:t>
            </w:r>
            <w:r w:rsidRPr="00396E50">
              <w:rPr>
                <w:rFonts w:ascii="Calibri" w:hAnsi="Calibri" w:cs="Calibri"/>
                <w:noProof/>
                <w:sz w:val="20"/>
                <w:szCs w:val="20"/>
              </w:rPr>
              <w:t>.</w:t>
            </w:r>
            <w:r w:rsidR="00D541EA" w:rsidRPr="00396E50">
              <w:rPr>
                <w:rFonts w:ascii="Calibri" w:hAnsi="Calibri" w:cs="Calibri"/>
                <w:sz w:val="20"/>
                <w:szCs w:val="20"/>
              </w:rPr>
              <w:fldChar w:fldCharType="begin" w:fldLock="1"/>
            </w:r>
            <w:r w:rsidR="00B41190" w:rsidRPr="00396E50">
              <w:rPr>
                <w:rFonts w:ascii="Calibri" w:hAnsi="Calibri" w:cs="Calibri"/>
                <w:sz w:val="20"/>
                <w:szCs w:val="20"/>
              </w:rPr>
              <w:instrText>ADDIN CSL_CITATION {"citationItems":[{"id":"ITEM-1","itemData":{"author":[{"dropping-particle":"","family":"Health Service Executive","given":"","non-dropping-particle":"","parse-names":false,"suffix":""}],"id":"ITEM-1","issued":{"date-parts":[["2020"]]},"number-of-pages":"2020","title":"Antimicobial Resistance and Infection Control Team. Antimicrobial Stewardship in COVID-19 (Version 1 23/04/20). Vol. 19. 2020","type":"report"},"uris":["http://www.mendeley.com/documents/?uuid=6c53ee07-cbde-47b3-aad5-df63450ac83c"]}],"mendeley":{"formattedCitation":"(27)","plainTextFormattedCitation":"(27)","previouslyFormattedCitation":"(27)"},"properties":{"noteIndex":0},"schema":"https://github.com/citation-style-language/schema/raw/master/csl-citation.json"}</w:instrText>
            </w:r>
            <w:r w:rsidR="00D541EA" w:rsidRPr="00396E50">
              <w:rPr>
                <w:rFonts w:ascii="Calibri" w:hAnsi="Calibri" w:cs="Calibri"/>
                <w:sz w:val="20"/>
                <w:szCs w:val="20"/>
              </w:rPr>
              <w:fldChar w:fldCharType="separate"/>
            </w:r>
            <w:r w:rsidR="00396E50" w:rsidRPr="00396E50">
              <w:rPr>
                <w:rFonts w:ascii="Calibri" w:hAnsi="Calibri" w:cs="Calibri"/>
                <w:sz w:val="20"/>
                <w:szCs w:val="20"/>
              </w:rPr>
              <w:t>[</w:t>
            </w:r>
            <w:r w:rsidR="00D541EA" w:rsidRPr="00396E50">
              <w:rPr>
                <w:rFonts w:ascii="Calibri" w:hAnsi="Calibri" w:cs="Calibri"/>
                <w:noProof/>
                <w:sz w:val="20"/>
                <w:szCs w:val="20"/>
              </w:rPr>
              <w:t>2</w:t>
            </w:r>
            <w:r w:rsidR="00396E50" w:rsidRPr="00396E50">
              <w:rPr>
                <w:rFonts w:ascii="Calibri" w:hAnsi="Calibri" w:cs="Calibri"/>
                <w:noProof/>
                <w:sz w:val="20"/>
                <w:szCs w:val="20"/>
              </w:rPr>
              <w:t xml:space="preserve">7] </w:t>
            </w:r>
            <w:r w:rsidR="00D541EA" w:rsidRPr="00396E50">
              <w:rPr>
                <w:rFonts w:ascii="Calibri" w:hAnsi="Calibri" w:cs="Calibri"/>
                <w:sz w:val="20"/>
                <w:szCs w:val="20"/>
              </w:rPr>
              <w:fldChar w:fldCharType="end"/>
            </w:r>
          </w:p>
          <w:p w14:paraId="19170914" w14:textId="77777777" w:rsidR="00D82224" w:rsidRPr="009B561A" w:rsidRDefault="00D82224" w:rsidP="009B561A">
            <w:pPr>
              <w:spacing w:line="276" w:lineRule="auto"/>
              <w:rPr>
                <w:rFonts w:ascii="Calibri" w:hAnsi="Calibri" w:cs="Calibri"/>
                <w:color w:val="FF0000"/>
                <w:sz w:val="20"/>
                <w:szCs w:val="20"/>
              </w:rPr>
            </w:pPr>
          </w:p>
        </w:tc>
        <w:tc>
          <w:tcPr>
            <w:tcW w:w="4120" w:type="dxa"/>
          </w:tcPr>
          <w:p w14:paraId="23C4103F"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Recognition and management of serious acute bacterial infection and effective delivery of antimicrobial stewardship during COVID 19.</w:t>
            </w:r>
          </w:p>
        </w:tc>
        <w:tc>
          <w:tcPr>
            <w:tcW w:w="4995" w:type="dxa"/>
          </w:tcPr>
          <w:p w14:paraId="33AFFB68"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 xml:space="preserve">Resources including prescribing aids and toolkits to assist with prescribing antibiotics (including Covid 19) are available on the following website: </w:t>
            </w:r>
            <w:r w:rsidRPr="009B561A">
              <w:rPr>
                <w:rFonts w:ascii="Calibri" w:hAnsi="Calibri" w:cs="Calibri"/>
                <w:sz w:val="20"/>
                <w:szCs w:val="20"/>
                <w:shd w:val="clear" w:color="auto" w:fill="FFFFFF"/>
              </w:rPr>
              <w:t>www.antibioticprescribing.ie</w:t>
            </w:r>
          </w:p>
        </w:tc>
      </w:tr>
      <w:tr w:rsidR="00D82224" w:rsidRPr="009B561A" w14:paraId="68A1AE83" w14:textId="77777777" w:rsidTr="0087653A">
        <w:tc>
          <w:tcPr>
            <w:tcW w:w="435" w:type="dxa"/>
          </w:tcPr>
          <w:p w14:paraId="72A1F49D"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7</w:t>
            </w:r>
          </w:p>
        </w:tc>
        <w:tc>
          <w:tcPr>
            <w:tcW w:w="4620" w:type="dxa"/>
          </w:tcPr>
          <w:p w14:paraId="4A321C7A" w14:textId="47C286D4"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noProof/>
                <w:sz w:val="20"/>
                <w:szCs w:val="20"/>
              </w:rPr>
              <w:t xml:space="preserve">HSE Antimicrobial Resistance and Infection Control Team (AMRIC). </w:t>
            </w:r>
            <w:r w:rsidRPr="009B561A">
              <w:rPr>
                <w:rFonts w:ascii="Calibri" w:hAnsi="Calibri" w:cs="Calibri"/>
                <w:noProof/>
                <w:sz w:val="20"/>
                <w:szCs w:val="20"/>
              </w:rPr>
              <w:t>PERFORMANCE ASSURANCE PROCESS FOR KEY</w:t>
            </w:r>
            <w:r w:rsidRPr="009B561A">
              <w:rPr>
                <w:rFonts w:ascii="Calibri" w:hAnsi="Calibri" w:cs="Calibri"/>
                <w:b/>
                <w:bCs/>
                <w:noProof/>
                <w:sz w:val="20"/>
                <w:szCs w:val="20"/>
              </w:rPr>
              <w:t xml:space="preserve"> </w:t>
            </w:r>
            <w:r w:rsidRPr="009B561A">
              <w:rPr>
                <w:rFonts w:ascii="Calibri" w:hAnsi="Calibri" w:cs="Calibri"/>
                <w:noProof/>
                <w:sz w:val="20"/>
                <w:szCs w:val="20"/>
              </w:rPr>
              <w:t>PERFORMANCE INDICATORS FOR HCAI AMR IN ACUTE HOSPITALS. 2018</w:t>
            </w:r>
            <w:r w:rsidRPr="00396E50">
              <w:rPr>
                <w:rFonts w:ascii="Calibri" w:hAnsi="Calibri" w:cs="Calibri"/>
                <w:b/>
                <w:bCs/>
                <w:noProof/>
                <w:sz w:val="20"/>
                <w:szCs w:val="20"/>
              </w:rPr>
              <w:t xml:space="preserve">. </w:t>
            </w:r>
            <w:r w:rsidR="00B65758" w:rsidRPr="00396E50">
              <w:rPr>
                <w:rFonts w:ascii="Calibri" w:hAnsi="Calibri" w:cs="Calibri"/>
                <w:b/>
                <w:bCs/>
                <w:noProof/>
                <w:sz w:val="20"/>
                <w:szCs w:val="20"/>
              </w:rPr>
              <w:fldChar w:fldCharType="begin" w:fldLock="1"/>
            </w:r>
            <w:r w:rsidR="00B65758" w:rsidRPr="00396E50">
              <w:rPr>
                <w:rFonts w:ascii="Calibri" w:hAnsi="Calibri" w:cs="Calibri"/>
                <w:b/>
                <w:bCs/>
                <w:noProof/>
                <w:sz w:val="20"/>
                <w:szCs w:val="20"/>
              </w:rPr>
              <w:instrText>ADDIN CSL_CITATION {"citationItems":[{"id":"ITEM-1","itemData":{"id":"ITEM-1","issued":{"date-parts":[["2018"]]},"title":"HSE Antimicrobial Resistance and Infection Control Team (AMRIC). Performance Assurance Process for key Performance Indicators For HCAI AMR in Acute Hospitals. 2018","type":"report"},"uris":["http://www.mendeley.com/documents/?uuid=da444858-acb3-4d45-8606-6f72f6b1a8bf"]}],"mendeley":{"formattedCitation":"(12)","plainTextFormattedCitation":"(12)","previouslyFormattedCitation":"(12)"},"properties":{"noteIndex":0},"schema":"https://github.com/citation-style-language/schema/raw/master/csl-citation.json"}</w:instrText>
            </w:r>
            <w:r w:rsidR="00B65758" w:rsidRPr="00396E50">
              <w:rPr>
                <w:rFonts w:ascii="Calibri" w:hAnsi="Calibri" w:cs="Calibri"/>
                <w:b/>
                <w:bCs/>
                <w:noProof/>
                <w:sz w:val="20"/>
                <w:szCs w:val="20"/>
              </w:rPr>
              <w:fldChar w:fldCharType="separate"/>
            </w:r>
            <w:r w:rsidR="00396E50" w:rsidRPr="00396E50">
              <w:rPr>
                <w:rFonts w:ascii="Calibri" w:hAnsi="Calibri" w:cs="Calibri"/>
                <w:noProof/>
                <w:sz w:val="20"/>
                <w:szCs w:val="20"/>
              </w:rPr>
              <w:t>[</w:t>
            </w:r>
            <w:r w:rsidR="00B65758" w:rsidRPr="00396E50">
              <w:rPr>
                <w:rFonts w:ascii="Calibri" w:hAnsi="Calibri" w:cs="Calibri"/>
                <w:bCs/>
                <w:noProof/>
                <w:sz w:val="20"/>
                <w:szCs w:val="20"/>
              </w:rPr>
              <w:t>12</w:t>
            </w:r>
            <w:r w:rsidR="00396E50" w:rsidRPr="00396E50">
              <w:rPr>
                <w:rFonts w:ascii="Calibri" w:hAnsi="Calibri" w:cs="Calibri"/>
                <w:bCs/>
                <w:noProof/>
                <w:sz w:val="20"/>
                <w:szCs w:val="20"/>
              </w:rPr>
              <w:t xml:space="preserve">]   </w:t>
            </w:r>
            <w:r w:rsidR="00B65758" w:rsidRPr="00396E50">
              <w:rPr>
                <w:rFonts w:ascii="Calibri" w:hAnsi="Calibri" w:cs="Calibri"/>
                <w:b/>
                <w:bCs/>
                <w:noProof/>
                <w:sz w:val="20"/>
                <w:szCs w:val="20"/>
              </w:rPr>
              <w:fldChar w:fldCharType="end"/>
            </w:r>
          </w:p>
          <w:p w14:paraId="7F7B59D8" w14:textId="77777777" w:rsidR="00D82224" w:rsidRPr="009B561A" w:rsidRDefault="00D82224" w:rsidP="009B561A">
            <w:pPr>
              <w:spacing w:line="276" w:lineRule="auto"/>
              <w:rPr>
                <w:rFonts w:ascii="Calibri" w:hAnsi="Calibri" w:cs="Calibri"/>
                <w:b/>
                <w:bCs/>
                <w:sz w:val="20"/>
                <w:szCs w:val="20"/>
                <w:vertAlign w:val="superscript"/>
              </w:rPr>
            </w:pPr>
          </w:p>
          <w:p w14:paraId="3A32B864" w14:textId="77777777" w:rsidR="00D82224" w:rsidRPr="009B561A" w:rsidRDefault="00D82224" w:rsidP="009B561A">
            <w:pPr>
              <w:spacing w:line="276" w:lineRule="auto"/>
              <w:rPr>
                <w:rFonts w:ascii="Calibri" w:hAnsi="Calibri" w:cs="Calibri"/>
                <w:b/>
                <w:bCs/>
                <w:noProof/>
                <w:kern w:val="2"/>
                <w:sz w:val="20"/>
                <w:szCs w:val="20"/>
                <w14:ligatures w14:val="standardContextual"/>
              </w:rPr>
            </w:pPr>
            <w:r w:rsidRPr="009B561A">
              <w:rPr>
                <w:rFonts w:ascii="Calibri" w:hAnsi="Calibri" w:cs="Calibri"/>
                <w:b/>
                <w:bCs/>
                <w:sz w:val="20"/>
                <w:szCs w:val="20"/>
              </w:rPr>
              <w:t>*Links with Tables SRC A</w:t>
            </w:r>
            <w:r w:rsidRPr="009B561A">
              <w:rPr>
                <w:rFonts w:ascii="Calibri" w:hAnsi="Calibri" w:cs="Calibri"/>
                <w:b/>
                <w:bCs/>
                <w:color w:val="000000" w:themeColor="text1"/>
                <w:sz w:val="20"/>
                <w:szCs w:val="20"/>
              </w:rPr>
              <w:t>&amp;</w:t>
            </w:r>
            <w:r w:rsidRPr="009B561A">
              <w:rPr>
                <w:rFonts w:ascii="Calibri" w:hAnsi="Calibri" w:cs="Calibri"/>
                <w:b/>
                <w:bCs/>
                <w:sz w:val="20"/>
                <w:szCs w:val="20"/>
              </w:rPr>
              <w:t>C</w:t>
            </w:r>
          </w:p>
        </w:tc>
        <w:tc>
          <w:tcPr>
            <w:tcW w:w="4120" w:type="dxa"/>
          </w:tcPr>
          <w:p w14:paraId="46D8B729" w14:textId="77777777" w:rsidR="00D82224" w:rsidRPr="009B561A" w:rsidRDefault="00D82224" w:rsidP="009B561A">
            <w:pPr>
              <w:spacing w:line="276" w:lineRule="auto"/>
              <w:rPr>
                <w:rFonts w:ascii="Calibri" w:hAnsi="Calibri" w:cs="Calibri"/>
                <w:sz w:val="20"/>
                <w:szCs w:val="20"/>
                <w:highlight w:val="yellow"/>
              </w:rPr>
            </w:pPr>
          </w:p>
        </w:tc>
        <w:tc>
          <w:tcPr>
            <w:tcW w:w="4995" w:type="dxa"/>
          </w:tcPr>
          <w:p w14:paraId="02F769C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Previously mentioned in SRC Table A</w:t>
            </w:r>
            <w:r w:rsidRPr="009B561A">
              <w:rPr>
                <w:rFonts w:ascii="Calibri" w:hAnsi="Calibri" w:cs="Calibri"/>
                <w:color w:val="000000" w:themeColor="text1"/>
                <w:sz w:val="20"/>
                <w:szCs w:val="20"/>
              </w:rPr>
              <w:t>&amp;</w:t>
            </w:r>
            <w:r w:rsidRPr="009B561A">
              <w:rPr>
                <w:rFonts w:ascii="Calibri" w:hAnsi="Calibri" w:cs="Calibri"/>
                <w:sz w:val="20"/>
                <w:szCs w:val="20"/>
              </w:rPr>
              <w:t>C</w:t>
            </w:r>
          </w:p>
        </w:tc>
      </w:tr>
      <w:tr w:rsidR="00D82224" w:rsidRPr="009B561A" w14:paraId="3E17FD00" w14:textId="77777777" w:rsidTr="0087653A">
        <w:tc>
          <w:tcPr>
            <w:tcW w:w="435" w:type="dxa"/>
          </w:tcPr>
          <w:p w14:paraId="1DB0D2C7"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8</w:t>
            </w:r>
          </w:p>
        </w:tc>
        <w:tc>
          <w:tcPr>
            <w:tcW w:w="4620" w:type="dxa"/>
          </w:tcPr>
          <w:p w14:paraId="2392D816" w14:textId="3BDCC723"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color w:val="000000" w:themeColor="text1"/>
                <w:sz w:val="20"/>
                <w:szCs w:val="20"/>
              </w:rPr>
              <w:t>Department of Health (2017).</w:t>
            </w:r>
            <w:r w:rsidRPr="009B561A">
              <w:rPr>
                <w:rFonts w:ascii="Calibri" w:hAnsi="Calibri" w:cs="Calibri"/>
                <w:color w:val="000000" w:themeColor="text1"/>
                <w:sz w:val="20"/>
                <w:szCs w:val="20"/>
              </w:rPr>
              <w:t xml:space="preserve"> Ireland’s National Action Plan on Antimicrobial Resistance 2017-2020. (</w:t>
            </w:r>
            <w:proofErr w:type="spellStart"/>
            <w:r w:rsidRPr="009B561A">
              <w:rPr>
                <w:rFonts w:ascii="Calibri" w:hAnsi="Calibri" w:cs="Calibri"/>
                <w:color w:val="000000" w:themeColor="text1"/>
                <w:sz w:val="20"/>
                <w:szCs w:val="20"/>
              </w:rPr>
              <w:t>iNAP</w:t>
            </w:r>
            <w:proofErr w:type="spellEnd"/>
            <w:r w:rsidRPr="009B561A">
              <w:rPr>
                <w:rFonts w:ascii="Calibri" w:hAnsi="Calibri" w:cs="Calibri"/>
                <w:color w:val="000000" w:themeColor="text1"/>
                <w:sz w:val="20"/>
                <w:szCs w:val="20"/>
              </w:rPr>
              <w:t xml:space="preserve">) </w:t>
            </w:r>
            <w:r w:rsidR="00B65758" w:rsidRPr="005171C6">
              <w:rPr>
                <w:rFonts w:ascii="Calibri" w:hAnsi="Calibri" w:cs="Calibri"/>
                <w:color w:val="000000" w:themeColor="text1"/>
                <w:sz w:val="20"/>
                <w:szCs w:val="20"/>
              </w:rPr>
              <w:fldChar w:fldCharType="begin" w:fldLock="1"/>
            </w:r>
            <w:r w:rsidR="00B65758" w:rsidRPr="005171C6">
              <w:rPr>
                <w:rFonts w:ascii="Calibri" w:hAnsi="Calibri" w:cs="Calibri"/>
                <w:color w:val="000000" w:themeColor="text1"/>
                <w:sz w:val="20"/>
                <w:szCs w:val="20"/>
              </w:rPr>
              <w:instrText>ADDIN CSL_CITATION {"citationItems":[{"id":"ITEM-1","itemData":{"id":"ITEM-1","issued":{"date-parts":[["2017"]]},"title":"Department of Health (2017). Ireland’s National Action Plan on Antimicrobial Resistance 2017-2020. (iNAP) Available at http://health.gov.ie/national-patient-safety-office/patient-safety-surveillance/antimicrobialresistance- amr/","type":"report"},"uris":["http://www.mendeley.com/documents/?uuid=ad52018e-cc34-45c4-9921-5eb07a628f95"]}],"mendeley":{"formattedCitation":"(15)","plainTextFormattedCitation":"(15)","previouslyFormattedCitation":"(15)"},"properties":{"noteIndex":0},"schema":"https://github.com/citation-style-language/schema/raw/master/csl-citation.json"}</w:instrText>
            </w:r>
            <w:r w:rsidR="00B65758" w:rsidRPr="005171C6">
              <w:rPr>
                <w:rFonts w:ascii="Calibri" w:hAnsi="Calibri" w:cs="Calibri"/>
                <w:color w:val="000000" w:themeColor="text1"/>
                <w:sz w:val="20"/>
                <w:szCs w:val="20"/>
              </w:rPr>
              <w:fldChar w:fldCharType="separate"/>
            </w:r>
            <w:r w:rsidR="005171C6" w:rsidRPr="005171C6">
              <w:rPr>
                <w:rFonts w:ascii="Calibri" w:hAnsi="Calibri" w:cs="Calibri"/>
                <w:color w:val="000000" w:themeColor="text1"/>
                <w:sz w:val="20"/>
                <w:szCs w:val="20"/>
              </w:rPr>
              <w:t>[</w:t>
            </w:r>
            <w:r w:rsidR="00B65758" w:rsidRPr="005171C6">
              <w:rPr>
                <w:rFonts w:ascii="Calibri" w:hAnsi="Calibri" w:cs="Calibri"/>
                <w:noProof/>
                <w:color w:val="000000" w:themeColor="text1"/>
                <w:sz w:val="20"/>
                <w:szCs w:val="20"/>
              </w:rPr>
              <w:t>15</w:t>
            </w:r>
            <w:r w:rsidR="005171C6" w:rsidRPr="005171C6">
              <w:rPr>
                <w:rFonts w:ascii="Calibri" w:hAnsi="Calibri" w:cs="Calibri"/>
                <w:noProof/>
                <w:color w:val="000000" w:themeColor="text1"/>
                <w:sz w:val="20"/>
                <w:szCs w:val="20"/>
              </w:rPr>
              <w:t xml:space="preserve">]    </w:t>
            </w:r>
            <w:r w:rsidR="00B65758" w:rsidRPr="005171C6">
              <w:rPr>
                <w:rFonts w:ascii="Calibri" w:hAnsi="Calibri" w:cs="Calibri"/>
                <w:color w:val="000000" w:themeColor="text1"/>
                <w:sz w:val="20"/>
                <w:szCs w:val="20"/>
              </w:rPr>
              <w:fldChar w:fldCharType="end"/>
            </w:r>
          </w:p>
          <w:p w14:paraId="53789BE2" w14:textId="77777777" w:rsidR="00D82224" w:rsidRPr="009B561A" w:rsidRDefault="00D82224" w:rsidP="009B561A">
            <w:pPr>
              <w:spacing w:line="276" w:lineRule="auto"/>
              <w:rPr>
                <w:rFonts w:ascii="Calibri" w:hAnsi="Calibri" w:cs="Calibri"/>
                <w:color w:val="000000" w:themeColor="text1"/>
                <w:sz w:val="20"/>
                <w:szCs w:val="20"/>
              </w:rPr>
            </w:pPr>
          </w:p>
          <w:p w14:paraId="5501096A"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lastRenderedPageBreak/>
              <w:t xml:space="preserve">*Links with Tables </w:t>
            </w:r>
            <w:r w:rsidRPr="009B561A">
              <w:rPr>
                <w:rFonts w:ascii="Calibri" w:hAnsi="Calibri" w:cs="Calibri"/>
                <w:b/>
                <w:bCs/>
                <w:sz w:val="20"/>
                <w:szCs w:val="20"/>
              </w:rPr>
              <w:t>SRC</w:t>
            </w:r>
            <w:r w:rsidRPr="009B561A">
              <w:rPr>
                <w:rFonts w:ascii="Calibri" w:hAnsi="Calibri" w:cs="Calibri"/>
                <w:b/>
                <w:bCs/>
                <w:color w:val="000000" w:themeColor="text1"/>
                <w:sz w:val="20"/>
                <w:szCs w:val="20"/>
              </w:rPr>
              <w:t xml:space="preserve"> A&amp;C</w:t>
            </w:r>
          </w:p>
        </w:tc>
        <w:tc>
          <w:tcPr>
            <w:tcW w:w="4120" w:type="dxa"/>
          </w:tcPr>
          <w:p w14:paraId="23D2F8F5"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lastRenderedPageBreak/>
              <w:t>Ireland’s first ‘One Health’ National Action Plan on Antimicrobial Resistance 2017-2020 (</w:t>
            </w:r>
            <w:proofErr w:type="spellStart"/>
            <w:r w:rsidRPr="009B561A">
              <w:rPr>
                <w:rFonts w:ascii="Calibri" w:hAnsi="Calibri" w:cs="Calibri"/>
                <w:sz w:val="20"/>
                <w:szCs w:val="20"/>
              </w:rPr>
              <w:t>iNAP</w:t>
            </w:r>
            <w:proofErr w:type="spellEnd"/>
            <w:r w:rsidRPr="009B561A">
              <w:rPr>
                <w:rFonts w:ascii="Calibri" w:hAnsi="Calibri" w:cs="Calibri"/>
                <w:sz w:val="20"/>
                <w:szCs w:val="20"/>
              </w:rPr>
              <w:t>) aimed at tackling the serious and increasing threat posed by antimicrobial resistance (AMR).</w:t>
            </w:r>
          </w:p>
        </w:tc>
        <w:tc>
          <w:tcPr>
            <w:tcW w:w="4995" w:type="dxa"/>
          </w:tcPr>
          <w:p w14:paraId="6FA5937C" w14:textId="77777777" w:rsidR="00D82224" w:rsidRPr="009B561A" w:rsidRDefault="00D82224" w:rsidP="009B561A">
            <w:pPr>
              <w:spacing w:line="276" w:lineRule="auto"/>
              <w:rPr>
                <w:rFonts w:ascii="Calibri" w:hAnsi="Calibri" w:cs="Calibri"/>
                <w:color w:val="FF0000"/>
                <w:sz w:val="20"/>
                <w:szCs w:val="20"/>
              </w:rPr>
            </w:pPr>
            <w:proofErr w:type="gramStart"/>
            <w:r w:rsidRPr="009B561A">
              <w:rPr>
                <w:rFonts w:ascii="Calibri" w:hAnsi="Calibri" w:cs="Calibri"/>
                <w:sz w:val="20"/>
                <w:szCs w:val="20"/>
              </w:rPr>
              <w:t>The majority of</w:t>
            </w:r>
            <w:proofErr w:type="gramEnd"/>
            <w:r w:rsidRPr="009B561A">
              <w:rPr>
                <w:rFonts w:ascii="Calibri" w:hAnsi="Calibri" w:cs="Calibri"/>
                <w:sz w:val="20"/>
                <w:szCs w:val="20"/>
              </w:rPr>
              <w:t xml:space="preserve"> antibiotic consumption in Ireland takes place at community level- there is no monitoring of private Long Term Care Facilities (LTCFs) (private nursing homes) or of prescribing of private scripts</w:t>
            </w:r>
          </w:p>
        </w:tc>
      </w:tr>
      <w:tr w:rsidR="00D82224" w:rsidRPr="009B561A" w14:paraId="5D946EF2" w14:textId="77777777" w:rsidTr="0087653A">
        <w:tc>
          <w:tcPr>
            <w:tcW w:w="435" w:type="dxa"/>
          </w:tcPr>
          <w:p w14:paraId="3951B3B4"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9</w:t>
            </w:r>
          </w:p>
        </w:tc>
        <w:tc>
          <w:tcPr>
            <w:tcW w:w="4620" w:type="dxa"/>
          </w:tcPr>
          <w:p w14:paraId="0E67DDE8" w14:textId="2F73FB1E" w:rsidR="00D82224" w:rsidRPr="009B561A" w:rsidRDefault="00D82224" w:rsidP="009B561A">
            <w:pPr>
              <w:spacing w:line="276" w:lineRule="auto"/>
              <w:rPr>
                <w:rFonts w:ascii="Calibri" w:hAnsi="Calibri" w:cs="Calibri"/>
                <w:b/>
                <w:bCs/>
                <w:color w:val="000000" w:themeColor="text1"/>
                <w:sz w:val="20"/>
                <w:szCs w:val="20"/>
                <w:vertAlign w:val="superscript"/>
              </w:rPr>
            </w:pPr>
            <w:r w:rsidRPr="009B561A">
              <w:rPr>
                <w:rFonts w:ascii="Calibri" w:hAnsi="Calibri" w:cs="Calibri"/>
                <w:b/>
                <w:bCs/>
                <w:noProof/>
                <w:color w:val="000000" w:themeColor="text1"/>
                <w:kern w:val="2"/>
                <w:sz w:val="20"/>
                <w:szCs w:val="20"/>
                <w14:ligatures w14:val="standardContextual"/>
              </w:rPr>
              <w:t xml:space="preserve">Health Service Executive (HSE) </w:t>
            </w:r>
            <w:r w:rsidRPr="009B561A">
              <w:rPr>
                <w:rFonts w:ascii="Calibri" w:hAnsi="Calibri" w:cs="Calibri"/>
                <w:noProof/>
                <w:color w:val="000000" w:themeColor="text1"/>
                <w:kern w:val="2"/>
                <w:sz w:val="20"/>
                <w:szCs w:val="20"/>
                <w14:ligatures w14:val="standardContextual"/>
              </w:rPr>
              <w:t xml:space="preserve">Quality Improvement Division. Recommendations for Implementation of Key Performance Indicators for Antimicrobial Stewardship in Acute Hospitals in Ireland . 2017 </w:t>
            </w:r>
            <w:r w:rsidR="00B65758" w:rsidRPr="00B34E0B">
              <w:rPr>
                <w:rFonts w:ascii="Calibri" w:hAnsi="Calibri" w:cs="Calibri"/>
                <w:noProof/>
                <w:color w:val="000000" w:themeColor="text1"/>
                <w:sz w:val="20"/>
                <w:szCs w:val="20"/>
                <w:highlight w:val="cyan"/>
              </w:rPr>
              <w:fldChar w:fldCharType="begin" w:fldLock="1"/>
            </w:r>
            <w:r w:rsidR="00B65758" w:rsidRPr="00B34E0B">
              <w:rPr>
                <w:rFonts w:ascii="Calibri" w:hAnsi="Calibri" w:cs="Calibri"/>
                <w:noProof/>
                <w:color w:val="000000" w:themeColor="text1"/>
                <w:kern w:val="2"/>
                <w:sz w:val="20"/>
                <w:szCs w:val="20"/>
                <w:highlight w:val="cyan"/>
                <w14:ligatures w14:val="standardContextual"/>
              </w:rPr>
              <w:instrText>ADDIN CSL_CITATION {"citationItems":[{"id":"ITEM-1","itemData":{"author":[{"dropping-particle":"","family":"Health Service Executive (HSE) Quality Improvement Division.","given":"","non-dropping-particle":"","parse-names":false,"suffix":""}],"id":"ITEM-1","issued":{"date-parts":[["2017"]]},"title":"Quality Improvement Division. Recommendations for Implementation of Key Performance Indicators for Antimicrobial Stewardship in Acute Hospitals in Ireland . 2017","type":"report"},"uris":["http://www.mendeley.com/documents/?uuid=d5f1767e-8c10-4e8f-916a-3bc4549fad27"]}],"mendeley":{"formattedCitation":"(14)","plainTextFormattedCitation":"(14)","previouslyFormattedCitation":"(14)"},"properties":{"noteIndex":0},"schema":"https://github.com/citation-style-language/schema/raw/master/csl-citation.json"}</w:instrText>
            </w:r>
            <w:r w:rsidR="00B65758" w:rsidRPr="00B34E0B">
              <w:rPr>
                <w:rFonts w:ascii="Calibri" w:hAnsi="Calibri" w:cs="Calibri"/>
                <w:noProof/>
                <w:color w:val="000000" w:themeColor="text1"/>
                <w:sz w:val="20"/>
                <w:szCs w:val="20"/>
                <w:highlight w:val="cyan"/>
              </w:rPr>
              <w:fldChar w:fldCharType="separate"/>
            </w:r>
            <w:r w:rsidR="00D12296" w:rsidRPr="00D12296">
              <w:rPr>
                <w:rFonts w:ascii="Calibri" w:hAnsi="Calibri" w:cs="Calibri"/>
                <w:noProof/>
                <w:color w:val="000000" w:themeColor="text1"/>
                <w:sz w:val="20"/>
                <w:szCs w:val="20"/>
              </w:rPr>
              <w:t>[</w:t>
            </w:r>
            <w:r w:rsidR="00B65758" w:rsidRPr="00D12296">
              <w:rPr>
                <w:rFonts w:ascii="Calibri" w:hAnsi="Calibri" w:cs="Calibri"/>
                <w:noProof/>
                <w:color w:val="000000" w:themeColor="text1"/>
                <w:kern w:val="2"/>
                <w:sz w:val="20"/>
                <w:szCs w:val="20"/>
                <w14:ligatures w14:val="standardContextual"/>
              </w:rPr>
              <w:t>14</w:t>
            </w:r>
            <w:r w:rsidR="00D12296" w:rsidRPr="00D12296">
              <w:rPr>
                <w:rFonts w:ascii="Calibri" w:hAnsi="Calibri" w:cs="Calibri"/>
                <w:noProof/>
                <w:color w:val="000000" w:themeColor="text1"/>
                <w:kern w:val="2"/>
                <w:sz w:val="20"/>
                <w:szCs w:val="20"/>
                <w14:ligatures w14:val="standardContextual"/>
              </w:rPr>
              <w:t xml:space="preserve">] </w:t>
            </w:r>
            <w:r w:rsidR="00D12296">
              <w:rPr>
                <w:rFonts w:ascii="Calibri" w:hAnsi="Calibri" w:cs="Calibri"/>
                <w:noProof/>
                <w:color w:val="000000" w:themeColor="text1"/>
                <w:kern w:val="2"/>
                <w:sz w:val="20"/>
                <w:szCs w:val="20"/>
                <w:highlight w:val="cyan"/>
                <w14:ligatures w14:val="standardContextual"/>
              </w:rPr>
              <w:t xml:space="preserve">  </w:t>
            </w:r>
            <w:r w:rsidR="00B65758" w:rsidRPr="00B34E0B">
              <w:rPr>
                <w:rFonts w:ascii="Calibri" w:hAnsi="Calibri" w:cs="Calibri"/>
                <w:noProof/>
                <w:color w:val="000000" w:themeColor="text1"/>
                <w:sz w:val="20"/>
                <w:szCs w:val="20"/>
                <w:highlight w:val="cyan"/>
              </w:rPr>
              <w:fldChar w:fldCharType="end"/>
            </w:r>
          </w:p>
          <w:p w14:paraId="41B8B4C5" w14:textId="77777777" w:rsidR="00D82224" w:rsidRPr="009B561A" w:rsidRDefault="00D82224" w:rsidP="009B561A">
            <w:pPr>
              <w:spacing w:line="276" w:lineRule="auto"/>
              <w:rPr>
                <w:rFonts w:ascii="Calibri" w:hAnsi="Calibri" w:cs="Calibri"/>
                <w:b/>
                <w:bCs/>
                <w:noProof/>
                <w:color w:val="000000" w:themeColor="text1"/>
                <w:kern w:val="2"/>
                <w:sz w:val="20"/>
                <w:szCs w:val="20"/>
                <w14:ligatures w14:val="standardContextual"/>
              </w:rPr>
            </w:pPr>
            <w:r w:rsidRPr="009B561A">
              <w:rPr>
                <w:rFonts w:ascii="Calibri" w:hAnsi="Calibri" w:cs="Calibri"/>
                <w:b/>
                <w:bCs/>
                <w:color w:val="000000" w:themeColor="text1"/>
                <w:sz w:val="20"/>
                <w:szCs w:val="20"/>
              </w:rPr>
              <w:t>*Links with Tables</w:t>
            </w:r>
            <w:r w:rsidRPr="009B561A">
              <w:rPr>
                <w:rFonts w:ascii="Calibri" w:hAnsi="Calibri" w:cs="Calibri"/>
                <w:b/>
                <w:bCs/>
                <w:sz w:val="20"/>
                <w:szCs w:val="20"/>
              </w:rPr>
              <w:t xml:space="preserve"> SRC</w:t>
            </w:r>
            <w:r w:rsidRPr="009B561A">
              <w:rPr>
                <w:rFonts w:ascii="Calibri" w:hAnsi="Calibri" w:cs="Calibri"/>
                <w:b/>
                <w:bCs/>
                <w:color w:val="000000" w:themeColor="text1"/>
                <w:sz w:val="20"/>
                <w:szCs w:val="20"/>
              </w:rPr>
              <w:t xml:space="preserve"> A&amp;C</w:t>
            </w:r>
          </w:p>
        </w:tc>
        <w:tc>
          <w:tcPr>
            <w:tcW w:w="4120" w:type="dxa"/>
          </w:tcPr>
          <w:p w14:paraId="65FBB8D7" w14:textId="77777777" w:rsidR="00D82224" w:rsidRPr="009B561A" w:rsidRDefault="00D82224" w:rsidP="009B561A">
            <w:pPr>
              <w:spacing w:line="276" w:lineRule="auto"/>
              <w:rPr>
                <w:rFonts w:ascii="Calibri" w:hAnsi="Calibri" w:cs="Calibri"/>
                <w:sz w:val="20"/>
                <w:szCs w:val="20"/>
                <w:highlight w:val="yellow"/>
              </w:rPr>
            </w:pPr>
          </w:p>
        </w:tc>
        <w:tc>
          <w:tcPr>
            <w:tcW w:w="4995" w:type="dxa"/>
          </w:tcPr>
          <w:p w14:paraId="04EEF0B1"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Previously mentioned in Table</w:t>
            </w:r>
            <w:r w:rsidRPr="009B561A">
              <w:rPr>
                <w:rFonts w:ascii="Calibri" w:hAnsi="Calibri" w:cs="Calibri"/>
                <w:b/>
                <w:bCs/>
                <w:sz w:val="20"/>
                <w:szCs w:val="20"/>
              </w:rPr>
              <w:t xml:space="preserve"> </w:t>
            </w:r>
            <w:r w:rsidRPr="009B561A">
              <w:rPr>
                <w:rFonts w:ascii="Calibri" w:hAnsi="Calibri" w:cs="Calibri"/>
                <w:sz w:val="20"/>
                <w:szCs w:val="20"/>
              </w:rPr>
              <w:t>SRC A</w:t>
            </w:r>
            <w:r w:rsidRPr="009B561A">
              <w:rPr>
                <w:rFonts w:ascii="Calibri" w:hAnsi="Calibri" w:cs="Calibri"/>
                <w:color w:val="000000" w:themeColor="text1"/>
                <w:sz w:val="20"/>
                <w:szCs w:val="20"/>
              </w:rPr>
              <w:t>&amp;</w:t>
            </w:r>
            <w:r w:rsidRPr="009B561A">
              <w:rPr>
                <w:rFonts w:ascii="Calibri" w:hAnsi="Calibri" w:cs="Calibri"/>
                <w:sz w:val="20"/>
                <w:szCs w:val="20"/>
              </w:rPr>
              <w:t>C</w:t>
            </w:r>
          </w:p>
        </w:tc>
      </w:tr>
      <w:tr w:rsidR="00D82224" w:rsidRPr="009B561A" w14:paraId="392A8A76" w14:textId="77777777" w:rsidTr="0087653A">
        <w:tc>
          <w:tcPr>
            <w:tcW w:w="435" w:type="dxa"/>
          </w:tcPr>
          <w:p w14:paraId="2271200B"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10</w:t>
            </w:r>
          </w:p>
        </w:tc>
        <w:tc>
          <w:tcPr>
            <w:tcW w:w="4620" w:type="dxa"/>
          </w:tcPr>
          <w:p w14:paraId="68E70F93" w14:textId="6AB62E1B"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color w:val="000000" w:themeColor="text1"/>
                <w:sz w:val="20"/>
                <w:szCs w:val="20"/>
              </w:rPr>
              <w:t>Health Information and Quality Authority (HIQA) (2016)</w:t>
            </w:r>
            <w:r w:rsidRPr="009B561A">
              <w:rPr>
                <w:rFonts w:ascii="Calibri" w:hAnsi="Calibri" w:cs="Calibri"/>
                <w:color w:val="000000" w:themeColor="text1"/>
                <w:sz w:val="20"/>
                <w:szCs w:val="20"/>
              </w:rPr>
              <w:t xml:space="preserve"> Report of the review of antimicrobial stewardship in public acute hospitals. Dublin: HIQA </w:t>
            </w:r>
            <w:r w:rsidR="0019522E" w:rsidRPr="00D12296">
              <w:rPr>
                <w:rFonts w:ascii="Calibri" w:hAnsi="Calibri" w:cs="Calibri"/>
                <w:color w:val="000000" w:themeColor="text1"/>
                <w:sz w:val="20"/>
                <w:szCs w:val="20"/>
              </w:rPr>
              <w:fldChar w:fldCharType="begin" w:fldLock="1"/>
            </w:r>
            <w:r w:rsidR="0019522E" w:rsidRPr="00D12296">
              <w:rPr>
                <w:rFonts w:ascii="Calibri" w:hAnsi="Calibri" w:cs="Calibri"/>
                <w:color w:val="000000" w:themeColor="text1"/>
                <w:sz w:val="20"/>
                <w:szCs w:val="20"/>
              </w:rPr>
              <w:instrText>ADDIN CSL_CITATION {"citationItems":[{"id":"ITEM-1","itemData":{"author":[{"dropping-particle":"","family":"Health Information and Quality Authority (HIQA)","given":"","non-dropping-particle":"","parse-names":false,"suffix":""}],"id":"ITEM-1","issue":"July","issued":{"date-parts":[["2016"]]},"number-of-pages":"1-164","title":"Report of the review of antimicrobial stewardship in public acute hospitals","type":"report"},"uris":["http://www.mendeley.com/documents/?uuid=379535ac-bbe8-4dab-81c5-0c030362dd7e"]}],"mendeley":{"formattedCitation":"(17)","plainTextFormattedCitation":"(17)","previouslyFormattedCitation":"(17)"},"properties":{"noteIndex":0},"schema":"https://github.com/citation-style-language/schema/raw/master/csl-citation.json"}</w:instrText>
            </w:r>
            <w:r w:rsidR="0019522E" w:rsidRPr="00D12296">
              <w:rPr>
                <w:rFonts w:ascii="Calibri" w:hAnsi="Calibri" w:cs="Calibri"/>
                <w:color w:val="000000" w:themeColor="text1"/>
                <w:sz w:val="20"/>
                <w:szCs w:val="20"/>
              </w:rPr>
              <w:fldChar w:fldCharType="separate"/>
            </w:r>
            <w:r w:rsidR="00D12296" w:rsidRPr="00D12296">
              <w:rPr>
                <w:rFonts w:ascii="Calibri" w:hAnsi="Calibri" w:cs="Calibri"/>
                <w:color w:val="000000" w:themeColor="text1"/>
                <w:sz w:val="20"/>
                <w:szCs w:val="20"/>
              </w:rPr>
              <w:t>[</w:t>
            </w:r>
            <w:r w:rsidR="0019522E" w:rsidRPr="00D12296">
              <w:rPr>
                <w:rFonts w:ascii="Calibri" w:hAnsi="Calibri" w:cs="Calibri"/>
                <w:noProof/>
                <w:color w:val="000000" w:themeColor="text1"/>
                <w:sz w:val="20"/>
                <w:szCs w:val="20"/>
              </w:rPr>
              <w:t>17</w:t>
            </w:r>
            <w:r w:rsidR="00D12296" w:rsidRPr="00D12296">
              <w:rPr>
                <w:rFonts w:ascii="Calibri" w:hAnsi="Calibri" w:cs="Calibri"/>
                <w:noProof/>
                <w:color w:val="000000" w:themeColor="text1"/>
                <w:sz w:val="20"/>
                <w:szCs w:val="20"/>
              </w:rPr>
              <w:t xml:space="preserve">]   </w:t>
            </w:r>
            <w:r w:rsidR="0019522E" w:rsidRPr="00D12296">
              <w:rPr>
                <w:rFonts w:ascii="Calibri" w:hAnsi="Calibri" w:cs="Calibri"/>
                <w:color w:val="000000" w:themeColor="text1"/>
                <w:sz w:val="20"/>
                <w:szCs w:val="20"/>
              </w:rPr>
              <w:fldChar w:fldCharType="end"/>
            </w:r>
          </w:p>
          <w:p w14:paraId="034D627B" w14:textId="77777777" w:rsidR="00D82224" w:rsidRPr="009B561A" w:rsidRDefault="00D82224" w:rsidP="009B561A">
            <w:pPr>
              <w:spacing w:line="276" w:lineRule="auto"/>
              <w:rPr>
                <w:rFonts w:ascii="Calibri" w:hAnsi="Calibri" w:cs="Calibri"/>
                <w:color w:val="000000" w:themeColor="text1"/>
                <w:sz w:val="20"/>
                <w:szCs w:val="20"/>
                <w:vertAlign w:val="superscript"/>
              </w:rPr>
            </w:pPr>
          </w:p>
          <w:p w14:paraId="4AC7C79F" w14:textId="77777777" w:rsidR="00D82224" w:rsidRPr="009B561A" w:rsidRDefault="00D82224" w:rsidP="009B561A">
            <w:pPr>
              <w:spacing w:line="276" w:lineRule="auto"/>
              <w:rPr>
                <w:rFonts w:ascii="Calibri" w:hAnsi="Calibri" w:cs="Calibri"/>
                <w:b/>
                <w:bCs/>
                <w:noProof/>
                <w:color w:val="000000" w:themeColor="text1"/>
                <w:kern w:val="2"/>
                <w:sz w:val="20"/>
                <w:szCs w:val="20"/>
                <w:highlight w:val="cyan"/>
                <w14:ligatures w14:val="standardContextual"/>
              </w:rPr>
            </w:pPr>
            <w:r w:rsidRPr="009B561A">
              <w:rPr>
                <w:rFonts w:ascii="Calibri" w:hAnsi="Calibri" w:cs="Calibri"/>
                <w:b/>
                <w:bCs/>
                <w:color w:val="000000" w:themeColor="text1"/>
                <w:sz w:val="20"/>
                <w:szCs w:val="20"/>
              </w:rPr>
              <w:t>*Links with Tables</w:t>
            </w:r>
            <w:r w:rsidRPr="009B561A">
              <w:rPr>
                <w:rFonts w:ascii="Calibri" w:hAnsi="Calibri" w:cs="Calibri"/>
                <w:b/>
                <w:bCs/>
                <w:sz w:val="20"/>
                <w:szCs w:val="20"/>
              </w:rPr>
              <w:t xml:space="preserve"> SRC</w:t>
            </w:r>
            <w:r w:rsidRPr="009B561A">
              <w:rPr>
                <w:rFonts w:ascii="Calibri" w:hAnsi="Calibri" w:cs="Calibri"/>
                <w:b/>
                <w:bCs/>
                <w:color w:val="000000" w:themeColor="text1"/>
                <w:sz w:val="20"/>
                <w:szCs w:val="20"/>
              </w:rPr>
              <w:t xml:space="preserve"> A&amp;C</w:t>
            </w:r>
          </w:p>
        </w:tc>
        <w:tc>
          <w:tcPr>
            <w:tcW w:w="4120" w:type="dxa"/>
          </w:tcPr>
          <w:p w14:paraId="6D420EC8"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This report provides an overview of the national provision of antimicrobial stewardship in Irish public acute hospitals</w:t>
            </w:r>
          </w:p>
        </w:tc>
        <w:tc>
          <w:tcPr>
            <w:tcW w:w="4995" w:type="dxa"/>
          </w:tcPr>
          <w:p w14:paraId="1A3DEE58"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Electronic prescribing- improved audit, surveillance and reporting but limited availability.</w:t>
            </w:r>
          </w:p>
          <w:p w14:paraId="54ED57CC"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Electronic health record -not available in Ireland.</w:t>
            </w:r>
          </w:p>
          <w:p w14:paraId="304DFEEF" w14:textId="77777777" w:rsidR="00D82224" w:rsidRPr="009B561A" w:rsidRDefault="00D82224" w:rsidP="009B561A">
            <w:pPr>
              <w:spacing w:line="276" w:lineRule="auto"/>
              <w:rPr>
                <w:rFonts w:ascii="Calibri" w:hAnsi="Calibri" w:cs="Calibri"/>
                <w:sz w:val="20"/>
                <w:szCs w:val="20"/>
              </w:rPr>
            </w:pPr>
          </w:p>
          <w:p w14:paraId="3B39D7CA"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Number of hospitals conducting identified clinical audits over the previous three years(n=45)</w:t>
            </w:r>
          </w:p>
          <w:p w14:paraId="3518265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Antimicrobial point prevalence survey=40</w:t>
            </w:r>
          </w:p>
          <w:p w14:paraId="7A84B0A6"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 Compliance with local empiric treatment guidelines=36</w:t>
            </w:r>
          </w:p>
          <w:p w14:paraId="4F79BB9A"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Compliance with allergy status policy=33</w:t>
            </w:r>
          </w:p>
          <w:p w14:paraId="0C1EE0FC"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 Documentation of indication for antibiotic usage=33</w:t>
            </w:r>
          </w:p>
          <w:p w14:paraId="17A9D574"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 Documentation of antibiotic review date= 27</w:t>
            </w:r>
          </w:p>
          <w:p w14:paraId="696E7591"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Surgical antibiotic prophylaxis choice Intravenous to oral switch=25</w:t>
            </w:r>
          </w:p>
          <w:p w14:paraId="4DA11EE1"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 xml:space="preserve"> Surgical antibiotic prophylaxis duration=24</w:t>
            </w:r>
          </w:p>
        </w:tc>
      </w:tr>
      <w:tr w:rsidR="00D82224" w:rsidRPr="009B561A" w14:paraId="00FB7017" w14:textId="77777777" w:rsidTr="0087653A">
        <w:tc>
          <w:tcPr>
            <w:tcW w:w="435" w:type="dxa"/>
          </w:tcPr>
          <w:p w14:paraId="300E99D9"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11</w:t>
            </w:r>
          </w:p>
        </w:tc>
        <w:tc>
          <w:tcPr>
            <w:tcW w:w="4620" w:type="dxa"/>
          </w:tcPr>
          <w:p w14:paraId="5F672317" w14:textId="77777777" w:rsidR="00B41190" w:rsidRPr="009B561A" w:rsidRDefault="00D82224" w:rsidP="009B561A">
            <w:pPr>
              <w:widowControl w:val="0"/>
              <w:autoSpaceDE w:val="0"/>
              <w:autoSpaceDN w:val="0"/>
              <w:adjustRightInd w:val="0"/>
              <w:spacing w:line="276" w:lineRule="auto"/>
              <w:ind w:left="640" w:hanging="640"/>
              <w:rPr>
                <w:rFonts w:ascii="Calibri" w:hAnsi="Calibri" w:cs="Calibri"/>
                <w:b/>
                <w:bCs/>
                <w:noProof/>
                <w:color w:val="000000" w:themeColor="text1"/>
                <w:sz w:val="20"/>
                <w:szCs w:val="20"/>
              </w:rPr>
            </w:pPr>
            <w:r w:rsidRPr="009B561A">
              <w:rPr>
                <w:rFonts w:ascii="Calibri" w:hAnsi="Calibri" w:cs="Calibri"/>
                <w:b/>
                <w:bCs/>
                <w:noProof/>
                <w:color w:val="000000" w:themeColor="text1"/>
                <w:sz w:val="20"/>
                <w:szCs w:val="20"/>
              </w:rPr>
              <w:t xml:space="preserve">Royal College of Physicians of Ireland Hospital </w:t>
            </w:r>
          </w:p>
          <w:p w14:paraId="6704253D" w14:textId="77777777" w:rsidR="00B41190" w:rsidRPr="009B561A" w:rsidRDefault="00D82224" w:rsidP="009B561A">
            <w:pPr>
              <w:widowControl w:val="0"/>
              <w:autoSpaceDE w:val="0"/>
              <w:autoSpaceDN w:val="0"/>
              <w:adjustRightInd w:val="0"/>
              <w:spacing w:line="276" w:lineRule="auto"/>
              <w:ind w:left="640" w:hanging="640"/>
              <w:rPr>
                <w:rFonts w:ascii="Calibri" w:hAnsi="Calibri" w:cs="Calibri"/>
                <w:noProof/>
                <w:color w:val="000000" w:themeColor="text1"/>
                <w:sz w:val="20"/>
                <w:szCs w:val="20"/>
              </w:rPr>
            </w:pPr>
            <w:r w:rsidRPr="009B561A">
              <w:rPr>
                <w:rFonts w:ascii="Calibri" w:hAnsi="Calibri" w:cs="Calibri"/>
                <w:b/>
                <w:bCs/>
                <w:noProof/>
                <w:color w:val="000000" w:themeColor="text1"/>
                <w:sz w:val="20"/>
                <w:szCs w:val="20"/>
              </w:rPr>
              <w:t>(2012)</w:t>
            </w:r>
            <w:r w:rsidRPr="009B561A">
              <w:rPr>
                <w:rFonts w:ascii="Calibri" w:hAnsi="Calibri" w:cs="Calibri"/>
                <w:noProof/>
                <w:color w:val="000000" w:themeColor="text1"/>
                <w:sz w:val="20"/>
                <w:szCs w:val="20"/>
              </w:rPr>
              <w:t xml:space="preserve">Antimicrobial Stewardship Working Group. </w:t>
            </w:r>
          </w:p>
          <w:p w14:paraId="0ADC1B51" w14:textId="77777777" w:rsidR="00B41190" w:rsidRPr="00D12296" w:rsidRDefault="00D82224" w:rsidP="009B561A">
            <w:pPr>
              <w:widowControl w:val="0"/>
              <w:autoSpaceDE w:val="0"/>
              <w:autoSpaceDN w:val="0"/>
              <w:adjustRightInd w:val="0"/>
              <w:spacing w:line="276" w:lineRule="auto"/>
              <w:ind w:left="640" w:hanging="640"/>
              <w:rPr>
                <w:rFonts w:ascii="Calibri" w:hAnsi="Calibri" w:cs="Calibri"/>
                <w:noProof/>
                <w:color w:val="000000" w:themeColor="text1"/>
                <w:sz w:val="20"/>
                <w:szCs w:val="20"/>
              </w:rPr>
            </w:pPr>
            <w:r w:rsidRPr="009B561A">
              <w:rPr>
                <w:rFonts w:ascii="Calibri" w:hAnsi="Calibri" w:cs="Calibri"/>
                <w:noProof/>
                <w:color w:val="000000" w:themeColor="text1"/>
                <w:sz w:val="20"/>
                <w:szCs w:val="20"/>
              </w:rPr>
              <w:t xml:space="preserve">Start smart, </w:t>
            </w:r>
            <w:r w:rsidRPr="00D12296">
              <w:rPr>
                <w:rFonts w:ascii="Calibri" w:hAnsi="Calibri" w:cs="Calibri"/>
                <w:noProof/>
                <w:color w:val="000000" w:themeColor="text1"/>
                <w:sz w:val="20"/>
                <w:szCs w:val="20"/>
              </w:rPr>
              <w:t>then focus an antibiotic care bundle</w:t>
            </w:r>
          </w:p>
          <w:p w14:paraId="18BF3572" w14:textId="6A13B1AD" w:rsidR="00D82224" w:rsidRPr="009B561A" w:rsidRDefault="00D82224" w:rsidP="009B561A">
            <w:pPr>
              <w:widowControl w:val="0"/>
              <w:autoSpaceDE w:val="0"/>
              <w:autoSpaceDN w:val="0"/>
              <w:adjustRightInd w:val="0"/>
              <w:spacing w:line="276" w:lineRule="auto"/>
              <w:ind w:left="640" w:hanging="640"/>
              <w:rPr>
                <w:rFonts w:ascii="Calibri" w:hAnsi="Calibri" w:cs="Calibri"/>
                <w:b/>
                <w:bCs/>
                <w:noProof/>
                <w:color w:val="000000" w:themeColor="text1"/>
                <w:sz w:val="20"/>
                <w:szCs w:val="20"/>
              </w:rPr>
            </w:pPr>
            <w:r w:rsidRPr="00D12296">
              <w:rPr>
                <w:rFonts w:ascii="Calibri" w:hAnsi="Calibri" w:cs="Calibri"/>
                <w:noProof/>
                <w:color w:val="000000" w:themeColor="text1"/>
                <w:sz w:val="20"/>
                <w:szCs w:val="20"/>
              </w:rPr>
              <w:t xml:space="preserve"> </w:t>
            </w:r>
            <w:r w:rsidR="00B41190" w:rsidRPr="00D12296">
              <w:rPr>
                <w:rFonts w:ascii="Calibri" w:hAnsi="Calibri" w:cs="Calibri"/>
                <w:noProof/>
                <w:color w:val="000000" w:themeColor="text1"/>
                <w:sz w:val="20"/>
                <w:szCs w:val="20"/>
              </w:rPr>
              <w:t>F</w:t>
            </w:r>
            <w:r w:rsidRPr="00D12296">
              <w:rPr>
                <w:rFonts w:ascii="Calibri" w:hAnsi="Calibri" w:cs="Calibri"/>
                <w:noProof/>
                <w:color w:val="000000" w:themeColor="text1"/>
                <w:sz w:val="20"/>
                <w:szCs w:val="20"/>
              </w:rPr>
              <w:t>or</w:t>
            </w:r>
            <w:r w:rsidR="00B41190" w:rsidRPr="00D12296">
              <w:rPr>
                <w:rFonts w:ascii="Calibri" w:hAnsi="Calibri" w:cs="Calibri"/>
                <w:noProof/>
                <w:color w:val="000000" w:themeColor="text1"/>
                <w:sz w:val="20"/>
                <w:szCs w:val="20"/>
              </w:rPr>
              <w:t xml:space="preserve"> </w:t>
            </w:r>
            <w:r w:rsidRPr="00D12296">
              <w:rPr>
                <w:rFonts w:ascii="Calibri" w:hAnsi="Calibri" w:cs="Calibri"/>
                <w:noProof/>
                <w:color w:val="000000" w:themeColor="text1"/>
                <w:sz w:val="20"/>
                <w:szCs w:val="20"/>
              </w:rPr>
              <w:t>hospitals</w:t>
            </w:r>
            <w:r w:rsidRPr="00D12296">
              <w:rPr>
                <w:rFonts w:ascii="Calibri" w:hAnsi="Calibri" w:cs="Calibri"/>
                <w:b/>
                <w:bCs/>
                <w:noProof/>
                <w:color w:val="000000" w:themeColor="text1"/>
                <w:sz w:val="20"/>
                <w:szCs w:val="20"/>
                <w:vertAlign w:val="superscript"/>
              </w:rPr>
              <w:t xml:space="preserve"> </w:t>
            </w:r>
            <w:r w:rsidR="00B41190" w:rsidRPr="00D12296">
              <w:rPr>
                <w:rFonts w:ascii="Calibri" w:hAnsi="Calibri" w:cs="Calibri"/>
                <w:b/>
                <w:bCs/>
                <w:noProof/>
                <w:color w:val="000000" w:themeColor="text1"/>
                <w:sz w:val="20"/>
                <w:szCs w:val="20"/>
              </w:rPr>
              <w:fldChar w:fldCharType="begin" w:fldLock="1"/>
            </w:r>
            <w:r w:rsidR="00B41190" w:rsidRPr="00D12296">
              <w:rPr>
                <w:rFonts w:ascii="Calibri" w:hAnsi="Calibri" w:cs="Calibri"/>
                <w:b/>
                <w:bCs/>
                <w:noProof/>
                <w:color w:val="000000" w:themeColor="text1"/>
                <w:sz w:val="20"/>
                <w:szCs w:val="20"/>
              </w:rPr>
              <w:instrText>ADDIN CSL_CITATION {"citationItems":[{"id":"ITEM-1","itemData":{"author":[{"dropping-particle":"","family":"Royal College of Physicians of Ireland Hospital Antimicrobial Stewardship Working Group","given":"","non-dropping-particle":"","parse-names":false,"suffix":""}],"id":"ITEM-1","issued":{"date-parts":[["2012"]]},"number-of-pages":"2012","title":"Start smart, then focus An antibiotic care bundle for hospitals.","type":"report"},"uris":["http://www.mendeley.com/documents/?uuid=1cb2fb74-9cd5-414f-bfd7-0c025bb05d5b"]}],"mendeley":{"formattedCitation":"(28)","plainTextFormattedCitation":"(28)","previouslyFormattedCitation":"(28)"},"properties":{"noteIndex":0},"schema":"https://github.com/citation-style-language/schema/raw/master/csl-citation.json"}</w:instrText>
            </w:r>
            <w:r w:rsidR="00B41190" w:rsidRPr="00D12296">
              <w:rPr>
                <w:rFonts w:ascii="Calibri" w:hAnsi="Calibri" w:cs="Calibri"/>
                <w:b/>
                <w:bCs/>
                <w:noProof/>
                <w:color w:val="000000" w:themeColor="text1"/>
                <w:sz w:val="20"/>
                <w:szCs w:val="20"/>
              </w:rPr>
              <w:fldChar w:fldCharType="separate"/>
            </w:r>
            <w:r w:rsidR="00D12296" w:rsidRPr="00D12296">
              <w:rPr>
                <w:rFonts w:ascii="Calibri" w:hAnsi="Calibri" w:cs="Calibri"/>
                <w:noProof/>
                <w:color w:val="000000" w:themeColor="text1"/>
                <w:sz w:val="20"/>
                <w:szCs w:val="20"/>
              </w:rPr>
              <w:t>[</w:t>
            </w:r>
            <w:r w:rsidR="00B41190" w:rsidRPr="00D12296">
              <w:rPr>
                <w:rFonts w:ascii="Calibri" w:hAnsi="Calibri" w:cs="Calibri"/>
                <w:bCs/>
                <w:noProof/>
                <w:color w:val="000000" w:themeColor="text1"/>
                <w:sz w:val="20"/>
                <w:szCs w:val="20"/>
              </w:rPr>
              <w:t>28</w:t>
            </w:r>
            <w:r w:rsidR="00D12296" w:rsidRPr="00D12296">
              <w:rPr>
                <w:rFonts w:ascii="Calibri" w:hAnsi="Calibri" w:cs="Calibri"/>
                <w:bCs/>
                <w:noProof/>
                <w:color w:val="000000" w:themeColor="text1"/>
                <w:sz w:val="20"/>
                <w:szCs w:val="20"/>
              </w:rPr>
              <w:t xml:space="preserve">]     </w:t>
            </w:r>
            <w:r w:rsidR="00B41190" w:rsidRPr="00D12296">
              <w:rPr>
                <w:rFonts w:ascii="Calibri" w:hAnsi="Calibri" w:cs="Calibri"/>
                <w:b/>
                <w:bCs/>
                <w:noProof/>
                <w:color w:val="000000" w:themeColor="text1"/>
                <w:sz w:val="20"/>
                <w:szCs w:val="20"/>
                <w:vertAlign w:val="superscript"/>
              </w:rPr>
              <w:fldChar w:fldCharType="end"/>
            </w:r>
          </w:p>
          <w:p w14:paraId="7A721C9E" w14:textId="77777777" w:rsidR="00D82224" w:rsidRPr="009B561A" w:rsidRDefault="00D82224" w:rsidP="009B561A">
            <w:pPr>
              <w:spacing w:line="276" w:lineRule="auto"/>
              <w:rPr>
                <w:rFonts w:ascii="Calibri" w:hAnsi="Calibri" w:cs="Calibri"/>
                <w:b/>
                <w:bCs/>
                <w:noProof/>
                <w:color w:val="000000" w:themeColor="text1"/>
                <w:kern w:val="2"/>
                <w:sz w:val="20"/>
                <w:szCs w:val="20"/>
                <w14:ligatures w14:val="standardContextual"/>
              </w:rPr>
            </w:pPr>
            <w:r w:rsidRPr="009B561A">
              <w:rPr>
                <w:rFonts w:ascii="Calibri" w:hAnsi="Calibri" w:cs="Calibri"/>
                <w:b/>
                <w:bCs/>
                <w:color w:val="000000" w:themeColor="text1"/>
                <w:sz w:val="20"/>
                <w:szCs w:val="20"/>
              </w:rPr>
              <w:t>*Links with Table</w:t>
            </w:r>
            <w:r w:rsidRPr="009B561A">
              <w:rPr>
                <w:rFonts w:ascii="Calibri" w:hAnsi="Calibri" w:cs="Calibri"/>
                <w:b/>
                <w:bCs/>
                <w:sz w:val="20"/>
                <w:szCs w:val="20"/>
              </w:rPr>
              <w:t xml:space="preserve"> SRC</w:t>
            </w:r>
            <w:r w:rsidRPr="009B561A">
              <w:rPr>
                <w:rFonts w:ascii="Calibri" w:hAnsi="Calibri" w:cs="Calibri"/>
                <w:b/>
                <w:bCs/>
                <w:color w:val="000000" w:themeColor="text1"/>
                <w:sz w:val="20"/>
                <w:szCs w:val="20"/>
              </w:rPr>
              <w:t xml:space="preserve"> C</w:t>
            </w:r>
          </w:p>
        </w:tc>
        <w:tc>
          <w:tcPr>
            <w:tcW w:w="4120" w:type="dxa"/>
          </w:tcPr>
          <w:p w14:paraId="06C0E12C"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color w:val="0B0C0C"/>
                <w:sz w:val="20"/>
                <w:szCs w:val="20"/>
                <w:shd w:val="clear" w:color="auto" w:fill="FFFFFF"/>
              </w:rPr>
              <w:t>This toolkit provides an outline of evidence-based antimicrobial stewardship in inpatient care settings</w:t>
            </w:r>
          </w:p>
        </w:tc>
        <w:tc>
          <w:tcPr>
            <w:tcW w:w="4995" w:type="dxa"/>
          </w:tcPr>
          <w:p w14:paraId="308B0D8E" w14:textId="77777777" w:rsidR="00D82224" w:rsidRPr="009B561A" w:rsidRDefault="00D82224" w:rsidP="009B561A">
            <w:pPr>
              <w:spacing w:line="276" w:lineRule="auto"/>
              <w:rPr>
                <w:rFonts w:ascii="Calibri" w:hAnsi="Calibri" w:cs="Calibri"/>
                <w:sz w:val="20"/>
                <w:szCs w:val="20"/>
                <w:shd w:val="clear" w:color="auto" w:fill="FFFFFF"/>
              </w:rPr>
            </w:pPr>
            <w:r w:rsidRPr="009B561A">
              <w:rPr>
                <w:rFonts w:ascii="Calibri" w:hAnsi="Calibri" w:cs="Calibri"/>
                <w:sz w:val="20"/>
                <w:szCs w:val="20"/>
              </w:rPr>
              <w:t xml:space="preserve">Resources including prescribing aids and toolkits to assist with prescribing antibiotics are available on the following website: </w:t>
            </w:r>
            <w:hyperlink r:id="rId13" w:history="1">
              <w:r w:rsidRPr="009B561A">
                <w:rPr>
                  <w:rFonts w:ascii="Calibri" w:hAnsi="Calibri" w:cs="Calibri"/>
                  <w:color w:val="467886" w:themeColor="hyperlink"/>
                  <w:sz w:val="20"/>
                  <w:szCs w:val="20"/>
                  <w:u w:val="single"/>
                  <w:shd w:val="clear" w:color="auto" w:fill="FFFFFF"/>
                </w:rPr>
                <w:t>www.antibioticprescribing.ie</w:t>
              </w:r>
            </w:hyperlink>
          </w:p>
          <w:p w14:paraId="6193DFBE" w14:textId="77777777" w:rsidR="00D82224" w:rsidRPr="009B561A" w:rsidRDefault="00D82224" w:rsidP="009B561A">
            <w:pPr>
              <w:spacing w:line="276" w:lineRule="auto"/>
              <w:rPr>
                <w:rFonts w:ascii="Calibri" w:hAnsi="Calibri" w:cs="Calibri"/>
                <w:color w:val="FF0000"/>
                <w:sz w:val="20"/>
                <w:szCs w:val="20"/>
              </w:rPr>
            </w:pPr>
          </w:p>
        </w:tc>
      </w:tr>
    </w:tbl>
    <w:p w14:paraId="4907E3B1" w14:textId="77777777" w:rsidR="00D82224" w:rsidRPr="009B561A" w:rsidRDefault="00D82224" w:rsidP="009B561A">
      <w:pPr>
        <w:spacing w:line="276" w:lineRule="auto"/>
        <w:rPr>
          <w:rFonts w:ascii="Calibri" w:hAnsi="Calibri" w:cs="Calibri"/>
          <w:b/>
          <w:bCs/>
          <w:sz w:val="20"/>
          <w:szCs w:val="20"/>
        </w:rPr>
      </w:pPr>
    </w:p>
    <w:p w14:paraId="4EB6E620" w14:textId="77777777" w:rsidR="00D82224" w:rsidRPr="009B561A" w:rsidRDefault="00D82224" w:rsidP="009B561A">
      <w:pPr>
        <w:spacing w:line="276" w:lineRule="auto"/>
        <w:rPr>
          <w:rFonts w:ascii="Calibri" w:hAnsi="Calibri" w:cs="Calibri"/>
          <w:b/>
          <w:bCs/>
          <w:sz w:val="20"/>
          <w:szCs w:val="20"/>
        </w:rPr>
      </w:pPr>
    </w:p>
    <w:p w14:paraId="59A74359" w14:textId="77777777" w:rsidR="00D82224" w:rsidRPr="009B561A" w:rsidRDefault="00D82224" w:rsidP="009B561A">
      <w:pPr>
        <w:spacing w:line="276" w:lineRule="auto"/>
        <w:rPr>
          <w:rFonts w:ascii="Calibri" w:hAnsi="Calibri" w:cs="Calibri"/>
          <w:b/>
          <w:bCs/>
          <w:sz w:val="20"/>
          <w:szCs w:val="20"/>
        </w:rPr>
      </w:pPr>
    </w:p>
    <w:p w14:paraId="39A041E4" w14:textId="77777777" w:rsidR="00D82224" w:rsidRPr="009B561A" w:rsidRDefault="00D82224" w:rsidP="009B561A">
      <w:pPr>
        <w:spacing w:line="276" w:lineRule="auto"/>
        <w:rPr>
          <w:rFonts w:ascii="Calibri" w:hAnsi="Calibri" w:cs="Calibri"/>
          <w:b/>
          <w:bCs/>
          <w:sz w:val="20"/>
          <w:szCs w:val="20"/>
        </w:rPr>
      </w:pPr>
    </w:p>
    <w:p w14:paraId="540C8EDC" w14:textId="699A8B72" w:rsidR="00D82224" w:rsidRPr="00D12296" w:rsidRDefault="00D82224" w:rsidP="009B561A">
      <w:pPr>
        <w:spacing w:line="276" w:lineRule="auto"/>
        <w:rPr>
          <w:rFonts w:ascii="Calibri" w:hAnsi="Calibri" w:cs="Calibri"/>
          <w:b/>
          <w:bCs/>
          <w:color w:val="FF0000"/>
          <w:sz w:val="24"/>
          <w:szCs w:val="24"/>
        </w:rPr>
      </w:pPr>
      <w:r w:rsidRPr="005C2D38">
        <w:rPr>
          <w:rFonts w:ascii="Calibri" w:hAnsi="Calibri" w:cs="Calibri"/>
          <w:b/>
          <w:bCs/>
          <w:sz w:val="24"/>
          <w:szCs w:val="24"/>
        </w:rPr>
        <w:lastRenderedPageBreak/>
        <w:t xml:space="preserve">Supplemental File </w:t>
      </w:r>
      <w:r w:rsidR="00835F1B" w:rsidRPr="005C2D38">
        <w:rPr>
          <w:rFonts w:ascii="Calibri" w:hAnsi="Calibri" w:cs="Calibri"/>
          <w:b/>
          <w:bCs/>
          <w:sz w:val="24"/>
          <w:szCs w:val="24"/>
        </w:rPr>
        <w:t>5</w:t>
      </w:r>
      <w:r w:rsidRPr="005C2D38">
        <w:rPr>
          <w:rFonts w:ascii="Calibri" w:hAnsi="Calibri" w:cs="Calibri"/>
          <w:b/>
          <w:bCs/>
          <w:sz w:val="24"/>
          <w:szCs w:val="24"/>
        </w:rPr>
        <w:t>:</w:t>
      </w:r>
      <w:r w:rsidRPr="00D12296">
        <w:rPr>
          <w:rFonts w:ascii="Calibri" w:hAnsi="Calibri" w:cs="Calibri"/>
          <w:b/>
          <w:bCs/>
          <w:sz w:val="24"/>
          <w:szCs w:val="24"/>
        </w:rPr>
        <w:t xml:space="preserve"> Table </w:t>
      </w:r>
      <w:r w:rsidR="00FC6DFD" w:rsidRPr="00D12296">
        <w:rPr>
          <w:rFonts w:ascii="Calibri" w:hAnsi="Calibri" w:cs="Calibri"/>
          <w:b/>
          <w:bCs/>
          <w:sz w:val="24"/>
          <w:szCs w:val="24"/>
        </w:rPr>
        <w:t xml:space="preserve">10 </w:t>
      </w:r>
      <w:proofErr w:type="spellStart"/>
      <w:r w:rsidRPr="00D12296">
        <w:rPr>
          <w:rFonts w:ascii="Calibri" w:hAnsi="Calibri" w:cs="Calibri"/>
          <w:b/>
          <w:bCs/>
          <w:sz w:val="24"/>
          <w:szCs w:val="24"/>
        </w:rPr>
        <w:t>i</w:t>
      </w:r>
      <w:proofErr w:type="spellEnd"/>
      <w:r w:rsidRPr="00D12296">
        <w:rPr>
          <w:rFonts w:ascii="Calibri" w:hAnsi="Calibri" w:cs="Calibri"/>
          <w:b/>
          <w:bCs/>
          <w:sz w:val="24"/>
          <w:szCs w:val="24"/>
        </w:rPr>
        <w:t xml:space="preserve"> SRC C:   Antimicrobial Stewardship Interventions (Peer reviewed studies n=18) </w:t>
      </w:r>
      <w:r w:rsidR="00B26031" w:rsidRPr="00D12296">
        <w:rPr>
          <w:rFonts w:ascii="Calibri" w:hAnsi="Calibri" w:cs="Calibri"/>
          <w:b/>
          <w:bCs/>
          <w:sz w:val="24"/>
          <w:szCs w:val="24"/>
        </w:rPr>
        <w:fldChar w:fldCharType="begin" w:fldLock="1"/>
      </w:r>
      <w:r w:rsidR="00B26031" w:rsidRPr="00D12296">
        <w:rPr>
          <w:rFonts w:ascii="Calibri" w:hAnsi="Calibri" w:cs="Calibri"/>
          <w:b/>
          <w:bCs/>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D12296">
        <w:rPr>
          <w:rFonts w:ascii="Calibri" w:hAnsi="Calibri" w:cs="Calibri"/>
          <w:b/>
          <w:bCs/>
          <w:sz w:val="24"/>
          <w:szCs w:val="24"/>
        </w:rPr>
        <w:fldChar w:fldCharType="separate"/>
      </w:r>
      <w:r w:rsidR="003723E4" w:rsidRPr="00D12296">
        <w:rPr>
          <w:rFonts w:ascii="Calibri" w:hAnsi="Calibri" w:cs="Calibri"/>
          <w:bCs/>
          <w:noProof/>
          <w:sz w:val="24"/>
          <w:szCs w:val="24"/>
        </w:rPr>
        <w:t>[</w:t>
      </w:r>
      <w:r w:rsidR="00B26031" w:rsidRPr="00D12296">
        <w:rPr>
          <w:rFonts w:ascii="Calibri" w:hAnsi="Calibri" w:cs="Calibri"/>
          <w:bCs/>
          <w:noProof/>
          <w:sz w:val="24"/>
          <w:szCs w:val="24"/>
        </w:rPr>
        <w:t>1</w:t>
      </w:r>
      <w:r w:rsidR="003723E4" w:rsidRPr="00D12296">
        <w:rPr>
          <w:rFonts w:ascii="Calibri" w:hAnsi="Calibri" w:cs="Calibri"/>
          <w:bCs/>
          <w:noProof/>
          <w:sz w:val="24"/>
          <w:szCs w:val="24"/>
        </w:rPr>
        <w:t>]</w:t>
      </w:r>
      <w:r w:rsidR="00B26031" w:rsidRPr="00D12296">
        <w:rPr>
          <w:rFonts w:ascii="Calibri" w:hAnsi="Calibri" w:cs="Calibri"/>
          <w:b/>
          <w:bCs/>
          <w:sz w:val="24"/>
          <w:szCs w:val="24"/>
        </w:rPr>
        <w:fldChar w:fldCharType="end"/>
      </w:r>
      <w:r w:rsidR="00D12296" w:rsidRPr="00D12296">
        <w:rPr>
          <w:rFonts w:ascii="Calibri" w:hAnsi="Calibri" w:cs="Calibri"/>
          <w:b/>
          <w:bCs/>
          <w:color w:val="FF0000"/>
          <w:sz w:val="24"/>
          <w:szCs w:val="24"/>
        </w:rPr>
        <w:t xml:space="preserve"> </w:t>
      </w:r>
    </w:p>
    <w:tbl>
      <w:tblPr>
        <w:tblStyle w:val="TableGrid4"/>
        <w:tblW w:w="14170" w:type="dxa"/>
        <w:tblLook w:val="04A0" w:firstRow="1" w:lastRow="0" w:firstColumn="1" w:lastColumn="0" w:noHBand="0" w:noVBand="1"/>
      </w:tblPr>
      <w:tblGrid>
        <w:gridCol w:w="451"/>
        <w:gridCol w:w="2514"/>
        <w:gridCol w:w="3267"/>
        <w:gridCol w:w="3828"/>
        <w:gridCol w:w="4110"/>
      </w:tblGrid>
      <w:tr w:rsidR="00D82224" w:rsidRPr="00D12296" w14:paraId="7D8A783A" w14:textId="77777777" w:rsidTr="0087653A">
        <w:trPr>
          <w:cantSplit/>
          <w:tblHeader/>
        </w:trPr>
        <w:tc>
          <w:tcPr>
            <w:tcW w:w="451" w:type="dxa"/>
          </w:tcPr>
          <w:p w14:paraId="00D16F42" w14:textId="77777777" w:rsidR="00D82224" w:rsidRPr="00D12296" w:rsidRDefault="00D82224" w:rsidP="009B561A">
            <w:pPr>
              <w:spacing w:line="276" w:lineRule="auto"/>
              <w:jc w:val="center"/>
              <w:rPr>
                <w:rFonts w:ascii="Calibri" w:hAnsi="Calibri" w:cs="Calibri"/>
                <w:color w:val="FF0000"/>
                <w:sz w:val="20"/>
                <w:szCs w:val="20"/>
              </w:rPr>
            </w:pPr>
          </w:p>
        </w:tc>
        <w:tc>
          <w:tcPr>
            <w:tcW w:w="2514" w:type="dxa"/>
          </w:tcPr>
          <w:p w14:paraId="7DA5E893" w14:textId="77777777" w:rsidR="00D82224" w:rsidRPr="00D12296" w:rsidRDefault="00D82224" w:rsidP="009B561A">
            <w:pPr>
              <w:spacing w:line="276" w:lineRule="auto"/>
              <w:jc w:val="center"/>
              <w:rPr>
                <w:rFonts w:ascii="Calibri" w:hAnsi="Calibri" w:cs="Calibri"/>
                <w:b/>
                <w:bCs/>
                <w:sz w:val="20"/>
                <w:szCs w:val="20"/>
              </w:rPr>
            </w:pPr>
            <w:r w:rsidRPr="00D12296">
              <w:rPr>
                <w:rFonts w:ascii="Calibri" w:hAnsi="Calibri" w:cs="Calibri"/>
                <w:b/>
                <w:bCs/>
                <w:sz w:val="20"/>
                <w:szCs w:val="20"/>
              </w:rPr>
              <w:t>Author and Year</w:t>
            </w:r>
          </w:p>
        </w:tc>
        <w:tc>
          <w:tcPr>
            <w:tcW w:w="3267" w:type="dxa"/>
          </w:tcPr>
          <w:p w14:paraId="60D8590C" w14:textId="77777777" w:rsidR="00D82224" w:rsidRPr="00D12296" w:rsidRDefault="00D82224" w:rsidP="009B561A">
            <w:pPr>
              <w:spacing w:line="276" w:lineRule="auto"/>
              <w:jc w:val="center"/>
              <w:rPr>
                <w:rFonts w:ascii="Calibri" w:hAnsi="Calibri" w:cs="Calibri"/>
                <w:sz w:val="20"/>
                <w:szCs w:val="20"/>
              </w:rPr>
            </w:pPr>
            <w:r w:rsidRPr="00D12296">
              <w:rPr>
                <w:rFonts w:ascii="Calibri" w:hAnsi="Calibri" w:cs="Calibri"/>
                <w:b/>
                <w:bCs/>
                <w:sz w:val="20"/>
                <w:szCs w:val="20"/>
              </w:rPr>
              <w:t>Aims Methods Participants</w:t>
            </w:r>
          </w:p>
        </w:tc>
        <w:tc>
          <w:tcPr>
            <w:tcW w:w="3828" w:type="dxa"/>
          </w:tcPr>
          <w:p w14:paraId="66DCFA4C" w14:textId="77777777" w:rsidR="00D82224" w:rsidRPr="00D12296" w:rsidRDefault="00D82224" w:rsidP="009B561A">
            <w:pPr>
              <w:spacing w:line="276" w:lineRule="auto"/>
              <w:jc w:val="center"/>
              <w:rPr>
                <w:rFonts w:ascii="Calibri" w:hAnsi="Calibri" w:cs="Calibri"/>
                <w:b/>
                <w:bCs/>
                <w:sz w:val="20"/>
                <w:szCs w:val="20"/>
              </w:rPr>
            </w:pPr>
            <w:r w:rsidRPr="00D12296">
              <w:rPr>
                <w:rFonts w:ascii="Calibri" w:hAnsi="Calibri" w:cs="Calibri"/>
                <w:b/>
                <w:bCs/>
                <w:sz w:val="20"/>
                <w:szCs w:val="20"/>
              </w:rPr>
              <w:t>Results</w:t>
            </w:r>
          </w:p>
        </w:tc>
        <w:tc>
          <w:tcPr>
            <w:tcW w:w="4110" w:type="dxa"/>
          </w:tcPr>
          <w:p w14:paraId="467B26C0" w14:textId="77777777" w:rsidR="00D82224" w:rsidRPr="00D12296" w:rsidRDefault="00D82224" w:rsidP="009B561A">
            <w:pPr>
              <w:spacing w:line="276" w:lineRule="auto"/>
              <w:jc w:val="center"/>
              <w:rPr>
                <w:rFonts w:ascii="Calibri" w:hAnsi="Calibri" w:cs="Calibri"/>
                <w:b/>
                <w:bCs/>
                <w:sz w:val="20"/>
                <w:szCs w:val="20"/>
              </w:rPr>
            </w:pPr>
            <w:r w:rsidRPr="00D12296">
              <w:rPr>
                <w:rFonts w:ascii="Calibri" w:hAnsi="Calibri" w:cs="Calibri"/>
                <w:b/>
                <w:bCs/>
                <w:sz w:val="20"/>
                <w:szCs w:val="20"/>
              </w:rPr>
              <w:t>Discussion/Conclusions</w:t>
            </w:r>
          </w:p>
        </w:tc>
      </w:tr>
      <w:tr w:rsidR="00D82224" w:rsidRPr="009B561A" w14:paraId="7576507F" w14:textId="77777777" w:rsidTr="0087653A">
        <w:tc>
          <w:tcPr>
            <w:tcW w:w="451" w:type="dxa"/>
          </w:tcPr>
          <w:p w14:paraId="4433392A" w14:textId="77777777" w:rsidR="00D82224" w:rsidRPr="00D12296" w:rsidRDefault="00D82224" w:rsidP="009B561A">
            <w:pPr>
              <w:spacing w:line="276" w:lineRule="auto"/>
              <w:rPr>
                <w:rFonts w:ascii="Calibri" w:hAnsi="Calibri" w:cs="Calibri"/>
                <w:sz w:val="20"/>
                <w:szCs w:val="20"/>
              </w:rPr>
            </w:pPr>
            <w:r w:rsidRPr="00D12296">
              <w:rPr>
                <w:rFonts w:ascii="Calibri" w:hAnsi="Calibri" w:cs="Calibri"/>
                <w:sz w:val="20"/>
                <w:szCs w:val="20"/>
              </w:rPr>
              <w:t>1</w:t>
            </w:r>
          </w:p>
        </w:tc>
        <w:tc>
          <w:tcPr>
            <w:tcW w:w="2514" w:type="dxa"/>
          </w:tcPr>
          <w:p w14:paraId="7C24CFE7" w14:textId="73A258C5" w:rsidR="00D82224" w:rsidRPr="00D12296" w:rsidRDefault="00D82224" w:rsidP="009B561A">
            <w:pPr>
              <w:spacing w:line="276" w:lineRule="auto"/>
              <w:rPr>
                <w:rFonts w:ascii="Calibri" w:hAnsi="Calibri" w:cs="Calibri"/>
                <w:b/>
                <w:bCs/>
                <w:sz w:val="20"/>
                <w:szCs w:val="20"/>
                <w:vertAlign w:val="superscript"/>
              </w:rPr>
            </w:pPr>
            <w:r w:rsidRPr="00D12296">
              <w:rPr>
                <w:rFonts w:ascii="Calibri" w:hAnsi="Calibri" w:cs="Calibri"/>
                <w:b/>
                <w:bCs/>
                <w:sz w:val="20"/>
                <w:szCs w:val="20"/>
              </w:rPr>
              <w:t xml:space="preserve">Burns et al (2015) </w:t>
            </w:r>
            <w:r w:rsidR="00B41190" w:rsidRPr="00D12296">
              <w:rPr>
                <w:rFonts w:ascii="Calibri" w:hAnsi="Calibri" w:cs="Calibri"/>
                <w:b/>
                <w:bCs/>
                <w:sz w:val="20"/>
                <w:szCs w:val="20"/>
              </w:rPr>
              <w:fldChar w:fldCharType="begin" w:fldLock="1"/>
            </w:r>
            <w:r w:rsidR="00B41190" w:rsidRPr="00D12296">
              <w:rPr>
                <w:rFonts w:ascii="Calibri" w:hAnsi="Calibri" w:cs="Calibri"/>
                <w:b/>
                <w:bCs/>
                <w:sz w:val="20"/>
                <w:szCs w:val="20"/>
              </w:rPr>
              <w:instrText>ADDIN CSL_CITATION {"citationItems":[{"id":"ITEM-1","itemData":{"DOI":"10.1016/j.jhin.2014.12.006","ISSN":"15322939","PMID":"25638357","abstract":"In the context of an ageing European population, point prevalence surveys (PPS) of healthcare-associated infection and antimicrobial use in long-term care facilities (HALT) in Europe were commissioned by the European Centre for Disease Prevention and Control. Sixty-nine Irish long-term care facilities (LTCFs) took part in the first survey in 2010. A series of interventions to raise the profile of infection prevention and control and antimicrobial stewardship in Irish LTCFs followed. HALT was repeated in Ireland in 2011, with 108 participating LTCFs, and again in 2013 as part of the second European HALT survey, with 190 participating LTCFs. The latest Irish HALT report incorporates data from the three PPSs to date, and discusses the findings and the national implementation priorities recommended by the Irish multi-disciplinary steering group. Ireland contributed ~10% of the total resident population in both of the European HALT PPSs. This, and the growing number of participating LTCFs, shows that healthcare professionals in Irish LTCFs are committed to improving the quality and safety of resident care.","author":[{"dropping-particle":"","family":"Burns","given":"K.","non-dropping-particle":"","parse-names":false,"suffix":""},{"dropping-particle":"","family":"Roche","given":"F.","non-dropping-particle":"","parse-names":false,"suffix":""},{"dropping-particle":"","family":"Donlon","given":"S.","non-dropping-particle":"","parse-names":false,"suffix":""}],"container-title":"Journal of Hospital Infection","id":"ITEM-1","issue":"4","issued":{"date-parts":[["2015"]]},"number-of-pages":"276-280","publisher":"W.B. Saunders Ltd","title":"Healthcare-associated infections and antimicrobial use in long-term care facilities: The Irish experience with the HALT surveys","type":"report","volume":"89"},"uris":["http://www.mendeley.com/documents/?uuid=6ac1ca2a-a6a1-3313-983e-c75183350f64"]}],"mendeley":{"formattedCitation":"(29)","plainTextFormattedCitation":"(29)","previouslyFormattedCitation":"(29)"},"properties":{"noteIndex":0},"schema":"https://github.com/citation-style-language/schema/raw/master/csl-citation.json"}</w:instrText>
            </w:r>
            <w:r w:rsidR="00B41190" w:rsidRPr="00D12296">
              <w:rPr>
                <w:rFonts w:ascii="Calibri" w:hAnsi="Calibri" w:cs="Calibri"/>
                <w:b/>
                <w:bCs/>
                <w:sz w:val="20"/>
                <w:szCs w:val="20"/>
              </w:rPr>
              <w:fldChar w:fldCharType="separate"/>
            </w:r>
            <w:r w:rsidR="00D12296" w:rsidRPr="00D12296">
              <w:rPr>
                <w:rFonts w:ascii="Calibri" w:hAnsi="Calibri" w:cs="Calibri"/>
                <w:sz w:val="20"/>
                <w:szCs w:val="20"/>
              </w:rPr>
              <w:t>[</w:t>
            </w:r>
            <w:r w:rsidR="00B41190" w:rsidRPr="00D12296">
              <w:rPr>
                <w:rFonts w:ascii="Calibri" w:hAnsi="Calibri" w:cs="Calibri"/>
                <w:bCs/>
                <w:noProof/>
                <w:sz w:val="20"/>
                <w:szCs w:val="20"/>
              </w:rPr>
              <w:t>29</w:t>
            </w:r>
            <w:r w:rsidR="00D12296" w:rsidRPr="00D12296">
              <w:rPr>
                <w:rFonts w:ascii="Calibri" w:hAnsi="Calibri" w:cs="Calibri"/>
                <w:bCs/>
                <w:noProof/>
                <w:sz w:val="20"/>
                <w:szCs w:val="20"/>
              </w:rPr>
              <w:t>]</w:t>
            </w:r>
            <w:r w:rsidR="00B41190" w:rsidRPr="00D12296">
              <w:rPr>
                <w:rFonts w:ascii="Calibri" w:hAnsi="Calibri" w:cs="Calibri"/>
                <w:b/>
                <w:bCs/>
                <w:sz w:val="20"/>
                <w:szCs w:val="20"/>
              </w:rPr>
              <w:fldChar w:fldCharType="end"/>
            </w:r>
            <w:r w:rsidR="00D12296" w:rsidRPr="00D12296">
              <w:rPr>
                <w:rFonts w:ascii="Calibri" w:hAnsi="Calibri" w:cs="Calibri"/>
                <w:b/>
                <w:bCs/>
                <w:sz w:val="20"/>
                <w:szCs w:val="20"/>
                <w:vertAlign w:val="superscript"/>
              </w:rPr>
              <w:t xml:space="preserve"> </w:t>
            </w:r>
          </w:p>
          <w:p w14:paraId="2B48D458" w14:textId="77777777" w:rsidR="00D82224" w:rsidRPr="00D12296" w:rsidRDefault="00D82224" w:rsidP="009B561A">
            <w:pPr>
              <w:spacing w:line="276" w:lineRule="auto"/>
              <w:rPr>
                <w:rFonts w:ascii="Calibri" w:hAnsi="Calibri" w:cs="Calibri"/>
                <w:sz w:val="20"/>
                <w:szCs w:val="20"/>
              </w:rPr>
            </w:pPr>
            <w:r w:rsidRPr="00D12296">
              <w:rPr>
                <w:rFonts w:ascii="Calibri" w:hAnsi="Calibri" w:cs="Calibri"/>
                <w:sz w:val="20"/>
                <w:szCs w:val="20"/>
              </w:rPr>
              <w:t>Healthcare-associated infections and antimicrobial use in long-term care facilities: the Irish experience with the HALT surveys</w:t>
            </w:r>
          </w:p>
          <w:p w14:paraId="2406FE86" w14:textId="77777777" w:rsidR="00D82224" w:rsidRPr="00D12296" w:rsidRDefault="00D82224" w:rsidP="009B561A">
            <w:pPr>
              <w:spacing w:line="276" w:lineRule="auto"/>
              <w:rPr>
                <w:rFonts w:ascii="Calibri" w:hAnsi="Calibri" w:cs="Calibri"/>
                <w:sz w:val="20"/>
                <w:szCs w:val="20"/>
              </w:rPr>
            </w:pPr>
          </w:p>
          <w:p w14:paraId="3B5F2A41" w14:textId="77777777" w:rsidR="00D82224" w:rsidRPr="00D12296" w:rsidRDefault="00D82224" w:rsidP="009B561A">
            <w:pPr>
              <w:spacing w:line="276" w:lineRule="auto"/>
              <w:rPr>
                <w:rFonts w:ascii="Calibri" w:hAnsi="Calibri" w:cs="Calibri"/>
                <w:b/>
                <w:bCs/>
                <w:sz w:val="20"/>
                <w:szCs w:val="20"/>
              </w:rPr>
            </w:pPr>
            <w:r w:rsidRPr="00D12296">
              <w:rPr>
                <w:rFonts w:ascii="Calibri" w:hAnsi="Calibri" w:cs="Calibri"/>
                <w:b/>
                <w:bCs/>
                <w:sz w:val="20"/>
                <w:szCs w:val="20"/>
              </w:rPr>
              <w:t>* Links with Table SRC D</w:t>
            </w:r>
          </w:p>
        </w:tc>
        <w:tc>
          <w:tcPr>
            <w:tcW w:w="3267" w:type="dxa"/>
          </w:tcPr>
          <w:p w14:paraId="4CE4D5B5" w14:textId="77777777" w:rsidR="00D82224" w:rsidRPr="00D12296" w:rsidRDefault="00D82224" w:rsidP="009B561A">
            <w:pPr>
              <w:spacing w:line="276" w:lineRule="auto"/>
              <w:rPr>
                <w:rFonts w:ascii="Calibri" w:hAnsi="Calibri" w:cs="Calibri"/>
                <w:color w:val="000000" w:themeColor="text1"/>
                <w:sz w:val="20"/>
                <w:szCs w:val="20"/>
              </w:rPr>
            </w:pPr>
            <w:r w:rsidRPr="00D12296">
              <w:rPr>
                <w:rFonts w:ascii="Calibri" w:hAnsi="Calibri" w:cs="Calibri"/>
                <w:b/>
                <w:bCs/>
                <w:color w:val="000000" w:themeColor="text1"/>
                <w:sz w:val="20"/>
                <w:szCs w:val="20"/>
              </w:rPr>
              <w:t>Aims</w:t>
            </w:r>
            <w:r w:rsidRPr="00D12296">
              <w:rPr>
                <w:rFonts w:ascii="Calibri" w:hAnsi="Calibri" w:cs="Calibri"/>
                <w:color w:val="000000" w:themeColor="text1"/>
                <w:sz w:val="20"/>
                <w:szCs w:val="20"/>
              </w:rPr>
              <w:t>: To</w:t>
            </w:r>
            <w:r w:rsidRPr="00D12296">
              <w:rPr>
                <w:rFonts w:ascii="Calibri" w:hAnsi="Calibri" w:cs="Calibri"/>
                <w:b/>
                <w:bCs/>
                <w:color w:val="000000" w:themeColor="text1"/>
                <w:sz w:val="20"/>
                <w:szCs w:val="20"/>
              </w:rPr>
              <w:t xml:space="preserve"> </w:t>
            </w:r>
            <w:r w:rsidRPr="00D12296">
              <w:rPr>
                <w:rFonts w:ascii="Calibri" w:hAnsi="Calibri" w:cs="Calibri"/>
                <w:color w:val="000000" w:themeColor="text1"/>
                <w:sz w:val="20"/>
                <w:szCs w:val="20"/>
              </w:rPr>
              <w:t xml:space="preserve">incorporates data from the three PPSs to date discusses the findings and the national implementation priorities. </w:t>
            </w:r>
          </w:p>
          <w:p w14:paraId="01E74F48" w14:textId="77777777" w:rsidR="00D82224" w:rsidRPr="00D12296" w:rsidRDefault="00D82224" w:rsidP="009B561A">
            <w:pPr>
              <w:spacing w:line="276" w:lineRule="auto"/>
              <w:rPr>
                <w:rFonts w:ascii="Calibri" w:hAnsi="Calibri" w:cs="Calibri"/>
                <w:b/>
                <w:bCs/>
                <w:color w:val="000000" w:themeColor="text1"/>
                <w:sz w:val="20"/>
                <w:szCs w:val="20"/>
              </w:rPr>
            </w:pPr>
            <w:r w:rsidRPr="00D12296">
              <w:rPr>
                <w:rFonts w:ascii="Calibri" w:hAnsi="Calibri" w:cs="Calibri"/>
                <w:b/>
                <w:bCs/>
                <w:color w:val="000000" w:themeColor="text1"/>
                <w:sz w:val="20"/>
                <w:szCs w:val="20"/>
              </w:rPr>
              <w:t>Methods:</w:t>
            </w:r>
            <w:r w:rsidRPr="00D12296">
              <w:rPr>
                <w:rFonts w:ascii="Calibri" w:hAnsi="Calibri" w:cs="Calibri"/>
                <w:color w:val="000000" w:themeColor="text1"/>
                <w:sz w:val="20"/>
                <w:szCs w:val="20"/>
              </w:rPr>
              <w:t xml:space="preserve"> A review of 3 PPS(HALT)2010,2011 and 2016</w:t>
            </w:r>
          </w:p>
          <w:p w14:paraId="21D93E6C" w14:textId="77777777" w:rsidR="00D82224" w:rsidRPr="00D12296" w:rsidRDefault="00D82224" w:rsidP="009B561A">
            <w:pPr>
              <w:spacing w:line="276" w:lineRule="auto"/>
              <w:rPr>
                <w:rFonts w:ascii="Calibri" w:hAnsi="Calibri" w:cs="Calibri"/>
                <w:color w:val="000000" w:themeColor="text1"/>
                <w:sz w:val="20"/>
                <w:szCs w:val="20"/>
              </w:rPr>
            </w:pPr>
            <w:r w:rsidRPr="00D12296">
              <w:rPr>
                <w:rFonts w:ascii="Calibri" w:hAnsi="Calibri" w:cs="Calibri"/>
                <w:b/>
                <w:bCs/>
                <w:color w:val="000000" w:themeColor="text1"/>
                <w:sz w:val="20"/>
                <w:szCs w:val="20"/>
              </w:rPr>
              <w:t>Participants:</w:t>
            </w:r>
            <w:r w:rsidRPr="00D12296">
              <w:rPr>
                <w:rFonts w:ascii="Calibri" w:hAnsi="Calibri" w:cs="Calibri"/>
                <w:color w:val="000000" w:themeColor="text1"/>
                <w:sz w:val="20"/>
                <w:szCs w:val="20"/>
              </w:rPr>
              <w:t xml:space="preserve"> (LTCFs)</w:t>
            </w:r>
          </w:p>
          <w:p w14:paraId="263C70BB" w14:textId="77777777" w:rsidR="00D82224" w:rsidRPr="00D12296" w:rsidRDefault="00D82224" w:rsidP="009B561A">
            <w:pPr>
              <w:spacing w:line="276" w:lineRule="auto"/>
              <w:rPr>
                <w:rFonts w:ascii="Calibri" w:hAnsi="Calibri" w:cs="Calibri"/>
                <w:color w:val="000000" w:themeColor="text1"/>
                <w:sz w:val="20"/>
                <w:szCs w:val="20"/>
              </w:rPr>
            </w:pPr>
            <w:r w:rsidRPr="00D12296">
              <w:rPr>
                <w:rFonts w:ascii="Calibri" w:hAnsi="Calibri" w:cs="Calibri"/>
                <w:color w:val="000000" w:themeColor="text1"/>
                <w:sz w:val="20"/>
                <w:szCs w:val="20"/>
              </w:rPr>
              <w:t xml:space="preserve"> 69 in 2010 </w:t>
            </w:r>
          </w:p>
          <w:p w14:paraId="77BD88F3" w14:textId="77777777" w:rsidR="00D82224" w:rsidRPr="00D12296" w:rsidRDefault="00D82224" w:rsidP="009B561A">
            <w:pPr>
              <w:spacing w:line="276" w:lineRule="auto"/>
              <w:rPr>
                <w:rFonts w:ascii="Calibri" w:hAnsi="Calibri" w:cs="Calibri"/>
                <w:color w:val="000000" w:themeColor="text1"/>
                <w:sz w:val="20"/>
                <w:szCs w:val="20"/>
              </w:rPr>
            </w:pPr>
            <w:r w:rsidRPr="00D12296">
              <w:rPr>
                <w:rFonts w:ascii="Calibri" w:hAnsi="Calibri" w:cs="Calibri"/>
                <w:color w:val="000000" w:themeColor="text1"/>
                <w:sz w:val="20"/>
                <w:szCs w:val="20"/>
              </w:rPr>
              <w:t xml:space="preserve"> 108 in 2011 </w:t>
            </w:r>
          </w:p>
          <w:p w14:paraId="3D3BDC5F" w14:textId="77777777" w:rsidR="00D82224" w:rsidRPr="00D12296" w:rsidRDefault="00D82224" w:rsidP="009B561A">
            <w:pPr>
              <w:spacing w:line="276" w:lineRule="auto"/>
              <w:rPr>
                <w:rFonts w:ascii="Calibri" w:hAnsi="Calibri" w:cs="Calibri"/>
                <w:color w:val="000000" w:themeColor="text1"/>
                <w:sz w:val="20"/>
                <w:szCs w:val="20"/>
              </w:rPr>
            </w:pPr>
            <w:r w:rsidRPr="00D12296">
              <w:rPr>
                <w:rFonts w:ascii="Calibri" w:hAnsi="Calibri" w:cs="Calibri"/>
                <w:color w:val="000000" w:themeColor="text1"/>
                <w:sz w:val="20"/>
                <w:szCs w:val="20"/>
              </w:rPr>
              <w:t xml:space="preserve"> 190 in 2013</w:t>
            </w:r>
          </w:p>
          <w:p w14:paraId="3C81F95C" w14:textId="77777777" w:rsidR="00D82224" w:rsidRPr="00D12296" w:rsidRDefault="00D82224" w:rsidP="009B561A">
            <w:pPr>
              <w:spacing w:line="276" w:lineRule="auto"/>
              <w:rPr>
                <w:rFonts w:ascii="Calibri" w:hAnsi="Calibri" w:cs="Calibri"/>
                <w:color w:val="000000" w:themeColor="text1"/>
                <w:sz w:val="20"/>
                <w:szCs w:val="20"/>
              </w:rPr>
            </w:pPr>
            <w:r w:rsidRPr="00D12296">
              <w:rPr>
                <w:rFonts w:ascii="Calibri" w:hAnsi="Calibri" w:cs="Calibri"/>
                <w:b/>
                <w:bCs/>
                <w:color w:val="000000" w:themeColor="text1"/>
                <w:sz w:val="20"/>
                <w:szCs w:val="20"/>
              </w:rPr>
              <w:t xml:space="preserve">Recruitment: </w:t>
            </w:r>
            <w:r w:rsidRPr="00D12296">
              <w:rPr>
                <w:rFonts w:ascii="Calibri" w:hAnsi="Calibri" w:cs="Calibri"/>
                <w:color w:val="000000" w:themeColor="text1"/>
                <w:sz w:val="20"/>
                <w:szCs w:val="20"/>
              </w:rPr>
              <w:t>NA (secondary data)</w:t>
            </w:r>
          </w:p>
          <w:p w14:paraId="614817E2" w14:textId="77777777" w:rsidR="00D82224" w:rsidRPr="00D12296" w:rsidRDefault="00D82224" w:rsidP="009B561A">
            <w:pPr>
              <w:spacing w:line="276" w:lineRule="auto"/>
              <w:rPr>
                <w:rFonts w:ascii="Calibri" w:hAnsi="Calibri" w:cs="Calibri"/>
                <w:b/>
                <w:bCs/>
                <w:sz w:val="20"/>
                <w:szCs w:val="20"/>
              </w:rPr>
            </w:pPr>
          </w:p>
        </w:tc>
        <w:tc>
          <w:tcPr>
            <w:tcW w:w="3828" w:type="dxa"/>
          </w:tcPr>
          <w:p w14:paraId="25C934A9" w14:textId="77777777" w:rsidR="00D82224" w:rsidRPr="00D12296" w:rsidRDefault="00D82224" w:rsidP="009B561A">
            <w:pPr>
              <w:spacing w:line="276" w:lineRule="auto"/>
              <w:rPr>
                <w:rFonts w:ascii="Calibri" w:hAnsi="Calibri" w:cs="Calibri"/>
                <w:sz w:val="20"/>
                <w:szCs w:val="20"/>
              </w:rPr>
            </w:pPr>
            <w:r w:rsidRPr="00D12296">
              <w:rPr>
                <w:rFonts w:ascii="Calibri" w:hAnsi="Calibri" w:cs="Calibri"/>
                <w:sz w:val="20"/>
                <w:szCs w:val="20"/>
              </w:rPr>
              <w:t xml:space="preserve">2010 HALT European median prevalence of antimicrobial use of 3.4% and the prevalence of </w:t>
            </w:r>
            <w:r w:rsidRPr="00D12296">
              <w:rPr>
                <w:rFonts w:ascii="Calibri" w:hAnsi="Calibri" w:cs="Calibri"/>
                <w:b/>
                <w:bCs/>
                <w:sz w:val="20"/>
                <w:szCs w:val="20"/>
              </w:rPr>
              <w:t>11.1%</w:t>
            </w:r>
            <w:r w:rsidRPr="00D12296">
              <w:rPr>
                <w:rFonts w:ascii="Calibri" w:hAnsi="Calibri" w:cs="Calibri"/>
                <w:sz w:val="20"/>
                <w:szCs w:val="20"/>
              </w:rPr>
              <w:t xml:space="preserve"> reported for Ireland, which ranked among the highest in Europe. </w:t>
            </w:r>
          </w:p>
          <w:p w14:paraId="32F5FF07" w14:textId="77777777" w:rsidR="00D82224" w:rsidRPr="00D12296" w:rsidRDefault="00D82224" w:rsidP="009B561A">
            <w:pPr>
              <w:spacing w:line="276" w:lineRule="auto"/>
              <w:rPr>
                <w:rFonts w:ascii="Calibri" w:hAnsi="Calibri" w:cs="Calibri"/>
                <w:sz w:val="20"/>
                <w:szCs w:val="20"/>
              </w:rPr>
            </w:pPr>
            <w:r w:rsidRPr="00D12296">
              <w:rPr>
                <w:rFonts w:ascii="Calibri" w:hAnsi="Calibri" w:cs="Calibri"/>
                <w:sz w:val="20"/>
                <w:szCs w:val="20"/>
              </w:rPr>
              <w:t>national median prevalence of antimicrobial use between 2011 and 2013 (10% vs 9.7%).</w:t>
            </w:r>
          </w:p>
        </w:tc>
        <w:tc>
          <w:tcPr>
            <w:tcW w:w="4110" w:type="dxa"/>
          </w:tcPr>
          <w:p w14:paraId="22457BE6" w14:textId="77777777" w:rsidR="00D82224" w:rsidRPr="00D12296" w:rsidRDefault="00D82224" w:rsidP="009B561A">
            <w:pPr>
              <w:spacing w:line="276" w:lineRule="auto"/>
              <w:rPr>
                <w:rFonts w:ascii="Calibri" w:hAnsi="Calibri" w:cs="Calibri"/>
                <w:sz w:val="20"/>
                <w:szCs w:val="20"/>
              </w:rPr>
            </w:pPr>
            <w:r w:rsidRPr="00D12296">
              <w:rPr>
                <w:rFonts w:ascii="Calibri" w:hAnsi="Calibri" w:cs="Calibri"/>
                <w:sz w:val="20"/>
                <w:szCs w:val="20"/>
              </w:rPr>
              <w:t xml:space="preserve">Participation in the three HALT PPSs conducted in Ireland has increased. </w:t>
            </w:r>
          </w:p>
          <w:p w14:paraId="5EAEDD8D" w14:textId="77777777" w:rsidR="00D82224" w:rsidRPr="009B561A" w:rsidRDefault="00D82224" w:rsidP="009B561A">
            <w:pPr>
              <w:spacing w:line="276" w:lineRule="auto"/>
              <w:rPr>
                <w:rFonts w:ascii="Calibri" w:hAnsi="Calibri" w:cs="Calibri"/>
                <w:sz w:val="20"/>
                <w:szCs w:val="20"/>
              </w:rPr>
            </w:pPr>
            <w:r w:rsidRPr="00D12296">
              <w:rPr>
                <w:rFonts w:ascii="Calibri" w:hAnsi="Calibri" w:cs="Calibri"/>
                <w:sz w:val="20"/>
                <w:szCs w:val="20"/>
              </w:rPr>
              <w:t>To identify areas for quality improvement</w:t>
            </w:r>
          </w:p>
        </w:tc>
      </w:tr>
      <w:tr w:rsidR="00D82224" w:rsidRPr="009B561A" w14:paraId="369F29FD" w14:textId="77777777" w:rsidTr="0087653A">
        <w:tc>
          <w:tcPr>
            <w:tcW w:w="451" w:type="dxa"/>
          </w:tcPr>
          <w:p w14:paraId="56FB1604"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2</w:t>
            </w:r>
          </w:p>
        </w:tc>
        <w:tc>
          <w:tcPr>
            <w:tcW w:w="2514" w:type="dxa"/>
          </w:tcPr>
          <w:p w14:paraId="79887749" w14:textId="0DA50BDE" w:rsidR="00D82224" w:rsidRPr="00D12296" w:rsidRDefault="00D82224" w:rsidP="009B561A">
            <w:pPr>
              <w:spacing w:line="276" w:lineRule="auto"/>
              <w:rPr>
                <w:rFonts w:ascii="Calibri" w:hAnsi="Calibri" w:cs="Calibri"/>
                <w:b/>
                <w:bCs/>
                <w:sz w:val="20"/>
                <w:szCs w:val="20"/>
                <w:vertAlign w:val="superscript"/>
              </w:rPr>
            </w:pPr>
            <w:proofErr w:type="spellStart"/>
            <w:r w:rsidRPr="00D12296">
              <w:rPr>
                <w:rFonts w:ascii="Calibri" w:hAnsi="Calibri" w:cs="Calibri"/>
                <w:b/>
                <w:bCs/>
                <w:sz w:val="20"/>
                <w:szCs w:val="20"/>
              </w:rPr>
              <w:t>Cunney</w:t>
            </w:r>
            <w:proofErr w:type="spellEnd"/>
            <w:r w:rsidRPr="00D12296">
              <w:rPr>
                <w:rFonts w:ascii="Calibri" w:hAnsi="Calibri" w:cs="Calibri"/>
                <w:b/>
                <w:bCs/>
                <w:sz w:val="20"/>
                <w:szCs w:val="20"/>
              </w:rPr>
              <w:t xml:space="preserve"> et al 2019 </w:t>
            </w:r>
            <w:r w:rsidR="002374B9" w:rsidRPr="00D12296">
              <w:rPr>
                <w:rFonts w:ascii="Calibri" w:hAnsi="Calibri" w:cs="Calibri"/>
                <w:b/>
                <w:bCs/>
                <w:sz w:val="20"/>
                <w:szCs w:val="20"/>
              </w:rPr>
              <w:fldChar w:fldCharType="begin" w:fldLock="1"/>
            </w:r>
            <w:r w:rsidR="00BB3A86" w:rsidRPr="00D12296">
              <w:rPr>
                <w:rFonts w:ascii="Calibri" w:hAnsi="Calibri" w:cs="Calibri"/>
                <w:b/>
                <w:bCs/>
                <w:sz w:val="20"/>
                <w:szCs w:val="20"/>
              </w:rPr>
              <w:instrText>ADDIN CSL_CITATION {"citationItems":[{"id":"ITEM-1","itemData":{"DOI":"10.1136/bmjoq-2018-000445","ISSN":"23996641","abstract":"Infection is the most frequent indication for non-scheduled admission to paediatric hospitals, leading to high levels of empiric antibiotic prescribing. Antibiotic prescribing in line with local guidelines, improves patient outcomes, reduces adverse drug events and helps to reduce the emergence of antimicrobial resistance. We undertook an improvement project at Temple Street Children's University Hospital targeting documentation of indication and compliance with empiric antibiotic prescribing guidelines among medical admissions via the emergency department (ED). Results of weekly audits of empiric antibiotic prescribing were fed back to prescribers. Front-line ownership techniques were used to empower prescribers to generate ideas for change, such as regular discussion of antibiotic prescribing issues at weekly clinical meetings, antibiotic ' spot quiz', updates to prescribing guidelines, improved access and promotion of a prescribing app, laminated guideline summary cards, and reminders and guideline summaries at a point of prescribing in ED. Documentation of indication and guideline compliance increased from a median of 30% in December 2014 to 100% in March 2015, and was sustained at 100% to September 2016, then 90% to December 2017. The intervention was associated with improvements in non-targeted indicators of prescribing quality, an overall reduction in antimicrobial consumption in the hospital, and a €105 000 reduction in annual antimicrobial acquisition costs. We found that a simple, paper-based, data collection system was effective, provided opportunities for a point-of-care interaction with prescribers, and facilitated weekly data feedback. We also found that using a pre-existing weekly clinical meeting to foster prescriber ownership of the data, allowing prescribers to identify possible tests of change, and exploiting the competitive nature of doctors, led to a rapid and sustained improvement in prescribing quality. Awareness of local prescribing processes and culture are essential to delivering improvements in antimicrobial stewardship.","author":[{"dropping-particle":"","family":"Cunney","given":"Robert","non-dropping-particle":"","parse-names":false,"suffix":""},{"dropping-particle":"","family":"Kirrane-Scott","given":"Michelle","non-dropping-particle":"","parse-names":false,"suffix":""},{"dropping-particle":"","family":"Rafferty","given":"Aisling","non-dropping-particle":"","parse-names":false,"suffix":""},{"dropping-particle":"","family":"Stapleton","given":"Patrick","non-dropping-particle":"","parse-names":false,"suffix":""},{"dropping-particle":"","family":"Okafor","given":"Ikechukwu","non-dropping-particle":"","parse-names":false,"suffix":""},{"dropping-particle":"","family":"Mcnamara","given":"Roisin","non-dropping-particle":"","parse-names":false,"suffix":""}],"container-title":"BMJ Open Quality","id":"ITEM-1","issue":"3","issued":{"date-parts":[["2019","8","1"]]},"publisher":"BMJ Publishing Group","title":"Start smart': Using front-line ownership to improve the quality of empiric antibiotic prescribing in a paediatric hospital","type":"article-journal","volume":"8"},"uris":["http://www.mendeley.com/documents/?uuid=e448f0ba-7e54-38f2-9fa0-974912a687c5"]}],"mendeley":{"formattedCitation":"(18)","plainTextFormattedCitation":"(18)","previouslyFormattedCitation":"(18)"},"properties":{"noteIndex":0},"schema":"https://github.com/citation-style-language/schema/raw/master/csl-citation.json"}</w:instrText>
            </w:r>
            <w:r w:rsidR="002374B9" w:rsidRPr="00D12296">
              <w:rPr>
                <w:rFonts w:ascii="Calibri" w:hAnsi="Calibri" w:cs="Calibri"/>
                <w:b/>
                <w:bCs/>
                <w:sz w:val="20"/>
                <w:szCs w:val="20"/>
              </w:rPr>
              <w:fldChar w:fldCharType="separate"/>
            </w:r>
            <w:r w:rsidR="00D12296" w:rsidRPr="00D12296">
              <w:rPr>
                <w:rFonts w:ascii="Calibri" w:hAnsi="Calibri" w:cs="Calibri"/>
                <w:sz w:val="20"/>
                <w:szCs w:val="20"/>
              </w:rPr>
              <w:t>[</w:t>
            </w:r>
            <w:r w:rsidR="002374B9" w:rsidRPr="00D12296">
              <w:rPr>
                <w:rFonts w:ascii="Calibri" w:hAnsi="Calibri" w:cs="Calibri"/>
                <w:bCs/>
                <w:noProof/>
                <w:sz w:val="20"/>
                <w:szCs w:val="20"/>
              </w:rPr>
              <w:t>18</w:t>
            </w:r>
            <w:r w:rsidR="00D12296" w:rsidRPr="00D12296">
              <w:rPr>
                <w:rFonts w:ascii="Calibri" w:hAnsi="Calibri" w:cs="Calibri"/>
                <w:bCs/>
                <w:noProof/>
                <w:sz w:val="20"/>
                <w:szCs w:val="20"/>
              </w:rPr>
              <w:t xml:space="preserve">]  </w:t>
            </w:r>
            <w:r w:rsidR="002374B9" w:rsidRPr="00D12296">
              <w:rPr>
                <w:rFonts w:ascii="Calibri" w:hAnsi="Calibri" w:cs="Calibri"/>
                <w:b/>
                <w:bCs/>
                <w:sz w:val="20"/>
                <w:szCs w:val="20"/>
              </w:rPr>
              <w:fldChar w:fldCharType="end"/>
            </w:r>
          </w:p>
          <w:p w14:paraId="03551193" w14:textId="77777777" w:rsidR="00D82224" w:rsidRPr="00D12296" w:rsidRDefault="00D82224" w:rsidP="009B561A">
            <w:pPr>
              <w:spacing w:line="276" w:lineRule="auto"/>
              <w:rPr>
                <w:rFonts w:ascii="Calibri" w:hAnsi="Calibri" w:cs="Calibri"/>
                <w:sz w:val="20"/>
                <w:szCs w:val="20"/>
              </w:rPr>
            </w:pPr>
            <w:r w:rsidRPr="00D12296">
              <w:rPr>
                <w:rFonts w:ascii="Calibri" w:hAnsi="Calibri" w:cs="Calibri"/>
                <w:sz w:val="20"/>
                <w:szCs w:val="20"/>
              </w:rPr>
              <w:t>Start smart’: using front-line ownership to improve the quality of empiric antibiotic prescribing in a paediatric hospital</w:t>
            </w:r>
          </w:p>
          <w:p w14:paraId="718FF729" w14:textId="77777777" w:rsidR="00D82224" w:rsidRPr="00D12296" w:rsidRDefault="00D82224" w:rsidP="009B561A">
            <w:pPr>
              <w:spacing w:line="276" w:lineRule="auto"/>
              <w:rPr>
                <w:rFonts w:ascii="Calibri" w:hAnsi="Calibri" w:cs="Calibri"/>
                <w:b/>
                <w:bCs/>
                <w:color w:val="000000" w:themeColor="text1"/>
                <w:sz w:val="20"/>
                <w:szCs w:val="20"/>
              </w:rPr>
            </w:pPr>
            <w:r w:rsidRPr="00D12296">
              <w:rPr>
                <w:rFonts w:ascii="Calibri" w:hAnsi="Calibri" w:cs="Calibri"/>
                <w:b/>
                <w:bCs/>
                <w:sz w:val="20"/>
                <w:szCs w:val="20"/>
              </w:rPr>
              <w:t>* Links with Table SRC B</w:t>
            </w:r>
          </w:p>
        </w:tc>
        <w:tc>
          <w:tcPr>
            <w:tcW w:w="3267" w:type="dxa"/>
          </w:tcPr>
          <w:p w14:paraId="3B09DA08" w14:textId="77777777" w:rsidR="00D82224" w:rsidRPr="009B561A" w:rsidRDefault="00D82224" w:rsidP="009B561A">
            <w:pPr>
              <w:spacing w:line="276" w:lineRule="auto"/>
              <w:rPr>
                <w:rFonts w:ascii="Calibri" w:hAnsi="Calibri" w:cs="Calibri"/>
                <w:b/>
                <w:bCs/>
                <w:color w:val="000000" w:themeColor="text1"/>
                <w:sz w:val="20"/>
                <w:szCs w:val="20"/>
              </w:rPr>
            </w:pPr>
          </w:p>
        </w:tc>
        <w:tc>
          <w:tcPr>
            <w:tcW w:w="3828" w:type="dxa"/>
          </w:tcPr>
          <w:p w14:paraId="03FE3250" w14:textId="77777777" w:rsidR="00D82224" w:rsidRPr="009B561A" w:rsidRDefault="00D82224" w:rsidP="009B561A">
            <w:pPr>
              <w:spacing w:line="276" w:lineRule="auto"/>
              <w:rPr>
                <w:rFonts w:ascii="Calibri" w:hAnsi="Calibri" w:cs="Calibri"/>
                <w:sz w:val="20"/>
                <w:szCs w:val="20"/>
              </w:rPr>
            </w:pPr>
          </w:p>
        </w:tc>
        <w:tc>
          <w:tcPr>
            <w:tcW w:w="4110" w:type="dxa"/>
          </w:tcPr>
          <w:p w14:paraId="49DCCC8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Previously mentioned in Table B</w:t>
            </w:r>
          </w:p>
        </w:tc>
      </w:tr>
      <w:tr w:rsidR="00D82224" w:rsidRPr="009B561A" w14:paraId="3FC21F39" w14:textId="77777777" w:rsidTr="0087653A">
        <w:tc>
          <w:tcPr>
            <w:tcW w:w="451" w:type="dxa"/>
          </w:tcPr>
          <w:p w14:paraId="131AABAD"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3</w:t>
            </w:r>
          </w:p>
        </w:tc>
        <w:tc>
          <w:tcPr>
            <w:tcW w:w="2514" w:type="dxa"/>
          </w:tcPr>
          <w:p w14:paraId="0138BA62" w14:textId="6D5A6E4C" w:rsidR="00D82224" w:rsidRPr="00D12296" w:rsidRDefault="00D82224" w:rsidP="009B561A">
            <w:pPr>
              <w:spacing w:line="276" w:lineRule="auto"/>
              <w:rPr>
                <w:rFonts w:ascii="Calibri" w:hAnsi="Calibri" w:cs="Calibri"/>
                <w:b/>
                <w:bCs/>
                <w:sz w:val="20"/>
                <w:szCs w:val="20"/>
                <w:vertAlign w:val="superscript"/>
              </w:rPr>
            </w:pPr>
            <w:r w:rsidRPr="00D12296">
              <w:rPr>
                <w:rFonts w:ascii="Calibri" w:hAnsi="Calibri" w:cs="Calibri"/>
                <w:b/>
                <w:bCs/>
                <w:color w:val="000000" w:themeColor="text1"/>
                <w:sz w:val="20"/>
                <w:szCs w:val="20"/>
              </w:rPr>
              <w:t>Dunn et al (2009)</w:t>
            </w:r>
            <w:r w:rsidRPr="00D12296">
              <w:rPr>
                <w:rFonts w:ascii="Calibri" w:hAnsi="Calibri" w:cs="Calibri"/>
                <w:b/>
                <w:bCs/>
                <w:color w:val="000000" w:themeColor="text1"/>
                <w:sz w:val="20"/>
                <w:szCs w:val="20"/>
                <w:vertAlign w:val="superscript"/>
              </w:rPr>
              <w:t xml:space="preserve"> </w:t>
            </w:r>
            <w:r w:rsidR="00B41190" w:rsidRPr="00D12296">
              <w:rPr>
                <w:rFonts w:ascii="Calibri" w:hAnsi="Calibri" w:cs="Calibri"/>
                <w:b/>
                <w:bCs/>
                <w:color w:val="000000" w:themeColor="text1"/>
                <w:sz w:val="20"/>
                <w:szCs w:val="20"/>
              </w:rPr>
              <w:fldChar w:fldCharType="begin" w:fldLock="1"/>
            </w:r>
            <w:r w:rsidR="002557F6" w:rsidRPr="00D12296">
              <w:rPr>
                <w:rFonts w:ascii="Calibri" w:hAnsi="Calibri" w:cs="Calibri"/>
                <w:b/>
                <w:bCs/>
                <w:color w:val="000000" w:themeColor="text1"/>
                <w:sz w:val="20"/>
                <w:szCs w:val="20"/>
              </w:rPr>
              <w:instrText>ADDIN CSL_CITATION {"citationItems":[{"id":"ITEM-1","itemData":{"DOI":"10.1007/s11096-010-9475-9","ISSN":"22107703","PMID":"21744190","abstract":"Sequential antimicrobial therapy is an important part of antimicrobial stewardship and intends to improve the timeliness of switch to oral antimicrobials. The aim of this study was to assess the impact of the introduction of guidelines and criteria for switching to oral antimicrobials. Setting The study was conducted in a 753-bed academic hospital in Ireland. Methods The study was prospective and of controlled before and after design. Patients admitted under the care of a medical consultant were screened for inclusion. The study was divided into pre-intervention and post-intervention phases. Patients admitted and prescribed IV antimicrobials were enrolled into either a study group or control group. Post-intervention, the intervention to the study group consisted of application of stickers and criteria for switch to oral antimicrobial therapy to the drug chart. Pre-intervention in the study group and in both phases in the control group, conventional practice of clinical pharmacists reviewing drug charts and contacting prescribers to discuss a switch to an oral antimicrobial continued. The duration of intravenous treatment, the timeliness of switch to oral therapy, length of stay and cost savings were measured. Main outcome measure The duration of intravenous antimicrobial therapy in the pre-intervention and post-intervention phases in both study and control groups. Results Pre-intervention, 85 courses of IV antimicrobials were prescribed to study group patients, compared to 60 in the control group. Postintervention, there were 92 courses in the study group and 53 in the control group. The duration of IV antimicrobial treatment reduced significantly in the study group postintervention, compared to the control group (P = 0.02). The timeliness of the switch also improved significantly in the study group post-intervention (P = 0.017). No improvement occurred in the control group. The median length of stay was not reduced post-intervention. Antimicrobial costs reduced by a mean of €6.41 in the study group post-intervention. Conclusion This controlled before and after study demonstrates successful implementation of a pharmacist-led antimicrobial stewardship strategy. Duration of IV antimicrobial treatment reduced significantly and the timeliness of switch significantly improved. This study may be used as a template for the introduction of further pharmacist-led antimicrobial stewardship initiatives. Copyright © 2011 Springer Science+Business Media B.V.","author":[{"dropping-particle":"","family":"Dunn","given":"Katherine","non-dropping-particle":"","parse-names":false,"suffix":""},{"dropping-particle":"","family":"O'Reilly","given":"Audrey","non-dropping-particle":"","parse-names":false,"suffix":""},{"dropping-particle":"","family":"Silke","given":"Bernard","non-dropping-particle":"","parse-names":false,"suffix":""},{"dropping-particle":"","family":"Rogers","given":"Thomas","non-dropping-particle":"","parse-names":false,"suffix":""},{"dropping-particle":"","family":"Bergin","given":"Colm","non-dropping-particle":"","parse-names":false,"suffix":""}],"container-title":"International Journal of Clinical Pharmacy","id":"ITEM-1","issue":"2","issued":{"date-parts":[["2011","4"]]},"page":"208-214","title":"Implementing a pharmacist-led sequential antimicrobial therapy strategy: A controlled before-and-after study","type":"article-journal","volume":"33"},"uris":["http://www.mendeley.com/documents/?uuid=4f69b49f-3da6-3396-b0f9-b8478996b1d3"]}],"mendeley":{"formattedCitation":"(30)","plainTextFormattedCitation":"(30)","previouslyFormattedCitation":"(30)"},"properties":{"noteIndex":0},"schema":"https://github.com/citation-style-language/schema/raw/master/csl-citation.json"}</w:instrText>
            </w:r>
            <w:r w:rsidR="00B41190" w:rsidRPr="00D12296">
              <w:rPr>
                <w:rFonts w:ascii="Calibri" w:hAnsi="Calibri" w:cs="Calibri"/>
                <w:b/>
                <w:bCs/>
                <w:color w:val="000000" w:themeColor="text1"/>
                <w:sz w:val="20"/>
                <w:szCs w:val="20"/>
              </w:rPr>
              <w:fldChar w:fldCharType="separate"/>
            </w:r>
            <w:r w:rsidR="00D12296" w:rsidRPr="00D12296">
              <w:rPr>
                <w:rFonts w:ascii="Calibri" w:hAnsi="Calibri" w:cs="Calibri"/>
                <w:color w:val="000000" w:themeColor="text1"/>
                <w:sz w:val="20"/>
                <w:szCs w:val="20"/>
              </w:rPr>
              <w:t>[</w:t>
            </w:r>
            <w:r w:rsidR="00B41190" w:rsidRPr="00D12296">
              <w:rPr>
                <w:rFonts w:ascii="Calibri" w:hAnsi="Calibri" w:cs="Calibri"/>
                <w:bCs/>
                <w:noProof/>
                <w:color w:val="000000" w:themeColor="text1"/>
                <w:sz w:val="20"/>
                <w:szCs w:val="20"/>
              </w:rPr>
              <w:t>30</w:t>
            </w:r>
            <w:r w:rsidR="00D12296" w:rsidRPr="00D12296">
              <w:rPr>
                <w:rFonts w:ascii="Calibri" w:hAnsi="Calibri" w:cs="Calibri"/>
                <w:bCs/>
                <w:noProof/>
                <w:color w:val="000000" w:themeColor="text1"/>
                <w:sz w:val="20"/>
                <w:szCs w:val="20"/>
              </w:rPr>
              <w:t xml:space="preserve">]   </w:t>
            </w:r>
            <w:r w:rsidR="00B41190" w:rsidRPr="00D12296">
              <w:rPr>
                <w:rFonts w:ascii="Calibri" w:hAnsi="Calibri" w:cs="Calibri"/>
                <w:b/>
                <w:bCs/>
                <w:color w:val="000000" w:themeColor="text1"/>
                <w:sz w:val="20"/>
                <w:szCs w:val="20"/>
                <w:vertAlign w:val="superscript"/>
              </w:rPr>
              <w:fldChar w:fldCharType="end"/>
            </w:r>
          </w:p>
          <w:p w14:paraId="7852ED5B" w14:textId="77777777" w:rsidR="00D82224" w:rsidRPr="00D12296" w:rsidRDefault="00D82224" w:rsidP="009B561A">
            <w:pPr>
              <w:spacing w:line="276" w:lineRule="auto"/>
              <w:rPr>
                <w:rFonts w:ascii="Calibri" w:hAnsi="Calibri" w:cs="Calibri"/>
                <w:color w:val="000000" w:themeColor="text1"/>
                <w:sz w:val="20"/>
                <w:szCs w:val="20"/>
              </w:rPr>
            </w:pPr>
            <w:r w:rsidRPr="00D12296">
              <w:rPr>
                <w:rFonts w:ascii="Calibri" w:hAnsi="Calibri" w:cs="Calibri"/>
                <w:color w:val="000000" w:themeColor="text1"/>
                <w:sz w:val="20"/>
                <w:szCs w:val="20"/>
              </w:rPr>
              <w:t>Implementing a pharmacist-led sequential antimicrobial therapy strategy: a controlled before-and-after study</w:t>
            </w:r>
          </w:p>
          <w:p w14:paraId="2068BF43" w14:textId="77777777" w:rsidR="00D82224" w:rsidRPr="00D12296" w:rsidRDefault="00D82224" w:rsidP="009B561A">
            <w:pPr>
              <w:spacing w:line="276" w:lineRule="auto"/>
              <w:rPr>
                <w:rFonts w:ascii="Calibri" w:hAnsi="Calibri" w:cs="Calibri"/>
                <w:b/>
                <w:bCs/>
                <w:sz w:val="20"/>
                <w:szCs w:val="20"/>
              </w:rPr>
            </w:pPr>
          </w:p>
        </w:tc>
        <w:tc>
          <w:tcPr>
            <w:tcW w:w="3267" w:type="dxa"/>
          </w:tcPr>
          <w:p w14:paraId="6D7E2E73"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 xml:space="preserve">Aims: </w:t>
            </w:r>
            <w:r w:rsidRPr="009B561A">
              <w:rPr>
                <w:rFonts w:ascii="Calibri" w:hAnsi="Calibri" w:cs="Calibri"/>
                <w:color w:val="000000" w:themeColor="text1"/>
                <w:sz w:val="20"/>
                <w:szCs w:val="20"/>
              </w:rPr>
              <w:t>To assess the impact of the introduction of guidelines and criteria for switching to oral antimicrobials.</w:t>
            </w:r>
          </w:p>
          <w:p w14:paraId="1CC8EC10"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Methods: </w:t>
            </w:r>
            <w:r w:rsidRPr="009B561A">
              <w:rPr>
                <w:rFonts w:ascii="Calibri" w:hAnsi="Calibri" w:cs="Calibri"/>
                <w:color w:val="000000" w:themeColor="text1"/>
                <w:sz w:val="20"/>
                <w:szCs w:val="20"/>
              </w:rPr>
              <w:t>Prospective and of controlled before and after design</w:t>
            </w:r>
          </w:p>
          <w:p w14:paraId="6314E612"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Adult patients admitted via the emergency department for at least 72 h </w:t>
            </w:r>
          </w:p>
          <w:p w14:paraId="33CB2C96"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 xml:space="preserve">under the care of a single medical consultant </w:t>
            </w:r>
          </w:p>
          <w:p w14:paraId="147A4D7D"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Recruitment:</w:t>
            </w:r>
            <w:r w:rsidRPr="009B561A">
              <w:rPr>
                <w:rFonts w:ascii="Calibri" w:hAnsi="Calibri" w:cs="Calibri"/>
                <w:sz w:val="20"/>
                <w:szCs w:val="20"/>
              </w:rPr>
              <w:t xml:space="preserve"> Via Accident and Emergency Department</w:t>
            </w:r>
          </w:p>
          <w:p w14:paraId="32FB6377" w14:textId="77777777" w:rsidR="00D82224" w:rsidRPr="009B561A" w:rsidRDefault="00D82224" w:rsidP="009B561A">
            <w:pPr>
              <w:spacing w:line="276" w:lineRule="auto"/>
              <w:rPr>
                <w:rFonts w:ascii="Calibri" w:hAnsi="Calibri" w:cs="Calibri"/>
                <w:b/>
                <w:bCs/>
                <w:color w:val="000000" w:themeColor="text1"/>
                <w:sz w:val="20"/>
                <w:szCs w:val="20"/>
              </w:rPr>
            </w:pPr>
          </w:p>
        </w:tc>
        <w:tc>
          <w:tcPr>
            <w:tcW w:w="3828" w:type="dxa"/>
          </w:tcPr>
          <w:p w14:paraId="7123A8C4"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 xml:space="preserve">Pre-intervention, 85 courses of IV antimicrobials were prescribed to study group patients, compared to 60 in the control group. Post intervention, there were 92 courses in the study group and 53 in the control group. The duration of IV antimicrobial treatment reduced significantly in the study group post intervention, compared to the control group (P = 0.02). The timeliness of the </w:t>
            </w:r>
            <w:r w:rsidRPr="009B561A">
              <w:rPr>
                <w:rFonts w:ascii="Calibri" w:hAnsi="Calibri" w:cs="Calibri"/>
                <w:sz w:val="20"/>
                <w:szCs w:val="20"/>
              </w:rPr>
              <w:lastRenderedPageBreak/>
              <w:t>switch also improved significantly in the study group post-intervention (P = 0.017). No improvement occurred in the control group. The median length of stay was not reduced post-intervention.</w:t>
            </w:r>
          </w:p>
        </w:tc>
        <w:tc>
          <w:tcPr>
            <w:tcW w:w="4110" w:type="dxa"/>
          </w:tcPr>
          <w:p w14:paraId="000E4D8F"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Pharmacist-led antimicrobial stewardship initiatives.</w:t>
            </w:r>
          </w:p>
        </w:tc>
      </w:tr>
      <w:tr w:rsidR="00D82224" w:rsidRPr="009B561A" w14:paraId="5169314A" w14:textId="77777777" w:rsidTr="0087653A">
        <w:tc>
          <w:tcPr>
            <w:tcW w:w="451" w:type="dxa"/>
          </w:tcPr>
          <w:p w14:paraId="153490FF"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4</w:t>
            </w:r>
          </w:p>
        </w:tc>
        <w:tc>
          <w:tcPr>
            <w:tcW w:w="2514" w:type="dxa"/>
          </w:tcPr>
          <w:p w14:paraId="1CAB4C19" w14:textId="0850DFC2" w:rsidR="00D82224" w:rsidRPr="00D12296" w:rsidRDefault="00D82224" w:rsidP="009B561A">
            <w:pPr>
              <w:spacing w:line="276" w:lineRule="auto"/>
              <w:rPr>
                <w:rFonts w:ascii="Calibri" w:hAnsi="Calibri" w:cs="Calibri"/>
                <w:b/>
                <w:bCs/>
                <w:sz w:val="20"/>
                <w:szCs w:val="20"/>
                <w:vertAlign w:val="superscript"/>
              </w:rPr>
            </w:pPr>
            <w:r w:rsidRPr="00D12296">
              <w:rPr>
                <w:rFonts w:ascii="Calibri" w:hAnsi="Calibri" w:cs="Calibri"/>
                <w:b/>
                <w:bCs/>
                <w:color w:val="000000" w:themeColor="text1"/>
                <w:sz w:val="20"/>
                <w:szCs w:val="20"/>
              </w:rPr>
              <w:t xml:space="preserve">Fitzgerald et al (2018) </w:t>
            </w:r>
            <w:r w:rsidR="002557F6" w:rsidRPr="00D12296">
              <w:rPr>
                <w:rFonts w:ascii="Calibri" w:hAnsi="Calibri" w:cs="Calibri"/>
                <w:b/>
                <w:bCs/>
                <w:color w:val="000000" w:themeColor="text1"/>
                <w:sz w:val="20"/>
                <w:szCs w:val="20"/>
              </w:rPr>
              <w:fldChar w:fldCharType="begin" w:fldLock="1"/>
            </w:r>
            <w:r w:rsidR="002557F6" w:rsidRPr="00D12296">
              <w:rPr>
                <w:rFonts w:ascii="Calibri" w:hAnsi="Calibri" w:cs="Calibri"/>
                <w:b/>
                <w:bCs/>
                <w:color w:val="000000" w:themeColor="text1"/>
                <w:sz w:val="20"/>
                <w:szCs w:val="20"/>
              </w:rPr>
              <w:instrText>ADDIN CSL_CITATION {"citationItems":[{"id":"ITEM-1","itemData":{"DOI":"10.1016/j.eurox.2018.100001","ISSN":"25901613","abstract":"Objectives: To determine the infectious aetiology of peripartum maternal pyrexia and to assess the diagnostic accuracy of obstetric systemic inflammatory response syndrome criteria and cardiotocography as predictors of peripartum infection, in order to guide appropriate antibiotic management of mother and neonate. Study Design: This study was carried out in a tertiary referral maternity hospital in Dublin, Ireland. A prospective cohort analysis was performed of 175 mother-newborn pairs with maternal pyrexia (≥38 °C) that developed after labour onset or within four hours postnatal. Infection was confirmed microbiologically in the case of sterile site infection, urinary tract infection (UTI) or growth of a significant perinatal pathogen from a placental swab. Infection was confirmed histologically by gross and microscopic examination of placentas in cases where there was growth of potentially pathogenic micro-organisms at a non-sterile site. Systemic inflammatory response syndrome criteria and cardiotocography in patients with confirmed infection versus those without evidence of infection were compared using independent samples t-test for continuous data and pearson chi-square test for nominal data. Diagnostic accuracy of obstetric systemic inflammatory response syndrome criteria (elevated maternal heart rate, elevated respiratory rate, decreased systolic blood pressure and elevated white cell count) for the identification of infection among women with peripartum pyrexia was determined using receiver operating characteristic curves. Results: The infection rate was 17.1% (30/175). The rate was 22% (22/100) for pyrexia that occurred during labour and 10.7% (8/75) if it occurred within four hours after delivery. Obstetric systemic inflammatory response syndrome criteria and cardiotocography were not predictive of infection in women with peripartum pyrexia. No significant differences were observed in mean temperature, heart rate, respiratory rate, systolic blood pressure or white cell count between those with infections and those with no evidence of infection. Conclusions: Peripartum pyrexia is predominantly of non-infectious origin. Improved diagnostic criteria are needed to identify infection for this indication. Early discontinuation of antibiotic treatment is appropriate in the majority of patients who develop term peripartum pyrexia after onset of labour.","author":[{"dropping-particle":"","family":"Fitzgerald","given":"David J.","non-dropping-particle":"","parse-names":false,"suffix":""},{"dropping-particle":"","family":"Knowles","given":"Susan J.","non-dropping-particle":"","parse-names":false,"suffix":""},{"dropping-particle":"","family":"Downey","given":"Paul","non-dropping-particle":"","parse-names":false,"suffix":""},{"dropping-particle":"","family":"Robson","given":"Michael S.","non-dropping-particle":"","parse-names":false,"suffix":""}],"container-title":"European Journal of Obstetrics and Gynecology and Reproductive Biology: X","id":"ITEM-1","issued":{"date-parts":[["2019","1","1"]]},"publisher":"Elsevier Ireland Ltd","title":"Examining the infectious aetiology and diagnostic criteria of maternal pyrexia in labour to improve antibiotic stewardship","type":"article-journal","volume":"1"},"uris":["http://www.mendeley.com/documents/?uuid=340d5540-c34e-365a-b9d9-78b6d24ec719"]}],"mendeley":{"formattedCitation":"(31)","plainTextFormattedCitation":"(31)","previouslyFormattedCitation":"(31)"},"properties":{"noteIndex":0},"schema":"https://github.com/citation-style-language/schema/raw/master/csl-citation.json"}</w:instrText>
            </w:r>
            <w:r w:rsidR="002557F6" w:rsidRPr="00D12296">
              <w:rPr>
                <w:rFonts w:ascii="Calibri" w:hAnsi="Calibri" w:cs="Calibri"/>
                <w:b/>
                <w:bCs/>
                <w:color w:val="000000" w:themeColor="text1"/>
                <w:sz w:val="20"/>
                <w:szCs w:val="20"/>
              </w:rPr>
              <w:fldChar w:fldCharType="separate"/>
            </w:r>
            <w:r w:rsidR="00D12296" w:rsidRPr="00D12296">
              <w:rPr>
                <w:rFonts w:ascii="Calibri" w:hAnsi="Calibri" w:cs="Calibri"/>
                <w:color w:val="000000" w:themeColor="text1"/>
                <w:sz w:val="20"/>
                <w:szCs w:val="20"/>
              </w:rPr>
              <w:t>[</w:t>
            </w:r>
            <w:r w:rsidR="002557F6" w:rsidRPr="00D12296">
              <w:rPr>
                <w:rFonts w:ascii="Calibri" w:hAnsi="Calibri" w:cs="Calibri"/>
                <w:bCs/>
                <w:noProof/>
                <w:color w:val="000000" w:themeColor="text1"/>
                <w:sz w:val="20"/>
                <w:szCs w:val="20"/>
              </w:rPr>
              <w:t>31</w:t>
            </w:r>
            <w:r w:rsidR="00D12296" w:rsidRPr="00D12296">
              <w:rPr>
                <w:rFonts w:ascii="Calibri" w:hAnsi="Calibri" w:cs="Calibri"/>
                <w:bCs/>
                <w:noProof/>
                <w:color w:val="000000" w:themeColor="text1"/>
                <w:sz w:val="20"/>
                <w:szCs w:val="20"/>
              </w:rPr>
              <w:t>]</w:t>
            </w:r>
            <w:r w:rsidR="002557F6" w:rsidRPr="00D12296">
              <w:rPr>
                <w:rFonts w:ascii="Calibri" w:hAnsi="Calibri" w:cs="Calibri"/>
                <w:b/>
                <w:bCs/>
                <w:color w:val="000000" w:themeColor="text1"/>
                <w:sz w:val="20"/>
                <w:szCs w:val="20"/>
              </w:rPr>
              <w:fldChar w:fldCharType="end"/>
            </w:r>
            <w:r w:rsidR="00D12296" w:rsidRPr="00D12296">
              <w:rPr>
                <w:rFonts w:ascii="Calibri" w:hAnsi="Calibri" w:cs="Calibri"/>
                <w:b/>
                <w:bCs/>
                <w:sz w:val="20"/>
                <w:szCs w:val="20"/>
                <w:vertAlign w:val="superscript"/>
              </w:rPr>
              <w:t xml:space="preserve"> </w:t>
            </w:r>
          </w:p>
          <w:p w14:paraId="72931D2B" w14:textId="77777777" w:rsidR="00D82224" w:rsidRPr="00D12296" w:rsidRDefault="00D82224" w:rsidP="009B561A">
            <w:pPr>
              <w:spacing w:line="276" w:lineRule="auto"/>
              <w:rPr>
                <w:rFonts w:ascii="Calibri" w:hAnsi="Calibri" w:cs="Calibri"/>
                <w:color w:val="000000" w:themeColor="text1"/>
                <w:sz w:val="20"/>
                <w:szCs w:val="20"/>
              </w:rPr>
            </w:pPr>
            <w:r w:rsidRPr="00D12296">
              <w:rPr>
                <w:rFonts w:ascii="Calibri" w:hAnsi="Calibri" w:cs="Calibri"/>
                <w:color w:val="000000" w:themeColor="text1"/>
                <w:sz w:val="20"/>
                <w:szCs w:val="20"/>
              </w:rPr>
              <w:t>Examining the infectious aetiology and diagnostic criteria of maternal pyrexia in labour to improve antibiotic stewardship</w:t>
            </w:r>
          </w:p>
        </w:tc>
        <w:tc>
          <w:tcPr>
            <w:tcW w:w="3267" w:type="dxa"/>
          </w:tcPr>
          <w:p w14:paraId="10D2DC68" w14:textId="77777777" w:rsidR="00D82224" w:rsidRPr="009B561A" w:rsidRDefault="00D82224" w:rsidP="009B561A">
            <w:pPr>
              <w:spacing w:line="276" w:lineRule="auto"/>
              <w:rPr>
                <w:rFonts w:ascii="Calibri" w:hAnsi="Calibri" w:cs="Calibri"/>
                <w:b/>
                <w:bCs/>
                <w:color w:val="000000" w:themeColor="text1"/>
                <w:sz w:val="20"/>
                <w:szCs w:val="20"/>
              </w:rPr>
            </w:pPr>
          </w:p>
        </w:tc>
        <w:tc>
          <w:tcPr>
            <w:tcW w:w="3828" w:type="dxa"/>
          </w:tcPr>
          <w:p w14:paraId="045E36E9" w14:textId="77777777" w:rsidR="00D82224" w:rsidRPr="009B561A" w:rsidRDefault="00D82224" w:rsidP="009B561A">
            <w:pPr>
              <w:spacing w:line="276" w:lineRule="auto"/>
              <w:rPr>
                <w:rFonts w:ascii="Calibri" w:hAnsi="Calibri" w:cs="Calibri"/>
                <w:sz w:val="20"/>
                <w:szCs w:val="20"/>
              </w:rPr>
            </w:pPr>
          </w:p>
        </w:tc>
        <w:tc>
          <w:tcPr>
            <w:tcW w:w="4110" w:type="dxa"/>
          </w:tcPr>
          <w:p w14:paraId="2D6D33CE" w14:textId="77777777" w:rsidR="00D82224" w:rsidRPr="009B561A" w:rsidRDefault="00D82224" w:rsidP="009B561A">
            <w:pPr>
              <w:spacing w:line="276" w:lineRule="auto"/>
              <w:rPr>
                <w:rFonts w:ascii="Calibri" w:hAnsi="Calibri" w:cs="Calibri"/>
                <w:sz w:val="20"/>
                <w:szCs w:val="20"/>
              </w:rPr>
            </w:pPr>
          </w:p>
        </w:tc>
      </w:tr>
      <w:tr w:rsidR="00D82224" w:rsidRPr="009B561A" w14:paraId="4C02DD8E" w14:textId="77777777" w:rsidTr="0087653A">
        <w:tc>
          <w:tcPr>
            <w:tcW w:w="451" w:type="dxa"/>
          </w:tcPr>
          <w:p w14:paraId="4B94BA5A"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5</w:t>
            </w:r>
          </w:p>
        </w:tc>
        <w:tc>
          <w:tcPr>
            <w:tcW w:w="2514" w:type="dxa"/>
          </w:tcPr>
          <w:p w14:paraId="23BDD9B3" w14:textId="72413731" w:rsidR="00D82224" w:rsidRPr="00D12296" w:rsidRDefault="00D82224" w:rsidP="009B561A">
            <w:pPr>
              <w:spacing w:line="276" w:lineRule="auto"/>
              <w:rPr>
                <w:rFonts w:ascii="Calibri" w:hAnsi="Calibri" w:cs="Calibri"/>
                <w:b/>
                <w:bCs/>
                <w:sz w:val="20"/>
                <w:szCs w:val="20"/>
                <w:vertAlign w:val="superscript"/>
              </w:rPr>
            </w:pPr>
            <w:r w:rsidRPr="00D12296">
              <w:rPr>
                <w:rFonts w:ascii="Calibri" w:hAnsi="Calibri" w:cs="Calibri"/>
                <w:b/>
                <w:bCs/>
                <w:color w:val="000000" w:themeColor="text1"/>
                <w:sz w:val="20"/>
                <w:szCs w:val="20"/>
              </w:rPr>
              <w:t>Hsia et al. (2019)</w:t>
            </w:r>
            <w:r w:rsidRPr="00D12296">
              <w:rPr>
                <w:rFonts w:ascii="Calibri" w:hAnsi="Calibri" w:cs="Calibri"/>
                <w:b/>
                <w:bCs/>
                <w:color w:val="000000" w:themeColor="text1"/>
                <w:sz w:val="20"/>
                <w:szCs w:val="20"/>
                <w:vertAlign w:val="superscript"/>
              </w:rPr>
              <w:t xml:space="preserve"> </w:t>
            </w:r>
            <w:r w:rsidR="002557F6" w:rsidRPr="00D12296">
              <w:rPr>
                <w:rFonts w:ascii="Calibri" w:hAnsi="Calibri" w:cs="Calibri"/>
                <w:b/>
                <w:bCs/>
                <w:color w:val="000000" w:themeColor="text1"/>
                <w:sz w:val="20"/>
                <w:szCs w:val="20"/>
              </w:rPr>
              <w:fldChar w:fldCharType="begin" w:fldLock="1"/>
            </w:r>
            <w:r w:rsidR="002557F6" w:rsidRPr="00D12296">
              <w:rPr>
                <w:rFonts w:ascii="Calibri" w:hAnsi="Calibri" w:cs="Calibri"/>
                <w:b/>
                <w:bCs/>
                <w:color w:val="000000" w:themeColor="text1"/>
                <w:sz w:val="20"/>
                <w:szCs w:val="20"/>
              </w:rPr>
              <w:instrText>ADDIN CSL_CITATION {"citationItems":[{"id":"ITEM-1","itemData":{"DOI":"10.1016/S2214-109X(19)30071-3","ISSN":"2214-109X","abstract":"Background Improving the quality of hospital antibiotic use is a major goal of WHO's global action plan to combat antimicrobial resistance. The WHO Essential Medicines List Access, Watch, and Reserve (AWaRe) classification could facilitate simple stewardship interventions that are widely applicable globally. We aimed to present data on patterns of paediatric AWaRe antibiotic use that could be used for local and national stewardship interventions. Methods 1-day point prevalence survey antibiotic prescription data were combined from two independent global networks: the Global Antimicrobial Resistance, Prescribing, and Efficacy in Neonates and Children and the Global Point Prevalence Survey on Antimicrobial Consumption and Resistance networks. We included hospital inpatients aged younger than 19 years receiving at least one antibiotic on the day of the survey. The WHO AWaRe classification was used to describe overall antibiotic use as assessed by the variation between use of Access, Watch, and Reserve antibiotics, for neonates and children and for the commonest clinical indications. Findings Of the 23 572 patients included from 56 countries, 18305 were children (77.7%) and 5267 were neonates (22.3%). Access antibiotic use in children ranged from 7.8% (China) to 61.2% (Slovenia) of all antibiotic prescriptions. The use of Watch antibiotics in children was highest in Iran (77.3%) and lowest in Finland (23.0%). In neonates, Access antibiotic use was highest in Singapore (100.0%) and lowest in China (24.2%). Reserve antibiotic use was low in all countries. Major differences in clinical syndrome-specific patterns of AWaRe antibiotic use in lower respiratory tract infection and neonatal sepsis were observed between WHO regions and countries. Interpretation There is substantial global variation in the proportion of AWaRe antibiotics used in hospitalised neonates and children. The AWaRe classification could potentially be used as a simple traffic light metric of appropriate antibiotic use. Future efforts should focus on developing and evaluating paediatric antibiotic stewardship programmes on the basis of the AWaRe index. Copyright (C) 2019 The Author(s). Published by Elsevier Ltd.","author":[{"dropping-particle":"","family":"Hsia","given":"Y F","non-dropping-particle":"","parse-names":false,"suffix":""},{"dropping-particle":"","family":"Lee","given":"B R","non-dropping-particle":"","parse-names":false,"suffix":""},{"dropping-particle":"","family":"Versporten","given":"A","non-dropping-particle":"","parse-names":false,"suffix":""},{"dropping-particle":"","family":"Yang","given":"Y H","non-dropping-particle":"","parse-names":false,"suffix":""},{"dropping-particle":"","family":"Bielicki","given":"J","non-dropping-particle":"","parse-names":false,"suffix":""},{"dropping-particle":"","family":"Jackson","given":"C","non-dropping-particle":"","parse-names":false,"suffix":""},{"dropping-particle":"","family":"Newland","given":"J","non-dropping-particle":"","parse-names":false,"suffix":""},{"dropping-particle":"","family":"Goossens","given":"H","non-dropping-particle":"","parse-names":false,"suffix":""},{"dropping-particle":"","family":"Magrini","given":"N","non-dropping-particle":"","parse-names":false,"suffix":""},{"dropping-particle":"","family":"Sharland","given":"M","non-dropping-particle":"","parse-names":false,"suffix":""},{"dropping-particle":"","family":"Teston","given":"L","non-dropping-particle":"","parse-names":false,"suffix":""},{"dropping-particle":"","family":"Cheung","given":"K","non-dropping-particle":"","parse-names":false,"suffix":""},{"dropping-particle":"","family":"Koning","given":"S","non-dropping-particle":"","parse-names":false,"suffix":""},{"dropping-particle":"","family":"Grimwood","given":"K","non-dropping-particle":"","parse-names":false,"suffix":""},{"dropping-particle":"","family":"Cross","given":"J","non-dropping-particle":"","parse-names":false,"suffix":""},{"dropping-particle":"","family":"Silva","given":"A","non-dropping-particle":"da","parse-names":false,"suffix":""},{"dropping-particle":"","family":"Benadof","given":"D","non-dropping-particle":"","parse-names":false,"suffix":""},{"dropping-particle":"","family":"Zhang","given":"W S","non-dropping-particle":"","parse-names":false,"suffix":""},{"dropping-particle":"","family":"Zhao","given":"W","non-dropping-particle":"","parse-names":false,"suffix":""},{"dropping-particle":"","family":"Liu","given":"G","non-dropping-particle":"","parse-names":false,"suffix":""},{"dropping-particle":"","family":"Shen","given":"K L","non-dropping-particle":"","parse-names":false,"suffix":""},{"dropping-particle":"","family":"Yao","given":"K H","non-dropping-particle":"","parse-names":false,"suffix":""},{"dropping-particle":"","family":"Zheng","given":"Y J","non-dropping-particle":"","parse-names":false,"suffix":""},{"dropping-particle":"","family":"Deng","given":"J K","non-dropping-particle":"","parse-names":false,"suffix":""},{"dropping-particle":"","family":"Zhang","given":"J S","non-dropping-particle":"","parse-names":false,"suffix":""},{"dropping-particle":"","family":"Wang","given":"Y","non-dropping-particle":"","parse-names":false,"suffix":""},{"dropping-particle":"","family":"Jiang","given":"X Y","non-dropping-particle":"","parse-names":false,"suffix":""},{"dropping-particle":"","family":"Tian","given":"D Y","non-dropping-particle":"","parse-names":false,"suffix":""},{"dropping-particle":"","family":"Jing","given":"C M","non-dropping-particle":"","parse-names":false,"suffix":""},{"dropping-particle":"","family":"Wang","given":"L J","non-dropping-particle":"","parse-names":false,"suffix":""},{"dropping-particle":"","family":"Cao","given":"S C","non-dropping-particle":"","parse-names":false,"suffix":""},{"dropping-particle":"","family":"Wu","given":"L J","non-dropping-particle":"","parse-names":false,"suffix":""},{"dropping-particle":"","family":"Chen","given":"X","non-dropping-particle":"","parse-names":false,"suffix":""},{"dropping-particle":"","family":"Ding","given":"M J","non-dropping-particle":"","parse-names":false,"suffix":""},{"dropping-particle":"","family":"Zhang","given":"L","non-dropping-particle":"","parse-names":false,"suffix":""},{"dropping-particle":"","family":"Lin","given":"L","non-dropping-particle":"","parse-names":false,"suffix":""},{"dropping-particle":"","family":"Yang","given":"J H","non-dropping-particle":"","parse-names":false,"suffix":""},{"dropping-particle":"","family":"Cao","given":"Q","non-dropping-particle":"","parse-names":false,"suffix":""},{"dropping-particle":"","family":"Wang","given":"W","non-dropping-particle":"","parse-names":false,"suffix":""},{"dropping-particle":"","family":"Li","given":"J P","non-dropping-particle":"","parse-names":false,"suffix":""},{"dropping-particle":"","family":"Tang","given":"L F","non-dropping-particle":"","parse-names":false,"suffix":""},{"dropping-particle":"","family":"Liu","given":"J","non-dropping-particle":"","parse-names":false,"suffix":""},{"dropping-particle":"","family":"Wang","given":"P","non-dropping-particle":"","parse-names":false,"suffix":""},{"dropping-particle":"","family":"Qian","given":"J","non-dropping-particle":"","parse-names":false,"suffix":""},{"dropping-particle":"","family":"Zhu","given":"C M","non-dropping-particle":"","parse-names":false,"suffix":""},{"dropping-particle":"","family":"Lu","given":"G","non-dropping-particle":"","parse-names":false,"suffix":""},{"dropping-particle":"","family":"Deng","given":"Q L","non-dropping-particle":"","parse-names":false,"suffix":""},{"dropping-particle":"","family":"Mu","given":"X P","non-dropping-particle":"","parse-names":false,"suffix":""},{"dropping-particle":"","family":"Zhao","given":"C A","non-dropping-particle":"","parse-names":false,"suffix":""},{"dropping-particle":"","family":"Dong","given":"X Y","non-dropping-particle":"","parse-names":false,"suffix":""},{"dropping-particle":"","family":"Zhang","given":"H","non-dropping-particle":"","parse-names":false,"suffix":""},{"dropping-particle":"","family":"Li","given":"C Y","non-dropping-particle":"","parse-names":false,"suffix":""},{"dropping-particle":"","family":"Li","given":"W","non-dropping-particle":"","parse-names":false,"suffix":""},{"dropping-particle":"","family":"Saxen","given":"H","non-dropping-particle":"","parse-names":false,"suffix":""},{"dropping-particle":"","family":"Kekomaki","given":"S","non-dropping-particle":"","parse-names":false,"suffix":""},{"dropping-particle":"","family":"Hufnagel","given":"M","non-dropping-particle":"","parse-names":false,"suffix":""},{"dropping-particle":"","family":"Rippberger","given":"B","non-dropping-particle":"","parse-names":false,"suffix":""},{"dropping-particle":"","family":"Knuf","given":"M","non-dropping-particle":"","parse-names":false,"suffix":""},{"dropping-particle":"","family":"Nikolic","given":"P","non-dropping-particle":"","parse-names":false,"suffix":""},{"dropping-particle":"","family":"Hubner","given":"J","non-dropping-particle":"","parse-names":false,"suffix":""},{"dropping-particle":"","family":"Kreitmeyer","given":"K","non-dropping-particle":"","parse-names":false,"suffix":""},{"dropping-particle":"","family":"Behrends","given":"U","non-dropping-particle":"","parse-names":false,"suffix":""},{"dropping-particle":"","family":"Rieber","given":"N","non-dropping-particle":"","parse-names":false,"suffix":""},{"dropping-particle":"","family":"Renk","given":"H","non-dropping-particle":"","parse-names":false,"suffix":""},{"dropping-particle":"","family":"Spyridis","given":"N","non-dropping-particle":"","parse-names":false,"suffix":""},{"dropping-particle":"","family":"Tsolia","given":"M","non-dropping-particle":"","parse-names":false,"suffix":""},{"dropping-particle":"","family":"Papaevangelous","given":"V","non-dropping-particle":"","parse-names":false,"suffix":""},{"dropping-particle":"","family":"Gkentzi","given":"D","non-dropping-particle":"","parse-names":false,"suffix":""},{"dropping-particle":"","family":"Syrogiannopoulos","given":"G","non-dropping-particle":"","parse-names":false,"suffix":""},{"dropping-particle":"","family":"Kaffe","given":"K","non-dropping-particle":"","parse-names":false,"suffix":""},{"dropping-particle":"","family":"Roilides","given":"E","non-dropping-particle":"","parse-names":false,"suffix":""},{"dropping-particle":"","family":"Pitsava","given":"G","non-dropping-particle":"","parse-names":false,"suffix":""},{"dropping-particle":"","family":"Papadimitriou","given":"E","non-dropping-particle":"","parse-names":false,"suffix":""},{"dropping-particle":"","family":"Iosifidis","given":"E","non-dropping-particle":"","parse-names":false,"suffix":""},{"dropping-particle":"","family":"Gandra","given":"S","non-dropping-particle":"","parse-names":false,"suffix":""},{"dropping-particle":"","family":"Laxminarayan","given":"R","non-dropping-particle":"","parse-names":false,"suffix":""},{"dropping-particle":"","family":"Alvarez-Uria","given":"G","non-dropping-particle":"","parse-names":false,"suffix":""},{"dropping-particle":"","family":"Jinka","given":"D","non-dropping-particle":"","parse-names":false,"suffix":""},{"dropping-particle":"","family":"Murki","given":"S","non-dropping-particle":"","parse-names":false,"suffix":""},{"dropping-particle":"","family":"Kandraju","given":"H","non-dropping-particle":"","parse-names":false,"suffix":""},{"dropping-particle":"","family":"Singh","given":"S","non-dropping-particle":"","parse-names":false,"suffix":""},{"dropping-particle":"","family":"Vasudevan","given":"A K","non-dropping-particle":"","parse-names":false,"suffix":""},{"dropping-particle":"","family":"Kanithi","given":"R","non-dropping-particle":"","parse-names":false,"suffix":""},{"dropping-particle":"","family":"Akula","given":"A","non-dropping-particle":"","parse-names":false,"suffix":""},{"dropping-particle":"","family":"Chikkappa","given":"A","non-dropping-particle":"","parse-names":false,"suffix":""},{"dropping-particle":"","family":"Tunga","given":"O","non-dropping-particle":"","parse-names":false,"suffix":""},{"dropping-particle":"","family":"Subramanian","given":"S","non-dropping-particle":"","parse-names":false,"suffix":""},{"dropping-particle":"","family":"Sharma","given":"A","non-dropping-particle":"","parse-names":false,"suffix":""},{"dropping-particle":"","family":"Dharmapalan","given":"D","non-dropping-particle":"","parse-names":false,"suffix":""},{"dropping-particle":"","family":"Ashkenazi-Hoffnung","given":"L","non-dropping-particle":"","parse-names":false,"suffix":""},{"dropping-particle":"","family":"Ashkenazi","given":"S","non-dropping-particle":"","parse-names":false,"suffix":""},{"dropping-particle":"","family":"Esposito","given":"S","non-dropping-particle":"","parse-names":false,"suffix":""},{"dropping-particle":"","family":"Tagliabue","given":"C","non-dropping-particle":"","parse-names":false,"suffix":""},{"dropping-particle":"","family":"Tersigni","given":"C","non-dropping-particle":"","parse-names":false,"suffix":""},{"dropping-particle":"","family":"Galli","given":"L","non-dropping-particle":"","parse-names":false,"suffix":""},{"dropping-particle":"","family":"D'Argenio","given":"P","non-dropping-particle":"","parse-names":false,"suffix":""},{"dropping-particle":"","family":"Pansa","given":"P","non-dropping-particle":"","parse-names":false,"suffix":""},{"dropping-particle":"","family":"Duse","given":"M","non-dropping-particle":"","parse-names":false,"suffix":""},{"dropping-particle":"","family":"Horikoshi","given":"Y","non-dropping-particle":"","parse-names":false,"suffix":""},{"dropping-particle":"","family":"Fukuoka","given":"K","non-dropping-particle":"","parse-names":false,"suffix":""},{"dropping-particle":"","family":"Jimenez","given":"R","non-dropping-particle":"","parse-names":false,"suffix":""},{"dropping-particle":"","family":"Ojeda","given":"K","non-dropping-particle":"","parse-names":false,"suffix":""},{"dropping-particle":"","family":"Okokon","given":"I","non-dropping-particle":"","parse-names":false,"suffix":""},{"dropping-particle":"","family":"Mahmood","given":"H","non-dropping-particle":"","parse-names":false,"suffix":""},{"dropping-particle":"","family":"Gowin","given":"E","non-dropping-particle":"","parse-names":false,"suffix":""},{"dropping-particle":"","family":"Slowinska-Jarzabek","given":"B","non-dropping-particle":"","parse-names":false,"suffix":""},{"dropping-particle":"","family":"Majda-Stanislawska","given":"E","non-dropping-particle":"","parse-names":false,"suffix":""},{"dropping-particle":"","family":"Sicinska","given":"J","non-dropping-particle":"","parse-names":false,"suffix":""},{"dropping-particle":"","family":"Chan","given":"S M","non-dropping-particle":"","parse-names":false,"suffix":""},{"dropping-particle":"","family":"Chang","given":"A","non-dropping-particle":"","parse-names":false,"suffix":""},{"dropping-particle":"","family":"Rozic","given":"M","non-dropping-particle":"","parse-names":false,"suffix":""},{"dropping-particle":"","family":"Premru","given":"M","non-dropping-particle":"","parse-names":false,"suffix":""},{"dropping-particle":"","family":"Finlayson","given":"H","non-dropping-particle":"","parse-names":false,"suffix":""},{"dropping-particle":"","family":"Whitelaw","given":"A","non-dropping-particle":"","parse-names":false,"suffix":""},{"dropping-particle":"","family":"Rabie","given":"H","non-dropping-particle":"","parse-names":false,"suffix":""},{"dropping-particle":"","family":"Dramowski","given":"A","non-dropping-particle":"","parse-names":false,"suffix":""},{"dropping-particle":"","family":"O'Connell","given":"N","non-dropping-particle":"","parse-names":false,"suffix":""},{"dropping-particle":"","family":"Epalza","given":"C","non-dropping-particle":"","parse-names":false,"suffix":""},{"dropping-particle":"","family":"Rojo-Conejo","given":"P","non-dropping-particle":"","parse-names":false,"suffix":""},{"dropping-particle":"","family":"Torres","given":"F M","non-dropping-particle":"","parse-names":false,"suffix":""},{"dropping-particle":"","family":"Justicia","given":"A","non-dropping-particle":"","parse-names":false,"suffix":""},{"dropping-particle":"","family":"Jian","given":"V","non-dropping-particle":"","parse-names":false,"suffix":""},{"dropping-particle":"","family":"Cheng","given":"C L","non-dropping-particle":"","parse-names":false,"suffix":""},{"dropping-particle":"","family":"Lumbiganon","given":"P","non-dropping-particle":"","parse-names":false,"suffix":""},{"dropping-particle":"","family":"Paopongsawan","given":"P","non-dropping-particle":"","parse-names":false,"suffix":""},{"dropping-particle":"","family":"Puthanakit","given":"T","non-dropping-particle":"","parse-names":false,"suffix":""},{"dropping-particle":"","family":"Anugulruengkitt","given":"S","non-dropping-particle":"","parse-names":false,"suffix":""},{"dropping-particle":"","family":"Yarci","given":"E","non-dropping-particle":"","parse-names":false,"suffix":""},{"dropping-particle":"","family":"Doerholt","given":"K","non-dropping-particle":"","parse-names":false,"suffix":""},{"dropping-particle":"","family":"Vazouras","given":"K","non-dropping-particle":"","parse-names":false,"suffix":""},{"dropping-particle":"","family":"Bamford","given":"A","non-dropping-particle":"","parse-names":false,"suffix":""},{"dropping-particle":"","family":"Irwin","given":"A","non-dropping-particle":"","parse-names":false,"suffix":""},{"dropping-particle":"","family":"Drysdale","given":"S B","non-dropping-particle":"","parse-names":false,"suffix":""},{"dropping-particle":"","family":"Collett-White","given":"F","non-dropping-particle":"","parse-names":false,"suffix":""},{"dropping-particle":"","family":"Harkensee","given":"C","non-dropping-particle":"","parse-names":false,"suffix":""},{"dropping-particle":"","family":"McMaster","given":"P","non-dropping-particle":"","parse-names":false,"suffix":""},{"dropping-particle":"","family":"Green","given":"H","non-dropping-particle":"","parse-names":false,"suffix":""},{"dropping-particle":"","family":"Rees","given":"S","non-dropping-particle":"","parse-names":false,"suffix":""},{"dropping-particle":"","family":"Ledoare","given":"K","non-dropping-particle":"","parse-names":false,"suffix":""},{"dropping-particle":"","family":"Chappell","given":"F","non-dropping-particle":"","parse-names":false,"suffix":""},{"dropping-particle":"","family":"Jacqueline","given":"D","non-dropping-particle":"","parse-names":false,"suffix":""},{"dropping-particle":"","family":"Hackett","given":"S","non-dropping-particle":"","parse-names":false,"suffix":""},{"dropping-particle":"","family":"Vergnano","given":"S","non-dropping-particle":"","parse-names":false,"suffix":""},{"dropping-particle":"","family":"Praveen","given":"S","non-dropping-particle":"","parse-names":false,"suffix":""},{"dropping-particle":"","family":"Herberg","given":"J","non-dropping-particle":"","parse-names":false,"suffix":""},{"dropping-particle":"","family":"Speirs","given":"L","non-dropping-particle":"","parse-names":false,"suffix":""},{"dropping-particle":"","family":"Moriarty","given":"P","non-dropping-particle":"","parse-names":false,"suffix":""},{"dropping-particle":"","family":"Lacej","given":"D","non-dropping-particle":"","parse-names":false,"suffix":""},{"dropping-particle":"","family":"Hoxha","given":"I","non-dropping-particle":"","parse-names":false,"suffix":""},{"dropping-particle":"","family":"Cornistein","given":"W","non-dropping-particle":"","parse-names":false,"suffix":""},{"dropping-particle":"","family":"Quiros","given":"R","non-dropping-particle":"","parse-names":false,"suffix":""},{"dropping-particle":"","family":"Hojman","given":"M","non-dropping-particle":"","parse-names":false,"suffix":""},{"dropping-particle":"","family":"Castillo","given":"M","non-dropping-particle":"Del","parse-names":false,"suffix":""},{"dropping-particle":"","family":"Ghazaryan","given":"L","non-dropping-particle":"","parse-names":false,"suffix":""},{"dropping-particle":"","family":"AlSalman","given":"J","non-dropping-particle":"","parse-names":false,"suffix":""},{"dropping-particle":"","family":"Konopnicki","given":"D","non-dropping-particle":"","parse-names":false,"suffix":""},{"dropping-particle":"","family":"Pierard","given":"D","non-dropping-particle":"","parse-names":false,"suffix":""},{"dropping-particle":"","family":"Holemans","given":"X","non-dropping-particle":"","parse-names":false,"suffix":""},{"dropping-particle":"","family":"Schelstraete","given":"P","non-dropping-particle":"","parse-names":false,"suffix":""},{"dropping-particle":"","family":"Firre","given":"E","non-dropping-particle":"","parse-names":false,"suffix":""},{"dropping-particle":"","family":"Herendael","given":"B","non-dropping-particle":"Van","parse-names":false,"suffix":""},{"dropping-particle":"","family":"Dedeic-Ljubovic","given":"A","non-dropping-particle":"","parse-names":false,"suffix":""},{"dropping-particle":"","family":"Pignatari","given":"A","non-dropping-particle":"","parse-names":false,"suffix":""},{"dropping-particle":"","family":"Sabuda","given":"D","non-dropping-particle":"","parse-names":false,"suffix":""},{"dropping-particle":"","family":"Carvajal","given":"C","non-dropping-particle":"","parse-names":false,"suffix":""},{"dropping-particle":"","family":"Alvaro","given":"R","non-dropping-particle":"","parse-names":false,"suffix":""},{"dropping-particle":"","family":"Labarca","given":"J","non-dropping-particle":"","parse-names":false,"suffix":""},{"dropping-particle":"","family":"Solano","given":"A","non-dropping-particle":"","parse-names":false,"suffix":""},{"dropping-particle":"","family":"Ramirez","given":"C","non-dropping-particle":"","parse-names":false,"suffix":""},{"dropping-particle":"","family":"Marekovic","given":"I","non-dropping-particle":"","parse-names":false,"suffix":""},{"dropping-particle":"","family":"Horvatic","given":"J","non-dropping-particle":"","parse-names":false,"suffix":""},{"dropping-particle":"","family":"Pristas","given":"I","non-dropping-particle":"","parse-names":false,"suffix":""},{"dropping-particle":"","family":"Marshall","given":"E","non-dropping-particle":"","parse-names":false,"suffix":""},{"dropping-particle":"","family":"Pagava","given":"K","non-dropping-particle":"","parse-names":false,"suffix":""},{"dropping-particle":"","family":"Korinteli","given":"I","non-dropping-particle":"","parse-names":false,"suffix":""},{"dropping-particle":"","family":"Neubert","given":"A","non-dropping-particle":"","parse-names":false,"suffix":""},{"dropping-particle":"","family":"Enimil","given":"A","non-dropping-particle":"","parse-names":false,"suffix":""},{"dropping-particle":"","family":"Frimpong","given":"J A","non-dropping-particle":"","parse-names":false,"suffix":""},{"dropping-particle":"","family":"Soltani","given":"J","non-dropping-particle":"","parse-names":false,"suffix":""},{"dropping-particle":"","family":"Fitzgerald","given":"D","non-dropping-particle":"","parse-names":false,"suffix":""},{"dropping-particle":"","family":"Kasahara","given":"K","non-dropping-particle":"","parse-names":false,"suffix":""},{"dropping-particle":"","family":"Gu","given":"Y","non-dropping-particle":"","parse-names":false,"suffix":""},{"dropping-particle":"","family":"Okinaka","given":"K","non-dropping-particle":"","parse-names":false,"suffix":""},{"dropping-particle":"","family":"Kunishima","given":"H","non-dropping-particle":"","parse-names":false,"suffix":""},{"dropping-particle":"","family":"Elhajji","given":"F D","non-dropping-particle":"","parse-names":false,"suffix":""},{"dropping-particle":"","family":"Alshehri","given":"M","non-dropping-particle":"","parse-names":false,"suffix":""},{"dropping-particle":"","family":"Raka","given":"L","non-dropping-particle":"","parse-names":false,"suffix":""},{"dropping-particle":"","family":"Kambaralieva","given":"B","non-dropping-particle":"","parse-names":false,"suffix":""},{"dropping-particle":"","family":"Sviestina","given":"I","non-dropping-particle":"","parse-names":false,"suffix":""},{"dropping-particle":"","family":"Burokiene","given":"S","non-dropping-particle":"","parse-names":false,"suffix":""},{"dropping-particle":"","family":"Usonis","given":"V","non-dropping-particle":"","parse-names":false,"suffix":""},{"dropping-particle":"","family":"Shaqiri","given":"E","non-dropping-particle":"","parse-names":false,"suffix":""},{"dropping-particle":"","family":"Zarb","given":"P","non-dropping-particle":"","parse-names":false,"suffix":""},{"dropping-particle":"","family":"Markovic","given":"G","non-dropping-particle":"","parse-names":false,"suffix":""},{"dropping-particle":"","family":"Simovic","given":"S","non-dropping-particle":"","parse-names":false,"suffix":""},{"dropping-particle":"","family":"Nwajiobi-Princewil","given":"P","non-dropping-particle":"","parse-names":false,"suffix":""},{"dropping-particle":"","family":"Iregbu","given":"K","non-dropping-particle":"","parse-names":false,"suffix":""},{"dropping-particle":"","family":"Aboderin","given":"A","non-dropping-particle":"","parse-names":false,"suffix":""},{"dropping-particle":"","family":"Oduyebo","given":"O","non-dropping-particle":"","parse-names":false,"suffix":""},{"dropping-particle":"","family":"Olayinka","given":"A","non-dropping-particle":"","parse-names":false,"suffix":""},{"dropping-particle":"","family":"McCorry","given":"A","non-dropping-particle":"","parse-names":false,"suffix":""},{"dropping-particle":"","family":"McCullagh","given":"B","non-dropping-particle":"","parse-names":false,"suffix":""},{"dropping-particle":"","family":"Gormley","given":"C","non-dropping-particle":"","parse-names":false,"suffix":""},{"dropping-particle":"","family":"Rachina","given":"S","non-dropping-particle":"","parse-names":false,"suffix":""},{"dropping-particle":"","family":"Carevic","given":"B","non-dropping-particle":"","parse-names":false,"suffix":""},{"dropping-particle":"","family":"Chen","given":"H H","non-dropping-particle":"","parse-names":false,"suffix":""},{"dropping-particle":"","family":"Ling","given":"M L","non-dropping-particle":"","parse-names":false,"suffix":""},{"dropping-particle":"","family":"Barrero","given":"P T","non-dropping-particle":"","parse-names":false,"suffix":""},{"dropping-particle":"","family":"Buijtels","given":"P","non-dropping-particle":"","parse-names":false,"suffix":""},{"dropping-particle":"","family":"Elzakker","given":"E","non-dropping-particle":"van","parse-names":false,"suffix":""},{"dropping-particle":"","family":"Thompson","given":"S","non-dropping-particle":"","parse-names":false,"suffix":""},{"dropping-particle":"","family":"Cooper","given":"M","non-dropping-particle":"","parse-names":false,"suffix":""},{"dropping-particle":"","family":"Rios","given":"E","non-dropping-particle":"","parse-names":false,"suffix":""},{"dropping-particle":"","family":"Hudson","given":"M","non-dropping-particle":"","parse-names":false,"suffix":""},{"dropping-particle":"","family":"Greer","given":"N","non-dropping-particle":"","parse-names":false,"suffix":""},{"dropping-particle":"","family":"Gessner-Wharton","given":"M","non-dropping-particle":"","parse-names":false,"suffix":""},{"dropping-particle":"","family":"Gawrys","given":"G","non-dropping-particle":"","parse-names":false,"suffix":""},{"dropping-particle":"","family":"Network","given":"GARPEC","non-dropping-particle":"","parse-names":false,"suffix":""},{"dropping-particle":"","family":"Network","given":"Global-PPS","non-dropping-particle":"","parse-names":false,"suffix":""}],"container-title":"LANCET GLOBAL HEALTH","id":"ITEM-1","issue":"7","issued":{"date-parts":[["2019"]]},"page":"E861-E871","title":"Use of the WHO Access, Watch, and Reserve classification to define patterns of hospital antibiotic use (AWaRe): an analysis of paediatric survey data from 56 countries","type":"article-journal","volume":"7"},"uris":["http://www.mendeley.com/documents/?uuid=c268d0a5-7659-49fa-911d-ef0a568f393a"]}],"mendeley":{"formattedCitation":"(32)","plainTextFormattedCitation":"(32)","previouslyFormattedCitation":"(32)"},"properties":{"noteIndex":0},"schema":"https://github.com/citation-style-language/schema/raw/master/csl-citation.json"}</w:instrText>
            </w:r>
            <w:r w:rsidR="002557F6" w:rsidRPr="00D12296">
              <w:rPr>
                <w:rFonts w:ascii="Calibri" w:hAnsi="Calibri" w:cs="Calibri"/>
                <w:b/>
                <w:bCs/>
                <w:color w:val="000000" w:themeColor="text1"/>
                <w:sz w:val="20"/>
                <w:szCs w:val="20"/>
              </w:rPr>
              <w:fldChar w:fldCharType="separate"/>
            </w:r>
            <w:r w:rsidR="00D12296" w:rsidRPr="00D12296">
              <w:rPr>
                <w:rFonts w:ascii="Calibri" w:hAnsi="Calibri" w:cs="Calibri"/>
                <w:color w:val="000000" w:themeColor="text1"/>
                <w:sz w:val="20"/>
                <w:szCs w:val="20"/>
              </w:rPr>
              <w:t>[</w:t>
            </w:r>
            <w:r w:rsidR="002557F6" w:rsidRPr="00D12296">
              <w:rPr>
                <w:rFonts w:ascii="Calibri" w:hAnsi="Calibri" w:cs="Calibri"/>
                <w:bCs/>
                <w:noProof/>
                <w:color w:val="000000" w:themeColor="text1"/>
                <w:sz w:val="20"/>
                <w:szCs w:val="20"/>
              </w:rPr>
              <w:t>32</w:t>
            </w:r>
            <w:r w:rsidR="00D12296" w:rsidRPr="00D12296">
              <w:rPr>
                <w:rFonts w:ascii="Calibri" w:hAnsi="Calibri" w:cs="Calibri"/>
                <w:bCs/>
                <w:noProof/>
                <w:color w:val="000000" w:themeColor="text1"/>
                <w:sz w:val="20"/>
                <w:szCs w:val="20"/>
              </w:rPr>
              <w:t>]</w:t>
            </w:r>
            <w:r w:rsidR="002557F6" w:rsidRPr="00D12296">
              <w:rPr>
                <w:rFonts w:ascii="Calibri" w:hAnsi="Calibri" w:cs="Calibri"/>
                <w:b/>
                <w:bCs/>
                <w:color w:val="000000" w:themeColor="text1"/>
                <w:sz w:val="20"/>
                <w:szCs w:val="20"/>
                <w:vertAlign w:val="superscript"/>
              </w:rPr>
              <w:fldChar w:fldCharType="end"/>
            </w:r>
          </w:p>
          <w:p w14:paraId="45557B0C" w14:textId="77777777" w:rsidR="00D82224" w:rsidRPr="00D12296" w:rsidRDefault="00D82224" w:rsidP="009B561A">
            <w:pPr>
              <w:spacing w:line="276" w:lineRule="auto"/>
              <w:rPr>
                <w:rFonts w:ascii="Calibri" w:hAnsi="Calibri" w:cs="Calibri"/>
                <w:b/>
                <w:bCs/>
                <w:color w:val="000000" w:themeColor="text1"/>
                <w:sz w:val="20"/>
                <w:szCs w:val="20"/>
              </w:rPr>
            </w:pPr>
            <w:r w:rsidRPr="00D12296">
              <w:rPr>
                <w:rFonts w:ascii="Calibri" w:hAnsi="Calibri" w:cs="Calibri"/>
                <w:color w:val="000000" w:themeColor="text1"/>
                <w:sz w:val="20"/>
                <w:szCs w:val="20"/>
              </w:rPr>
              <w:t>Use of the WHO Access, Watch, and Reserve classification to define patterns of hospital antibiotic use (</w:t>
            </w:r>
            <w:proofErr w:type="spellStart"/>
            <w:r w:rsidRPr="00D12296">
              <w:rPr>
                <w:rFonts w:ascii="Calibri" w:hAnsi="Calibri" w:cs="Calibri"/>
                <w:color w:val="000000" w:themeColor="text1"/>
                <w:sz w:val="20"/>
                <w:szCs w:val="20"/>
              </w:rPr>
              <w:t>AWaRe</w:t>
            </w:r>
            <w:proofErr w:type="spellEnd"/>
            <w:r w:rsidRPr="00D12296">
              <w:rPr>
                <w:rFonts w:ascii="Calibri" w:hAnsi="Calibri" w:cs="Calibri"/>
                <w:color w:val="000000" w:themeColor="text1"/>
                <w:sz w:val="20"/>
                <w:szCs w:val="20"/>
              </w:rPr>
              <w:t>): an analysis of paediatric survey data from 56 countries</w:t>
            </w:r>
          </w:p>
        </w:tc>
        <w:tc>
          <w:tcPr>
            <w:tcW w:w="3267" w:type="dxa"/>
          </w:tcPr>
          <w:p w14:paraId="7B5E5F16"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 xml:space="preserve">Aims: </w:t>
            </w:r>
            <w:r w:rsidRPr="009B561A">
              <w:rPr>
                <w:rFonts w:ascii="Calibri" w:hAnsi="Calibri" w:cs="Calibri"/>
                <w:color w:val="000000" w:themeColor="text1"/>
                <w:sz w:val="20"/>
                <w:szCs w:val="20"/>
              </w:rPr>
              <w:t xml:space="preserve">To present data on patterns of paediatric </w:t>
            </w:r>
            <w:proofErr w:type="spellStart"/>
            <w:r w:rsidRPr="009B561A">
              <w:rPr>
                <w:rFonts w:ascii="Calibri" w:hAnsi="Calibri" w:cs="Calibri"/>
                <w:color w:val="000000" w:themeColor="text1"/>
                <w:sz w:val="20"/>
                <w:szCs w:val="20"/>
              </w:rPr>
              <w:t>AWaRe</w:t>
            </w:r>
            <w:proofErr w:type="spellEnd"/>
            <w:r w:rsidRPr="009B561A">
              <w:rPr>
                <w:rFonts w:ascii="Calibri" w:hAnsi="Calibri" w:cs="Calibri"/>
                <w:color w:val="000000" w:themeColor="text1"/>
                <w:sz w:val="20"/>
                <w:szCs w:val="20"/>
              </w:rPr>
              <w:t xml:space="preserve"> antibiotic use that could be used for local and national stewardship interventions</w:t>
            </w:r>
          </w:p>
          <w:p w14:paraId="6E72C620"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Methods: </w:t>
            </w:r>
            <w:r w:rsidRPr="009B561A">
              <w:rPr>
                <w:rFonts w:ascii="Calibri" w:hAnsi="Calibri" w:cs="Calibri"/>
                <w:color w:val="000000" w:themeColor="text1"/>
                <w:sz w:val="20"/>
                <w:szCs w:val="20"/>
              </w:rPr>
              <w:t>Survey</w:t>
            </w:r>
          </w:p>
          <w:p w14:paraId="4427B2A2"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23572 patients included from 56 countries</w:t>
            </w:r>
          </w:p>
          <w:p w14:paraId="41FCD82E"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Recruitment: </w:t>
            </w:r>
            <w:r w:rsidRPr="009B561A">
              <w:rPr>
                <w:rFonts w:ascii="Calibri" w:hAnsi="Calibri" w:cs="Calibri"/>
                <w:color w:val="000000" w:themeColor="text1"/>
                <w:sz w:val="20"/>
                <w:szCs w:val="20"/>
              </w:rPr>
              <w:t>HPSC</w:t>
            </w:r>
          </w:p>
        </w:tc>
        <w:tc>
          <w:tcPr>
            <w:tcW w:w="3828" w:type="dxa"/>
          </w:tcPr>
          <w:p w14:paraId="1BFE22B2"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Access antibiotic use in children ranged from 7·8% (China) to 61·2% (Slovenia) of all antibiotic prescriptions. The use of Watch antibiotics in children was highest in Iran (77·3%) and lowest in Finland (23·0%). In neonates, Access antibiotic use was highest in Singapore (100·0%) and lowest in China (24·2%). Reserve antibiotic use was low in all countries.</w:t>
            </w:r>
          </w:p>
        </w:tc>
        <w:tc>
          <w:tcPr>
            <w:tcW w:w="4110" w:type="dxa"/>
          </w:tcPr>
          <w:p w14:paraId="7F85D32A"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Our active surveillance contributes to global data</w:t>
            </w:r>
          </w:p>
        </w:tc>
      </w:tr>
      <w:tr w:rsidR="00D82224" w:rsidRPr="009B561A" w14:paraId="052D517D" w14:textId="77777777" w:rsidTr="0087653A">
        <w:tc>
          <w:tcPr>
            <w:tcW w:w="451" w:type="dxa"/>
          </w:tcPr>
          <w:p w14:paraId="24FA6E9F"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6</w:t>
            </w:r>
          </w:p>
        </w:tc>
        <w:tc>
          <w:tcPr>
            <w:tcW w:w="2514" w:type="dxa"/>
          </w:tcPr>
          <w:p w14:paraId="3672A207" w14:textId="56F15112" w:rsidR="00D82224" w:rsidRPr="00D12296" w:rsidRDefault="00D82224" w:rsidP="009B561A">
            <w:pPr>
              <w:spacing w:line="276" w:lineRule="auto"/>
              <w:rPr>
                <w:rFonts w:ascii="Calibri" w:hAnsi="Calibri" w:cs="Calibri"/>
                <w:b/>
                <w:bCs/>
                <w:sz w:val="20"/>
                <w:szCs w:val="20"/>
              </w:rPr>
            </w:pPr>
            <w:r w:rsidRPr="00D12296">
              <w:rPr>
                <w:rFonts w:ascii="Calibri" w:hAnsi="Calibri" w:cs="Calibri"/>
                <w:b/>
                <w:bCs/>
                <w:sz w:val="20"/>
                <w:szCs w:val="20"/>
              </w:rPr>
              <w:t>Martin et al (2021)</w:t>
            </w:r>
            <w:r w:rsidRPr="00D12296">
              <w:rPr>
                <w:rFonts w:ascii="Calibri" w:hAnsi="Calibri" w:cs="Calibri"/>
                <w:b/>
                <w:bCs/>
                <w:sz w:val="20"/>
                <w:szCs w:val="20"/>
                <w:vertAlign w:val="superscript"/>
              </w:rPr>
              <w:t xml:space="preserve"> </w:t>
            </w:r>
            <w:r w:rsidR="005C0661" w:rsidRPr="00D12296">
              <w:rPr>
                <w:rFonts w:ascii="Calibri" w:hAnsi="Calibri" w:cs="Calibri"/>
                <w:b/>
                <w:bCs/>
                <w:sz w:val="20"/>
                <w:szCs w:val="20"/>
              </w:rPr>
              <w:fldChar w:fldCharType="begin" w:fldLock="1"/>
            </w:r>
            <w:r w:rsidR="005C0661" w:rsidRPr="00D12296">
              <w:rPr>
                <w:rFonts w:ascii="Calibri" w:hAnsi="Calibri" w:cs="Calibri"/>
                <w:b/>
                <w:bCs/>
                <w:sz w:val="20"/>
                <w:szCs w:val="20"/>
              </w:rPr>
              <w:instrText>ADDIN CSL_CITATION {"citationItems":[{"id":"ITEM-1","itemData":{"DOI":"10.1093/JAC/DKAA400","ISSN":"14602091","PMID":"33011763","author":[{"dropping-particle":"","family":"Martin","given":"Ellen","non-dropping-particle":"","parse-names":false,"suffix":""},{"dropping-particle":"","family":"Philbin","given":"Marie","non-dropping-particle":"","parse-names":false,"suffix":""},{"dropping-particle":"","family":"Hughes","given":"Gerry","non-dropping-particle":"","parse-names":false,"suffix":""},{"dropping-particle":"","family":"Bergin","given":"Colm","non-dropping-particle":"","parse-names":false,"suffix":""},{"dropping-particle":"","family":"Fe Talento","given":"Alida","non-dropping-particle":"","parse-names":false,"suffix":""}],"container-title":"Journal of Antimicrobial Chemotherapy","id":"ITEM-1","issue":"1","issued":{"date-parts":[["2021"]]},"page":"272-275","title":"Antimicrobial stewardship challenges and innovative initiatives in the acute hospital setting during the COVID-19 pandemic","type":"article-journal","volume":"76"},"uris":["http://www.mendeley.com/documents/?uuid=fe84fda7-f2b4-45b3-a830-e974c5d71833"]}],"mendeley":{"formattedCitation":"(4)","plainTextFormattedCitation":"(4)","previouslyFormattedCitation":"(4)"},"properties":{"noteIndex":0},"schema":"https://github.com/citation-style-language/schema/raw/master/csl-citation.json"}</w:instrText>
            </w:r>
            <w:r w:rsidR="005C0661" w:rsidRPr="00D12296">
              <w:rPr>
                <w:rFonts w:ascii="Calibri" w:hAnsi="Calibri" w:cs="Calibri"/>
                <w:b/>
                <w:bCs/>
                <w:sz w:val="20"/>
                <w:szCs w:val="20"/>
              </w:rPr>
              <w:fldChar w:fldCharType="separate"/>
            </w:r>
            <w:r w:rsidR="00D12296" w:rsidRPr="00D12296">
              <w:rPr>
                <w:rFonts w:ascii="Calibri" w:hAnsi="Calibri" w:cs="Calibri"/>
                <w:sz w:val="20"/>
                <w:szCs w:val="20"/>
              </w:rPr>
              <w:t>[</w:t>
            </w:r>
            <w:r w:rsidR="005C0661" w:rsidRPr="00D12296">
              <w:rPr>
                <w:rFonts w:ascii="Calibri" w:hAnsi="Calibri" w:cs="Calibri"/>
                <w:bCs/>
                <w:noProof/>
                <w:sz w:val="20"/>
                <w:szCs w:val="20"/>
              </w:rPr>
              <w:t>4</w:t>
            </w:r>
            <w:r w:rsidR="00D12296" w:rsidRPr="00D12296">
              <w:rPr>
                <w:rFonts w:ascii="Calibri" w:hAnsi="Calibri" w:cs="Calibri"/>
                <w:bCs/>
                <w:noProof/>
                <w:sz w:val="20"/>
                <w:szCs w:val="20"/>
              </w:rPr>
              <w:t xml:space="preserve">]   </w:t>
            </w:r>
            <w:r w:rsidR="005C0661" w:rsidRPr="00D12296">
              <w:rPr>
                <w:rFonts w:ascii="Calibri" w:hAnsi="Calibri" w:cs="Calibri"/>
                <w:b/>
                <w:bCs/>
                <w:sz w:val="20"/>
                <w:szCs w:val="20"/>
                <w:vertAlign w:val="superscript"/>
              </w:rPr>
              <w:fldChar w:fldCharType="end"/>
            </w:r>
          </w:p>
          <w:p w14:paraId="66BEBF55" w14:textId="77777777" w:rsidR="00D82224" w:rsidRPr="00D12296" w:rsidRDefault="00D82224" w:rsidP="009B561A">
            <w:pPr>
              <w:spacing w:line="276" w:lineRule="auto"/>
              <w:rPr>
                <w:rFonts w:ascii="Calibri" w:hAnsi="Calibri" w:cs="Calibri"/>
                <w:sz w:val="20"/>
                <w:szCs w:val="20"/>
              </w:rPr>
            </w:pPr>
            <w:r w:rsidRPr="00D12296">
              <w:rPr>
                <w:rFonts w:ascii="Calibri" w:hAnsi="Calibri" w:cs="Calibri"/>
                <w:sz w:val="20"/>
                <w:szCs w:val="20"/>
              </w:rPr>
              <w:t>Antimicrobial stewardship challenges and innovative initiatives in the acute hospital setting during the COVID-19 pandemic</w:t>
            </w:r>
          </w:p>
          <w:p w14:paraId="3EBF0316" w14:textId="77777777" w:rsidR="00D82224" w:rsidRPr="00D12296" w:rsidRDefault="00D82224" w:rsidP="009B561A">
            <w:pPr>
              <w:spacing w:line="276" w:lineRule="auto"/>
              <w:rPr>
                <w:rFonts w:ascii="Calibri" w:hAnsi="Calibri" w:cs="Calibri"/>
                <w:sz w:val="20"/>
                <w:szCs w:val="20"/>
              </w:rPr>
            </w:pPr>
          </w:p>
          <w:p w14:paraId="40E6295A" w14:textId="77777777" w:rsidR="00D82224" w:rsidRPr="00D12296" w:rsidRDefault="00D82224" w:rsidP="009B561A">
            <w:pPr>
              <w:spacing w:line="276" w:lineRule="auto"/>
              <w:rPr>
                <w:rFonts w:ascii="Calibri" w:hAnsi="Calibri" w:cs="Calibri"/>
                <w:b/>
                <w:bCs/>
                <w:color w:val="000000" w:themeColor="text1"/>
                <w:sz w:val="20"/>
                <w:szCs w:val="20"/>
              </w:rPr>
            </w:pPr>
            <w:r w:rsidRPr="00D12296">
              <w:rPr>
                <w:rFonts w:ascii="Calibri" w:hAnsi="Calibri" w:cs="Calibri"/>
                <w:b/>
                <w:bCs/>
                <w:sz w:val="20"/>
                <w:szCs w:val="20"/>
              </w:rPr>
              <w:t>* Links with Table SRC A&amp;C</w:t>
            </w:r>
          </w:p>
        </w:tc>
        <w:tc>
          <w:tcPr>
            <w:tcW w:w="3267" w:type="dxa"/>
          </w:tcPr>
          <w:p w14:paraId="58CD2AAD" w14:textId="77777777" w:rsidR="00D82224" w:rsidRPr="009B561A" w:rsidRDefault="00D82224" w:rsidP="009B561A">
            <w:pPr>
              <w:spacing w:line="276" w:lineRule="auto"/>
              <w:rPr>
                <w:rFonts w:ascii="Calibri" w:hAnsi="Calibri" w:cs="Calibri"/>
                <w:b/>
                <w:bCs/>
                <w:color w:val="000000" w:themeColor="text1"/>
                <w:sz w:val="20"/>
                <w:szCs w:val="20"/>
              </w:rPr>
            </w:pPr>
          </w:p>
        </w:tc>
        <w:tc>
          <w:tcPr>
            <w:tcW w:w="3828" w:type="dxa"/>
          </w:tcPr>
          <w:p w14:paraId="51EB058A" w14:textId="77777777" w:rsidR="00D82224" w:rsidRPr="009B561A" w:rsidRDefault="00D82224" w:rsidP="009B561A">
            <w:pPr>
              <w:spacing w:line="276" w:lineRule="auto"/>
              <w:rPr>
                <w:rFonts w:ascii="Calibri" w:hAnsi="Calibri" w:cs="Calibri"/>
                <w:sz w:val="20"/>
                <w:szCs w:val="20"/>
              </w:rPr>
            </w:pPr>
          </w:p>
        </w:tc>
        <w:tc>
          <w:tcPr>
            <w:tcW w:w="4110" w:type="dxa"/>
          </w:tcPr>
          <w:p w14:paraId="40405F0B"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Previously mentioned in Table SRC A</w:t>
            </w:r>
          </w:p>
          <w:p w14:paraId="008AEFA8" w14:textId="77777777" w:rsidR="00D82224" w:rsidRPr="009B561A" w:rsidRDefault="00D82224" w:rsidP="009B561A">
            <w:pPr>
              <w:spacing w:line="276" w:lineRule="auto"/>
              <w:rPr>
                <w:rFonts w:ascii="Calibri" w:hAnsi="Calibri" w:cs="Calibri"/>
                <w:b/>
                <w:bCs/>
                <w:sz w:val="20"/>
                <w:szCs w:val="20"/>
              </w:rPr>
            </w:pPr>
          </w:p>
          <w:p w14:paraId="6D18BE85" w14:textId="77777777" w:rsidR="00D82224" w:rsidRPr="009B561A" w:rsidRDefault="00D82224" w:rsidP="009B561A">
            <w:pPr>
              <w:spacing w:line="276" w:lineRule="auto"/>
              <w:rPr>
                <w:rFonts w:ascii="Calibri" w:hAnsi="Calibri" w:cs="Calibri"/>
                <w:b/>
                <w:bCs/>
                <w:sz w:val="20"/>
                <w:szCs w:val="20"/>
              </w:rPr>
            </w:pPr>
          </w:p>
          <w:p w14:paraId="6951E0E3" w14:textId="77777777" w:rsidR="00D82224" w:rsidRPr="009B561A" w:rsidRDefault="00D82224" w:rsidP="009B561A">
            <w:pPr>
              <w:spacing w:line="276" w:lineRule="auto"/>
              <w:rPr>
                <w:rFonts w:ascii="Calibri" w:hAnsi="Calibri" w:cs="Calibri"/>
                <w:sz w:val="20"/>
                <w:szCs w:val="20"/>
              </w:rPr>
            </w:pPr>
          </w:p>
        </w:tc>
      </w:tr>
      <w:tr w:rsidR="00D82224" w:rsidRPr="009B561A" w14:paraId="6EB4DDF2" w14:textId="77777777" w:rsidTr="0087653A">
        <w:tc>
          <w:tcPr>
            <w:tcW w:w="451" w:type="dxa"/>
          </w:tcPr>
          <w:p w14:paraId="369BE6E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7</w:t>
            </w:r>
          </w:p>
        </w:tc>
        <w:tc>
          <w:tcPr>
            <w:tcW w:w="2514" w:type="dxa"/>
          </w:tcPr>
          <w:p w14:paraId="15F5F221" w14:textId="323CD223" w:rsidR="00D82224" w:rsidRPr="00D12296" w:rsidRDefault="00D82224" w:rsidP="009B561A">
            <w:pPr>
              <w:spacing w:line="276" w:lineRule="auto"/>
              <w:rPr>
                <w:rFonts w:ascii="Calibri" w:hAnsi="Calibri" w:cs="Calibri"/>
                <w:b/>
                <w:bCs/>
                <w:sz w:val="20"/>
                <w:szCs w:val="20"/>
                <w:vertAlign w:val="superscript"/>
              </w:rPr>
            </w:pPr>
            <w:r w:rsidRPr="00D12296">
              <w:rPr>
                <w:rFonts w:ascii="Calibri" w:hAnsi="Calibri" w:cs="Calibri"/>
                <w:b/>
                <w:bCs/>
                <w:color w:val="000000" w:themeColor="text1"/>
                <w:sz w:val="20"/>
                <w:szCs w:val="20"/>
              </w:rPr>
              <w:t>McCarthy et al (2018)</w:t>
            </w:r>
            <w:r w:rsidRPr="00D12296">
              <w:rPr>
                <w:rFonts w:ascii="Calibri" w:hAnsi="Calibri" w:cs="Calibri"/>
                <w:b/>
                <w:bCs/>
                <w:sz w:val="20"/>
                <w:szCs w:val="20"/>
                <w:vertAlign w:val="superscript"/>
              </w:rPr>
              <w:t xml:space="preserve"> </w:t>
            </w:r>
            <w:r w:rsidR="002557F6" w:rsidRPr="00D12296">
              <w:rPr>
                <w:rFonts w:ascii="Calibri" w:hAnsi="Calibri" w:cs="Calibri"/>
                <w:b/>
                <w:bCs/>
                <w:sz w:val="20"/>
                <w:szCs w:val="20"/>
                <w:vertAlign w:val="superscript"/>
              </w:rPr>
              <w:fldChar w:fldCharType="begin" w:fldLock="1"/>
            </w:r>
            <w:r w:rsidR="002557F6" w:rsidRPr="00D12296">
              <w:rPr>
                <w:rFonts w:ascii="Calibri" w:hAnsi="Calibri" w:cs="Calibri"/>
                <w:b/>
                <w:bCs/>
                <w:sz w:val="20"/>
                <w:szCs w:val="20"/>
                <w:vertAlign w:val="superscript"/>
              </w:rPr>
              <w:instrText>ADDIN CSL_CITATION {"citationItems":[{"id":"ITEM-1","itemData":{"DOI":"10.1111/apa.14337","ISSN":"1651-2227","PMID":"29603353","abstract":"Aim: Antimicrobial stewardship plays an important role in ensuring that the appropriate drug, dose, route and duration are employed to provide adequate treatment while minimising the risks of unnecessary antibiotic use. Surveillance of antibiotic use with prescriber feedback is recommended as a high-impact stewardship intervention. The aim of this study was to reduce unnecessary antimicrobial use in a neonatal unit. Methods: A prospective audit was performed to assess compliance with antimicrobial guidelines. Following this, educational interventions were applied, electronic prescribing was introduced to the neonatal unit, and re-audit was performed. The primary outcome was a reduction in days of therapy (DOT). Results: There were 312 neonatal admissions. There was a significant overall reduction in the primary outcome of DOT/1000 patient days from 572 to 417 DOT. This represents a 27% reduction in total antibiotic use. Prolonged antibiotic treatment courses &gt;36 hours in negative sepsis evaluations were reduced from 82 DOT to 7.5 DOT. Similarly, treatment courses greater than five days for culture-negative sepsis were reduced from 46.5 DOT to 7 DOT. Conclusion: Monitoring antibiotic prescribing data can provide useful insights into the trends of antibiotic use and also inform clinicians of potential areas where antibiotic use may be safely reduced.","author":[{"dropping-particle":"","family":"McCarthy","given":"K. N.","non-dropping-particle":"","parse-names":false,"suffix":""},{"dropping-particle":"","family":"Hawke","given":"A.","non-dropping-particle":"","parse-names":false,"suffix":""},{"dropping-particle":"","family":"Dempsey","given":"E. M.","non-dropping-particle":"","parse-names":false,"suffix":""}],"container-title":"Acta Paediatrica, International Journal of Paediatrics","id":"ITEM-1","issue":"10","issued":{"date-parts":[["2018"]]},"language":"English","page":"1716-1721","publisher-place":"K.N. McCarthy, Department of Paediatrics and Child Health, Neonatal Intensive Care Unit, Cork, Ireland","title":"Antimicrobial stewardship in the neonatal unit reduces antibiotic exposure","type":"article-journal","volume":"107"},"uris":["http://www.mendeley.com/documents/?uuid=f074dc8e-596d-45c0-a59c-6bdc2d784498"]}],"mendeley":{"formattedCitation":"(33)","plainTextFormattedCitation":"(33)","previouslyFormattedCitation":"(33)"},"properties":{"noteIndex":0},"schema":"https://github.com/citation-style-language/schema/raw/master/csl-citation.json"}</w:instrText>
            </w:r>
            <w:r w:rsidR="002557F6" w:rsidRPr="00D12296">
              <w:rPr>
                <w:rFonts w:ascii="Calibri" w:hAnsi="Calibri" w:cs="Calibri"/>
                <w:b/>
                <w:bCs/>
                <w:sz w:val="20"/>
                <w:szCs w:val="20"/>
                <w:vertAlign w:val="superscript"/>
              </w:rPr>
              <w:fldChar w:fldCharType="separate"/>
            </w:r>
            <w:r w:rsidR="00D12296" w:rsidRPr="00D12296">
              <w:rPr>
                <w:rFonts w:ascii="Calibri" w:hAnsi="Calibri" w:cs="Calibri"/>
                <w:sz w:val="20"/>
                <w:szCs w:val="20"/>
              </w:rPr>
              <w:t>[</w:t>
            </w:r>
            <w:r w:rsidR="002557F6" w:rsidRPr="00D12296">
              <w:rPr>
                <w:rFonts w:ascii="Calibri" w:hAnsi="Calibri" w:cs="Calibri"/>
                <w:bCs/>
                <w:noProof/>
                <w:sz w:val="20"/>
                <w:szCs w:val="20"/>
              </w:rPr>
              <w:t>33</w:t>
            </w:r>
            <w:r w:rsidR="00D12296" w:rsidRPr="00D12296">
              <w:rPr>
                <w:rFonts w:ascii="Calibri" w:hAnsi="Calibri" w:cs="Calibri"/>
                <w:bCs/>
                <w:noProof/>
                <w:sz w:val="20"/>
                <w:szCs w:val="20"/>
              </w:rPr>
              <w:t xml:space="preserve">]  </w:t>
            </w:r>
            <w:r w:rsidR="002557F6" w:rsidRPr="00D12296">
              <w:rPr>
                <w:rFonts w:ascii="Calibri" w:hAnsi="Calibri" w:cs="Calibri"/>
                <w:b/>
                <w:bCs/>
                <w:sz w:val="20"/>
                <w:szCs w:val="20"/>
                <w:vertAlign w:val="superscript"/>
              </w:rPr>
              <w:fldChar w:fldCharType="end"/>
            </w:r>
          </w:p>
          <w:p w14:paraId="17569709" w14:textId="77777777" w:rsidR="00D82224" w:rsidRPr="009B561A" w:rsidRDefault="00D82224" w:rsidP="009B561A">
            <w:pPr>
              <w:spacing w:line="276" w:lineRule="auto"/>
              <w:rPr>
                <w:rFonts w:ascii="Calibri" w:hAnsi="Calibri" w:cs="Calibri"/>
                <w:color w:val="000000" w:themeColor="text1"/>
                <w:sz w:val="20"/>
                <w:szCs w:val="20"/>
              </w:rPr>
            </w:pPr>
            <w:r w:rsidRPr="00D12296">
              <w:rPr>
                <w:rFonts w:ascii="Calibri" w:hAnsi="Calibri" w:cs="Calibri"/>
                <w:color w:val="000000" w:themeColor="text1"/>
                <w:sz w:val="20"/>
                <w:szCs w:val="20"/>
              </w:rPr>
              <w:t>Antimicrobial stewardship in the neonatal unit reduces antibiotic exposure</w:t>
            </w:r>
          </w:p>
          <w:p w14:paraId="6FECECD6" w14:textId="77777777" w:rsidR="00D82224" w:rsidRPr="009B561A" w:rsidRDefault="00D82224" w:rsidP="009B561A">
            <w:pPr>
              <w:spacing w:line="276" w:lineRule="auto"/>
              <w:rPr>
                <w:rFonts w:ascii="Calibri" w:hAnsi="Calibri" w:cs="Calibri"/>
                <w:b/>
                <w:bCs/>
                <w:sz w:val="20"/>
                <w:szCs w:val="20"/>
              </w:rPr>
            </w:pPr>
          </w:p>
        </w:tc>
        <w:tc>
          <w:tcPr>
            <w:tcW w:w="3267" w:type="dxa"/>
          </w:tcPr>
          <w:p w14:paraId="6F46D343"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Aims:</w:t>
            </w:r>
            <w:r w:rsidRPr="009B561A">
              <w:rPr>
                <w:rFonts w:ascii="Calibri" w:hAnsi="Calibri" w:cs="Calibri"/>
                <w:color w:val="000000" w:themeColor="text1"/>
                <w:sz w:val="20"/>
                <w:szCs w:val="20"/>
              </w:rPr>
              <w:t xml:space="preserve"> To reduce unnecessary antimicrobial use in a neonatal unit</w:t>
            </w:r>
          </w:p>
          <w:p w14:paraId="0B23A58F"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Methods: </w:t>
            </w:r>
            <w:r w:rsidRPr="009B561A">
              <w:rPr>
                <w:rFonts w:ascii="Calibri" w:hAnsi="Calibri" w:cs="Calibri"/>
                <w:color w:val="000000" w:themeColor="text1"/>
                <w:sz w:val="20"/>
                <w:szCs w:val="20"/>
              </w:rPr>
              <w:t xml:space="preserve"> A prospective audit was performed to assess compliance with antimicrobial guidelines. Following this, educational interventions were applied, electronic prescribing was introduced to the neonatal unit, and re-audit was performed.</w:t>
            </w:r>
          </w:p>
          <w:p w14:paraId="719307EF"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312 neonatal admissions</w:t>
            </w:r>
          </w:p>
          <w:p w14:paraId="30A44360"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Recruitment:</w:t>
            </w:r>
            <w:r w:rsidRPr="009B561A">
              <w:rPr>
                <w:rFonts w:ascii="Calibri" w:hAnsi="Calibri" w:cs="Calibri"/>
                <w:sz w:val="20"/>
                <w:szCs w:val="20"/>
              </w:rPr>
              <w:t xml:space="preserve"> Hospital</w:t>
            </w:r>
          </w:p>
        </w:tc>
        <w:tc>
          <w:tcPr>
            <w:tcW w:w="3828" w:type="dxa"/>
          </w:tcPr>
          <w:p w14:paraId="28B994EA"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Primary outcome of DOT/1000 patient days from 572 to 417 DOT. This represents a 27% reduction in total antibiotic use</w:t>
            </w:r>
          </w:p>
        </w:tc>
        <w:tc>
          <w:tcPr>
            <w:tcW w:w="4110" w:type="dxa"/>
          </w:tcPr>
          <w:p w14:paraId="7292A315"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Only study in our review to mention electronic prescribing in use.</w:t>
            </w:r>
          </w:p>
          <w:p w14:paraId="7E8740C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Provide useful insights into the trends of antibiotic use. </w:t>
            </w:r>
          </w:p>
          <w:p w14:paraId="25CE197F"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 Inform clinicians of potential areas where antibiotic use may be safely reduced.</w:t>
            </w:r>
          </w:p>
        </w:tc>
      </w:tr>
      <w:tr w:rsidR="00D82224" w:rsidRPr="009B561A" w14:paraId="1D4A991C" w14:textId="77777777" w:rsidTr="0087653A">
        <w:tc>
          <w:tcPr>
            <w:tcW w:w="451" w:type="dxa"/>
          </w:tcPr>
          <w:p w14:paraId="2BB391B0"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8</w:t>
            </w:r>
          </w:p>
        </w:tc>
        <w:tc>
          <w:tcPr>
            <w:tcW w:w="2514" w:type="dxa"/>
          </w:tcPr>
          <w:p w14:paraId="22E8E1AF" w14:textId="2651FBCC" w:rsidR="00D82224" w:rsidRPr="00D12296" w:rsidRDefault="00D82224" w:rsidP="009B561A">
            <w:pPr>
              <w:spacing w:line="276" w:lineRule="auto"/>
              <w:rPr>
                <w:rFonts w:ascii="Calibri" w:hAnsi="Calibri" w:cs="Calibri"/>
                <w:b/>
                <w:bCs/>
                <w:sz w:val="20"/>
                <w:szCs w:val="20"/>
                <w:vertAlign w:val="superscript"/>
              </w:rPr>
            </w:pPr>
            <w:r w:rsidRPr="009B561A">
              <w:rPr>
                <w:rFonts w:ascii="Calibri" w:hAnsi="Calibri" w:cs="Calibri"/>
                <w:b/>
                <w:bCs/>
                <w:sz w:val="20"/>
                <w:szCs w:val="20"/>
              </w:rPr>
              <w:t>Ni Riain et al (</w:t>
            </w:r>
            <w:r w:rsidRPr="00D12296">
              <w:rPr>
                <w:rFonts w:ascii="Calibri" w:hAnsi="Calibri" w:cs="Calibri"/>
                <w:b/>
                <w:bCs/>
                <w:sz w:val="20"/>
                <w:szCs w:val="20"/>
              </w:rPr>
              <w:t xml:space="preserve">2016) </w:t>
            </w:r>
            <w:r w:rsidR="00F62023" w:rsidRPr="00D12296">
              <w:rPr>
                <w:rFonts w:ascii="Calibri" w:hAnsi="Calibri" w:cs="Calibri"/>
                <w:b/>
                <w:bCs/>
                <w:sz w:val="20"/>
                <w:szCs w:val="20"/>
              </w:rPr>
              <w:fldChar w:fldCharType="begin" w:fldLock="1"/>
            </w:r>
            <w:r w:rsidR="005A1AF4" w:rsidRPr="00D12296">
              <w:rPr>
                <w:rFonts w:ascii="Calibri" w:hAnsi="Calibri" w:cs="Calibri"/>
                <w:b/>
                <w:bCs/>
                <w:sz w:val="20"/>
                <w:szCs w:val="20"/>
              </w:rPr>
              <w:instrText>ADDIN CSL_CITATION {"citationItems":[{"id":"ITEM-1","itemData":{"DOI":"10.1007/s11845-016-1504-9","ISSN":"18634362","PMID":"27686471","abstract":"Objective: Use of meropenem in our hospital has doubled in recent years. An audit in 2013 showed that although initiation of therapy with meropenem was generally appropriate, therapy was rarely subsequently reviewed and de-escalated where appropriate. Therefore, a structured stewardship initiative focussed on meropenem de-escalation was developed. Methods: A local guideline for review and de-escalation of meropenem was developed and approved by the Antimicrobial Stewardship Team. The guideline outlined clinical and microbiological criteria which when met should lead to recommendation for meropenem de-escalation. Implementation of the guideline was piloted for a period of 4 weeks by a consultant microbiologist and an antimicrobial pharmacist. Days of meropenem use and crude mortality in those in whom de-escalation was implemented were compared with those where de-escalation was not recommended or was recommended but not implemented. Results: Thirty-three patients were reviewed. Overall, a recommendation to de-escalate from meropenem to a specified alternative antibiotic was made for 18 (55 %) patients. This advice was followed for 12 (36 %) patients. The median days of meropenem use in patients where meropenem was de-escalated was 4.5 days (range 2–19) compared with 14 days (range 6–84) where de-escalation was not recommended or the recommendation was not implemented. There was no statistically significant difference in crude mortality between patients de-escalated from meropenem and those where meropenem was continued. Conclusion: This pilot study suggests that targeted carbapenem de-escalation stewardship activity based on pre-determined criteria, while labour intensive, can effectively and safely reduce meropenem use in the acute hospital setting.","author":[{"dropping-particle":"","family":"Ni Riain","given":"U.","non-dropping-particle":"","parse-names":false,"suffix":""},{"dropping-particle":"","family":"Tierney","given":"M.","non-dropping-particle":"","parse-names":false,"suffix":""},{"dropping-particle":"","family":"Doyle","given":"C.","non-dropping-particle":"","parse-names":false,"suffix":""},{"dropping-particle":"","family":"Vellinga","given":"A.","non-dropping-particle":"","parse-names":false,"suffix":""},{"dropping-particle":"","family":"Fleming","given":"C.","non-dropping-particle":"","parse-names":false,"suffix":""},{"dropping-particle":"","family":"Cormican","given":"M.","non-dropping-particle":"","parse-names":false,"suffix":""}],"container-title":"Irish Journal of Medical Science","id":"ITEM-1","issue":"3","issued":{"date-parts":[["2017","8","1"]]},"page":"729-732","publisher":"Springer London","title":"Targeted de-escalation rounds may effectively and safely reduce meropenem use","type":"article-journal","volume":"186"},"uris":["http://www.mendeley.com/documents/?uuid=ef3c54ad-a80e-37a3-a347-044471f857fe"]}],"mendeley":{"formattedCitation":"(20)","plainTextFormattedCitation":"(20)","previouslyFormattedCitation":"(20)"},"properties":{"noteIndex":0},"schema":"https://github.com/citation-style-language/schema/raw/master/csl-citation.json"}</w:instrText>
            </w:r>
            <w:r w:rsidR="00F62023" w:rsidRPr="00D12296">
              <w:rPr>
                <w:rFonts w:ascii="Calibri" w:hAnsi="Calibri" w:cs="Calibri"/>
                <w:b/>
                <w:bCs/>
                <w:sz w:val="20"/>
                <w:szCs w:val="20"/>
              </w:rPr>
              <w:fldChar w:fldCharType="separate"/>
            </w:r>
            <w:r w:rsidR="00D12296" w:rsidRPr="00D12296">
              <w:rPr>
                <w:rFonts w:ascii="Calibri" w:hAnsi="Calibri" w:cs="Calibri"/>
                <w:sz w:val="20"/>
                <w:szCs w:val="20"/>
              </w:rPr>
              <w:t>[</w:t>
            </w:r>
            <w:r w:rsidR="00F62023" w:rsidRPr="00D12296">
              <w:rPr>
                <w:rFonts w:ascii="Calibri" w:hAnsi="Calibri" w:cs="Calibri"/>
                <w:bCs/>
                <w:noProof/>
                <w:sz w:val="20"/>
                <w:szCs w:val="20"/>
              </w:rPr>
              <w:t>20</w:t>
            </w:r>
            <w:r w:rsidR="00D12296" w:rsidRPr="00D12296">
              <w:rPr>
                <w:rFonts w:ascii="Calibri" w:hAnsi="Calibri" w:cs="Calibri"/>
                <w:bCs/>
                <w:noProof/>
                <w:sz w:val="20"/>
                <w:szCs w:val="20"/>
              </w:rPr>
              <w:t xml:space="preserve">] </w:t>
            </w:r>
            <w:r w:rsidR="00F62023" w:rsidRPr="00D12296">
              <w:rPr>
                <w:rFonts w:ascii="Calibri" w:hAnsi="Calibri" w:cs="Calibri"/>
                <w:b/>
                <w:bCs/>
                <w:sz w:val="20"/>
                <w:szCs w:val="20"/>
              </w:rPr>
              <w:fldChar w:fldCharType="end"/>
            </w:r>
          </w:p>
          <w:p w14:paraId="5B26BAC2" w14:textId="77777777" w:rsidR="00D82224" w:rsidRPr="009B561A" w:rsidRDefault="00D82224" w:rsidP="009B561A">
            <w:pPr>
              <w:spacing w:line="276" w:lineRule="auto"/>
              <w:rPr>
                <w:rFonts w:ascii="Calibri" w:hAnsi="Calibri" w:cs="Calibri"/>
                <w:sz w:val="20"/>
                <w:szCs w:val="20"/>
              </w:rPr>
            </w:pPr>
            <w:r w:rsidRPr="00D12296">
              <w:rPr>
                <w:rFonts w:ascii="Calibri" w:hAnsi="Calibri" w:cs="Calibri"/>
                <w:sz w:val="20"/>
                <w:szCs w:val="20"/>
              </w:rPr>
              <w:t>Targeted de-escalation</w:t>
            </w:r>
            <w:r w:rsidRPr="009B561A">
              <w:rPr>
                <w:rFonts w:ascii="Calibri" w:hAnsi="Calibri" w:cs="Calibri"/>
                <w:sz w:val="20"/>
                <w:szCs w:val="20"/>
              </w:rPr>
              <w:t xml:space="preserve"> rounds may effectively and safely reduce meropenem use</w:t>
            </w:r>
          </w:p>
          <w:p w14:paraId="77D7898D"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 Links with Table SRC B</w:t>
            </w:r>
          </w:p>
        </w:tc>
        <w:tc>
          <w:tcPr>
            <w:tcW w:w="3267" w:type="dxa"/>
          </w:tcPr>
          <w:p w14:paraId="22C4E7B3" w14:textId="77777777" w:rsidR="00D82224" w:rsidRPr="009B561A" w:rsidRDefault="00D82224" w:rsidP="009B561A">
            <w:pPr>
              <w:spacing w:line="276" w:lineRule="auto"/>
              <w:rPr>
                <w:rFonts w:ascii="Calibri" w:hAnsi="Calibri" w:cs="Calibri"/>
                <w:b/>
                <w:bCs/>
                <w:color w:val="000000" w:themeColor="text1"/>
                <w:sz w:val="20"/>
                <w:szCs w:val="20"/>
              </w:rPr>
            </w:pPr>
          </w:p>
        </w:tc>
        <w:tc>
          <w:tcPr>
            <w:tcW w:w="3828" w:type="dxa"/>
          </w:tcPr>
          <w:p w14:paraId="76F99311" w14:textId="77777777" w:rsidR="00D82224" w:rsidRPr="009B561A" w:rsidRDefault="00D82224" w:rsidP="009B561A">
            <w:pPr>
              <w:spacing w:line="276" w:lineRule="auto"/>
              <w:rPr>
                <w:rFonts w:ascii="Calibri" w:hAnsi="Calibri" w:cs="Calibri"/>
                <w:sz w:val="20"/>
                <w:szCs w:val="20"/>
              </w:rPr>
            </w:pPr>
          </w:p>
        </w:tc>
        <w:tc>
          <w:tcPr>
            <w:tcW w:w="4110" w:type="dxa"/>
          </w:tcPr>
          <w:p w14:paraId="5F8BF998"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Previously mentioned in Table SRC B</w:t>
            </w:r>
          </w:p>
          <w:p w14:paraId="17F33754" w14:textId="77777777" w:rsidR="00D82224" w:rsidRPr="009B561A" w:rsidRDefault="00D82224" w:rsidP="009B561A">
            <w:pPr>
              <w:spacing w:line="276" w:lineRule="auto"/>
              <w:rPr>
                <w:rFonts w:ascii="Calibri" w:hAnsi="Calibri" w:cs="Calibri"/>
                <w:sz w:val="20"/>
                <w:szCs w:val="20"/>
              </w:rPr>
            </w:pPr>
          </w:p>
          <w:p w14:paraId="689E55B3" w14:textId="77777777" w:rsidR="00D82224" w:rsidRPr="009B561A" w:rsidRDefault="00D82224" w:rsidP="009B561A">
            <w:pPr>
              <w:spacing w:line="276" w:lineRule="auto"/>
              <w:rPr>
                <w:rFonts w:ascii="Calibri" w:hAnsi="Calibri" w:cs="Calibri"/>
                <w:sz w:val="20"/>
                <w:szCs w:val="20"/>
              </w:rPr>
            </w:pPr>
          </w:p>
        </w:tc>
      </w:tr>
      <w:tr w:rsidR="00D82224" w:rsidRPr="009B561A" w14:paraId="578ED2A9" w14:textId="77777777" w:rsidTr="0087653A">
        <w:tc>
          <w:tcPr>
            <w:tcW w:w="451" w:type="dxa"/>
          </w:tcPr>
          <w:p w14:paraId="51E07BEC"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9</w:t>
            </w:r>
          </w:p>
        </w:tc>
        <w:tc>
          <w:tcPr>
            <w:tcW w:w="2514" w:type="dxa"/>
          </w:tcPr>
          <w:p w14:paraId="2BFEE1C8" w14:textId="5EA4F282"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sz w:val="20"/>
                <w:szCs w:val="20"/>
              </w:rPr>
              <w:t>O’Connor et al (2020</w:t>
            </w:r>
            <w:r w:rsidRPr="00627FDA">
              <w:rPr>
                <w:rFonts w:ascii="Calibri" w:hAnsi="Calibri" w:cs="Calibri"/>
                <w:b/>
                <w:bCs/>
                <w:sz w:val="20"/>
                <w:szCs w:val="20"/>
              </w:rPr>
              <w:t>)</w:t>
            </w:r>
            <w:r w:rsidRPr="00627FDA">
              <w:rPr>
                <w:rFonts w:ascii="Calibri" w:hAnsi="Calibri" w:cs="Calibri"/>
                <w:b/>
                <w:bCs/>
                <w:sz w:val="20"/>
                <w:szCs w:val="20"/>
                <w:vertAlign w:val="superscript"/>
              </w:rPr>
              <w:t xml:space="preserve"> </w:t>
            </w:r>
            <w:r w:rsidR="005A1AF4" w:rsidRPr="00627FDA">
              <w:rPr>
                <w:rFonts w:ascii="Calibri" w:hAnsi="Calibri" w:cs="Calibri"/>
                <w:b/>
                <w:bCs/>
                <w:sz w:val="20"/>
                <w:szCs w:val="20"/>
                <w:vertAlign w:val="superscript"/>
              </w:rPr>
              <w:fldChar w:fldCharType="begin" w:fldLock="1"/>
            </w:r>
            <w:r w:rsidR="005A1AF4" w:rsidRPr="00627FDA">
              <w:rPr>
                <w:rFonts w:ascii="Calibri" w:hAnsi="Calibri" w:cs="Calibri"/>
                <w:b/>
                <w:bCs/>
                <w:sz w:val="20"/>
                <w:szCs w:val="20"/>
                <w:vertAlign w:val="superscript"/>
              </w:rPr>
              <w:instrText>ADDIN CSL_CITATION {"citationItems":[{"id":"ITEM-1","itemData":{"DOI":"10.1080/13814788.2020.1784137","ISSN":"17511402","PMID":"32757866","abstract":"Background: Antibiotic resistance is a threat to our health and health systems. Up to 70% of antibiotics are prescribed in general practice. In Ireland, Out-of-hours (OOH) services are mostly provided by co-operatives of GPs and the 11 main OOH centres cover up to 90% of the population. More than 80% of GPs are involved in OOH care in their area, which provides an opportunity to deliver education and awareness through this centralised system. Objectives: To analyse the change in the quality of antibiotic prescribing after the introduction of an educational intervention categorising antibiotics into a red (avoid) and green (preferred) panel. Methods: Educational information for the GP was developed based on the national prescribing guidelines. A particular focus was to reduce co-amoxyclav prescribing. An electronic pop-up message to record whether an antibiotic was prescribed, was displayed at the end of each consultation in the patient management software of the OOH-centre, after the decision of prescribing was made. Antibiotic prescribing was compared for a 13-week period (week 47–week 7) in 2016/2017 with 2017/2018. Results: Pre-intervention prescribing of red antibiotics was 44% which reduced to 17% after the intervention. The mean percentage of co-amoxyclav, the most prescribed non-firstline prescription, was 33% of all antibiotic prescriptions which dropped to 10%. Conclusion: Our intervention implemented in the OOH GP service categorised antibiotics into red prescriptions and green (firstline) prescriptions, which was recorded through an electronic pop-up message, resulted in an absolute reduction of 27% in red prescriptions and more than 23% in co-amoxyclav prescriptions.","author":[{"dropping-particle":"","family":"O’Connor","given":"Nuala","non-dropping-particle":"","parse-names":false,"suffix":""},{"dropping-particle":"","family":"Breen","given":"Roisin","non-dropping-particle":"","parse-names":false,"suffix":""},{"dropping-particle":"","family":"Carton","given":"Mícheál","non-dropping-particle":"","parse-names":false,"suffix":""},{"dropping-particle":"","family":"Mc Grath","given":"Ina","non-dropping-particle":"","parse-names":false,"suffix":""},{"dropping-particle":"","family":"Deasy","given":"Norma","non-dropping-particle":"","parse-names":false,"suffix":""},{"dropping-particle":"","family":"Collins","given":"Claire","non-dropping-particle":"","parse-names":false,"suffix":""},{"dropping-particle":"","family":"Vellinga","given":"Akke","non-dropping-particle":"","parse-names":false,"suffix":""}],"container-title":"European Journal of General Practice","id":"ITEM-1","issue":"1","issued":{"date-parts":[["2020","12","16"]]},"page":"119-124","publisher":"Taylor and Francis Ltd","title":"Improving the quality of antibiotic prescribing through an educational intervention delivered through the out-of-hours general practice service in Ireland","type":"article-journal","volume":"26"},"uris":["http://www.mendeley.com/documents/?uuid=45b9facc-f38b-3e95-8eaa-5f23a90af048"]}],"mendeley":{"formattedCitation":"(22)","plainTextFormattedCitation":"(22)","previouslyFormattedCitation":"(22)"},"properties":{"noteIndex":0},"schema":"https://github.com/citation-style-language/schema/raw/master/csl-citation.json"}</w:instrText>
            </w:r>
            <w:r w:rsidR="005A1AF4" w:rsidRPr="00627FDA">
              <w:rPr>
                <w:rFonts w:ascii="Calibri" w:hAnsi="Calibri" w:cs="Calibri"/>
                <w:b/>
                <w:bCs/>
                <w:sz w:val="20"/>
                <w:szCs w:val="20"/>
                <w:vertAlign w:val="superscript"/>
              </w:rPr>
              <w:fldChar w:fldCharType="separate"/>
            </w:r>
            <w:r w:rsidR="00627FDA" w:rsidRPr="00627FDA">
              <w:rPr>
                <w:rFonts w:ascii="Calibri" w:hAnsi="Calibri" w:cs="Calibri"/>
                <w:b/>
                <w:bCs/>
                <w:sz w:val="20"/>
                <w:szCs w:val="20"/>
                <w:vertAlign w:val="superscript"/>
              </w:rPr>
              <w:t xml:space="preserve"> </w:t>
            </w:r>
            <w:r w:rsidR="00627FDA" w:rsidRPr="00D12296">
              <w:rPr>
                <w:rFonts w:ascii="Calibri" w:hAnsi="Calibri" w:cs="Calibri"/>
                <w:sz w:val="20"/>
                <w:szCs w:val="20"/>
                <w:vertAlign w:val="superscript"/>
              </w:rPr>
              <w:t xml:space="preserve"> </w:t>
            </w:r>
            <w:r w:rsidR="00627FDA" w:rsidRPr="00D12296">
              <w:rPr>
                <w:rFonts w:ascii="Calibri" w:hAnsi="Calibri" w:cs="Calibri"/>
                <w:sz w:val="20"/>
                <w:szCs w:val="20"/>
              </w:rPr>
              <w:t>[</w:t>
            </w:r>
            <w:r w:rsidR="005A1AF4" w:rsidRPr="00627FDA">
              <w:rPr>
                <w:rFonts w:ascii="Calibri" w:hAnsi="Calibri" w:cs="Calibri"/>
                <w:bCs/>
                <w:noProof/>
                <w:sz w:val="20"/>
                <w:szCs w:val="20"/>
              </w:rPr>
              <w:t>22</w:t>
            </w:r>
            <w:r w:rsidR="00627FDA" w:rsidRPr="00627FDA">
              <w:rPr>
                <w:rFonts w:ascii="Calibri" w:hAnsi="Calibri" w:cs="Calibri"/>
                <w:bCs/>
                <w:noProof/>
                <w:sz w:val="20"/>
                <w:szCs w:val="20"/>
              </w:rPr>
              <w:t>]</w:t>
            </w:r>
            <w:r w:rsidR="005A1AF4" w:rsidRPr="00627FDA">
              <w:rPr>
                <w:rFonts w:ascii="Calibri" w:hAnsi="Calibri" w:cs="Calibri"/>
                <w:b/>
                <w:bCs/>
                <w:sz w:val="20"/>
                <w:szCs w:val="20"/>
                <w:vertAlign w:val="superscript"/>
              </w:rPr>
              <w:fldChar w:fldCharType="end"/>
            </w:r>
          </w:p>
          <w:p w14:paraId="6C286F59"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Improving the quality of antibiotic prescribing through an educational intervention delivered through the out-of-hours general practice service in Ireland</w:t>
            </w:r>
          </w:p>
          <w:p w14:paraId="6644A44A" w14:textId="77777777" w:rsidR="00D82224" w:rsidRPr="009B561A" w:rsidRDefault="00D82224" w:rsidP="009B561A">
            <w:pPr>
              <w:spacing w:line="276" w:lineRule="auto"/>
              <w:rPr>
                <w:rFonts w:ascii="Calibri" w:hAnsi="Calibri" w:cs="Calibri"/>
                <w:sz w:val="20"/>
                <w:szCs w:val="20"/>
              </w:rPr>
            </w:pPr>
          </w:p>
          <w:p w14:paraId="725F8791" w14:textId="77777777" w:rsidR="00D82224" w:rsidRPr="009B561A" w:rsidRDefault="00D82224" w:rsidP="009B561A">
            <w:pPr>
              <w:spacing w:line="276" w:lineRule="auto"/>
              <w:rPr>
                <w:rFonts w:ascii="Calibri" w:hAnsi="Calibri" w:cs="Calibri"/>
                <w:b/>
                <w:bCs/>
                <w:sz w:val="20"/>
                <w:szCs w:val="20"/>
                <w:highlight w:val="magenta"/>
              </w:rPr>
            </w:pPr>
            <w:r w:rsidRPr="009B561A">
              <w:rPr>
                <w:rFonts w:ascii="Calibri" w:hAnsi="Calibri" w:cs="Calibri"/>
                <w:b/>
                <w:bCs/>
                <w:sz w:val="20"/>
                <w:szCs w:val="20"/>
              </w:rPr>
              <w:t>* Links with Table SRC B</w:t>
            </w:r>
          </w:p>
        </w:tc>
        <w:tc>
          <w:tcPr>
            <w:tcW w:w="3267" w:type="dxa"/>
          </w:tcPr>
          <w:p w14:paraId="55E0B9F7" w14:textId="77777777" w:rsidR="00D82224" w:rsidRPr="009B561A" w:rsidRDefault="00D82224" w:rsidP="009B561A">
            <w:pPr>
              <w:spacing w:line="276" w:lineRule="auto"/>
              <w:rPr>
                <w:rFonts w:ascii="Calibri" w:hAnsi="Calibri" w:cs="Calibri"/>
                <w:b/>
                <w:bCs/>
                <w:sz w:val="20"/>
                <w:szCs w:val="20"/>
              </w:rPr>
            </w:pPr>
          </w:p>
        </w:tc>
        <w:tc>
          <w:tcPr>
            <w:tcW w:w="3828" w:type="dxa"/>
          </w:tcPr>
          <w:p w14:paraId="294B0EFA" w14:textId="77777777" w:rsidR="00D82224" w:rsidRPr="009B561A" w:rsidRDefault="00D82224" w:rsidP="009B561A">
            <w:pPr>
              <w:spacing w:line="276" w:lineRule="auto"/>
              <w:rPr>
                <w:rFonts w:ascii="Calibri" w:hAnsi="Calibri" w:cs="Calibri"/>
                <w:sz w:val="20"/>
                <w:szCs w:val="20"/>
              </w:rPr>
            </w:pPr>
          </w:p>
        </w:tc>
        <w:tc>
          <w:tcPr>
            <w:tcW w:w="4110" w:type="dxa"/>
          </w:tcPr>
          <w:p w14:paraId="3F8A42EB"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Previously mentioned in Table SRC B</w:t>
            </w:r>
          </w:p>
          <w:p w14:paraId="363610C1" w14:textId="77777777" w:rsidR="00D82224" w:rsidRPr="009B561A" w:rsidRDefault="00D82224" w:rsidP="009B561A">
            <w:pPr>
              <w:spacing w:line="276" w:lineRule="auto"/>
              <w:rPr>
                <w:rFonts w:ascii="Calibri" w:hAnsi="Calibri" w:cs="Calibri"/>
                <w:sz w:val="20"/>
                <w:szCs w:val="20"/>
              </w:rPr>
            </w:pPr>
          </w:p>
          <w:p w14:paraId="532D9EB8" w14:textId="77777777" w:rsidR="00D82224" w:rsidRPr="009B561A" w:rsidRDefault="00D82224" w:rsidP="009B561A">
            <w:pPr>
              <w:spacing w:line="276" w:lineRule="auto"/>
              <w:rPr>
                <w:rFonts w:ascii="Calibri" w:hAnsi="Calibri" w:cs="Calibri"/>
                <w:sz w:val="20"/>
                <w:szCs w:val="20"/>
              </w:rPr>
            </w:pPr>
          </w:p>
          <w:p w14:paraId="182ED42F" w14:textId="77777777" w:rsidR="00D82224" w:rsidRPr="009B561A" w:rsidRDefault="00D82224" w:rsidP="009B561A">
            <w:pPr>
              <w:spacing w:line="276" w:lineRule="auto"/>
              <w:rPr>
                <w:rFonts w:ascii="Calibri" w:hAnsi="Calibri" w:cs="Calibri"/>
                <w:sz w:val="20"/>
                <w:szCs w:val="20"/>
              </w:rPr>
            </w:pPr>
          </w:p>
        </w:tc>
      </w:tr>
      <w:tr w:rsidR="00D82224" w:rsidRPr="009B561A" w14:paraId="284A2276" w14:textId="77777777" w:rsidTr="0087653A">
        <w:tc>
          <w:tcPr>
            <w:tcW w:w="451" w:type="dxa"/>
          </w:tcPr>
          <w:p w14:paraId="1D347118"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10</w:t>
            </w:r>
          </w:p>
        </w:tc>
        <w:tc>
          <w:tcPr>
            <w:tcW w:w="2514" w:type="dxa"/>
          </w:tcPr>
          <w:p w14:paraId="7FE35512" w14:textId="4C965C9F"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color w:val="000000" w:themeColor="text1"/>
                <w:sz w:val="20"/>
                <w:szCs w:val="20"/>
              </w:rPr>
              <w:t>O’Kelly et al (2020</w:t>
            </w:r>
            <w:r w:rsidRPr="00627FDA">
              <w:rPr>
                <w:rFonts w:ascii="Calibri" w:hAnsi="Calibri" w:cs="Calibri"/>
                <w:b/>
                <w:bCs/>
                <w:color w:val="000000" w:themeColor="text1"/>
                <w:sz w:val="20"/>
                <w:szCs w:val="20"/>
              </w:rPr>
              <w:t>)</w:t>
            </w:r>
            <w:r w:rsidRPr="00627FDA">
              <w:rPr>
                <w:rFonts w:ascii="Calibri" w:hAnsi="Calibri" w:cs="Calibri"/>
                <w:b/>
                <w:bCs/>
                <w:color w:val="000000" w:themeColor="text1"/>
                <w:sz w:val="20"/>
                <w:szCs w:val="20"/>
                <w:vertAlign w:val="superscript"/>
              </w:rPr>
              <w:t xml:space="preserve"> </w:t>
            </w:r>
            <w:r w:rsidR="002557F6" w:rsidRPr="00627FDA">
              <w:rPr>
                <w:rFonts w:ascii="Calibri" w:hAnsi="Calibri" w:cs="Calibri"/>
                <w:b/>
                <w:bCs/>
                <w:color w:val="000000" w:themeColor="text1"/>
                <w:sz w:val="20"/>
                <w:szCs w:val="20"/>
              </w:rPr>
              <w:fldChar w:fldCharType="begin" w:fldLock="1"/>
            </w:r>
            <w:r w:rsidR="002557F6" w:rsidRPr="00627FDA">
              <w:rPr>
                <w:rFonts w:ascii="Calibri" w:hAnsi="Calibri" w:cs="Calibri"/>
                <w:b/>
                <w:bCs/>
                <w:color w:val="000000" w:themeColor="text1"/>
                <w:sz w:val="20"/>
                <w:szCs w:val="20"/>
              </w:rPr>
              <w:instrText>ADDIN CSL_CITATION {"citationItems":[{"id":"ITEM-1","itemData":{"DOI":"10.1016/j.jgar.2020.07.021","ISSN":"22137173","PMID":"32801028","abstract":"Objectives: Hospitalisations with community-acquired pneumonia (CAP) are often not managed in accordance with antimicrobial guidelines. This study aimed to assess whether guideline-driven antimicrobial prescribing for CAP can be improved using an intervention bundle. Secondary measures assessed were hospital length of stay (LOS), mortality, duration of intravenous antibiotics and total antibiotics, improved uptake of appropriate investigations, and documentation of CURB-65 score. Methods: A retrospective cohort of hospitalised CAP patients from August–September 2018 was compared with a post-intervention prospective cohort from May–June 2019. The intervention bundle included a mobile audience response system, promotion of the antimicrobial app, development of a physical card with local guidelines, and incorporating CURB-65 into the unscheduled admission proforma. Local guidelines are in keeping with British Thoracic Society CAP guidelines. Results: A total of 69 adult patients (aged &gt;18 years) were included in the study (37 retrospective, 32 prospective). Overall compliance with local CAP guidelines improved from 21.6% to 62.5% (P &lt; 0.001). No difference in initial intravenous antibiotic duration was seen (median 4 days vs. 4 days; P = 0.70) and total antibiotic duration was significantly shorter in the post-intervention group (median 9 days vs. 7 days; P = 0.01). No difference in LOS or mortality was seen between the groups. Documentation of CURB-65 improved from 5.4% to 46.9% (P &lt; 0.001). Uptake of streptococcal urinary antigen testing improved from 18.9% to 40.6% (P = 0.024). Conclusions: A simple, low-cost quality improvement bundle can significantly increase appropriate antimicrobial prescribing and shorten the total antibiotic duration.","author":[{"dropping-particle":"","family":"O'Kelly","given":"Brendan","non-dropping-particle":"","parse-names":false,"suffix":""},{"dropping-particle":"","family":"Rueda-Benito","given":"Ana","non-dropping-particle":"","parse-names":false,"suffix":""},{"dropping-particle":"","family":"O'Regan","given":"Mary","non-dropping-particle":"","parse-names":false,"suffix":""},{"dropping-particle":"","family":"Finan","given":"Katherine","non-dropping-particle":"","parse-names":false,"suffix":""}],"container-title":"Journal of Global Antimicrobial Resistance","id":"ITEM-1","issued":{"date-parts":[["2020","12","1"]]},"page":"38-45","publisher":"Elsevier Ltd","title":"An audit of community-acquired pneumonia antimicrobial compliance using an intervention bundle in an Irish hospital","type":"article-journal","volume":"23"},"uris":["http://www.mendeley.com/documents/?uuid=e6c637e7-056c-3403-8824-8fe75cae01e8"]}],"mendeley":{"formattedCitation":"(34)","plainTextFormattedCitation":"(34)","previouslyFormattedCitation":"(34)"},"properties":{"noteIndex":0},"schema":"https://github.com/citation-style-language/schema/raw/master/csl-citation.json"}</w:instrText>
            </w:r>
            <w:r w:rsidR="002557F6" w:rsidRPr="00627FDA">
              <w:rPr>
                <w:rFonts w:ascii="Calibri" w:hAnsi="Calibri" w:cs="Calibri"/>
                <w:b/>
                <w:bCs/>
                <w:color w:val="000000" w:themeColor="text1"/>
                <w:sz w:val="20"/>
                <w:szCs w:val="20"/>
              </w:rPr>
              <w:fldChar w:fldCharType="separate"/>
            </w:r>
            <w:r w:rsidR="00627FDA" w:rsidRPr="00D12296">
              <w:rPr>
                <w:rFonts w:ascii="Calibri" w:hAnsi="Calibri" w:cs="Calibri"/>
                <w:color w:val="000000" w:themeColor="text1"/>
                <w:sz w:val="20"/>
                <w:szCs w:val="20"/>
              </w:rPr>
              <w:t>[</w:t>
            </w:r>
            <w:r w:rsidR="002557F6" w:rsidRPr="00627FDA">
              <w:rPr>
                <w:rFonts w:ascii="Calibri" w:hAnsi="Calibri" w:cs="Calibri"/>
                <w:bCs/>
                <w:noProof/>
                <w:color w:val="000000" w:themeColor="text1"/>
                <w:sz w:val="20"/>
                <w:szCs w:val="20"/>
              </w:rPr>
              <w:t>34</w:t>
            </w:r>
            <w:r w:rsidR="00627FDA">
              <w:rPr>
                <w:rFonts w:ascii="Calibri" w:hAnsi="Calibri" w:cs="Calibri"/>
                <w:bCs/>
                <w:noProof/>
                <w:color w:val="000000" w:themeColor="text1"/>
                <w:sz w:val="20"/>
                <w:szCs w:val="20"/>
              </w:rPr>
              <w:t>]</w:t>
            </w:r>
            <w:r w:rsidR="002557F6" w:rsidRPr="00627FDA">
              <w:rPr>
                <w:rFonts w:ascii="Calibri" w:hAnsi="Calibri" w:cs="Calibri"/>
                <w:b/>
                <w:bCs/>
                <w:color w:val="000000" w:themeColor="text1"/>
                <w:sz w:val="20"/>
                <w:szCs w:val="20"/>
                <w:vertAlign w:val="superscript"/>
              </w:rPr>
              <w:fldChar w:fldCharType="end"/>
            </w:r>
            <w:r w:rsidR="00627FDA" w:rsidRPr="009B561A">
              <w:rPr>
                <w:rFonts w:ascii="Calibri" w:hAnsi="Calibri" w:cs="Calibri"/>
                <w:b/>
                <w:bCs/>
                <w:sz w:val="20"/>
                <w:szCs w:val="20"/>
                <w:vertAlign w:val="superscript"/>
              </w:rPr>
              <w:t xml:space="preserve"> </w:t>
            </w:r>
          </w:p>
          <w:p w14:paraId="4F438BF3"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An audit of community-acquired pneumonia antimicrobial compliance using an intervention bundle in an Irish hospital</w:t>
            </w:r>
          </w:p>
          <w:p w14:paraId="6D5CBF38" w14:textId="77777777" w:rsidR="00D82224" w:rsidRPr="009B561A" w:rsidRDefault="00D82224" w:rsidP="009B561A">
            <w:pPr>
              <w:spacing w:line="276" w:lineRule="auto"/>
              <w:rPr>
                <w:rFonts w:ascii="Calibri" w:hAnsi="Calibri" w:cs="Calibri"/>
                <w:b/>
                <w:bCs/>
                <w:color w:val="000000" w:themeColor="text1"/>
                <w:sz w:val="20"/>
                <w:szCs w:val="20"/>
              </w:rPr>
            </w:pPr>
          </w:p>
          <w:p w14:paraId="1A20AE4C" w14:textId="77777777" w:rsidR="00D82224" w:rsidRPr="009B561A" w:rsidRDefault="00D82224" w:rsidP="009B561A">
            <w:pPr>
              <w:spacing w:line="276" w:lineRule="auto"/>
              <w:rPr>
                <w:rFonts w:ascii="Calibri" w:hAnsi="Calibri" w:cs="Calibri"/>
                <w:b/>
                <w:bCs/>
                <w:color w:val="000000" w:themeColor="text1"/>
                <w:sz w:val="20"/>
                <w:szCs w:val="20"/>
              </w:rPr>
            </w:pPr>
          </w:p>
          <w:p w14:paraId="72CB6343" w14:textId="77777777" w:rsidR="00D82224" w:rsidRPr="009B561A" w:rsidRDefault="00D82224" w:rsidP="009B561A">
            <w:pPr>
              <w:spacing w:line="276" w:lineRule="auto"/>
              <w:rPr>
                <w:rFonts w:ascii="Calibri" w:hAnsi="Calibri" w:cs="Calibri"/>
                <w:b/>
                <w:bCs/>
                <w:color w:val="000000" w:themeColor="text1"/>
                <w:sz w:val="20"/>
                <w:szCs w:val="20"/>
              </w:rPr>
            </w:pPr>
          </w:p>
          <w:p w14:paraId="7FABF061" w14:textId="77777777" w:rsidR="00D82224" w:rsidRPr="009B561A" w:rsidRDefault="00D82224" w:rsidP="009B561A">
            <w:pPr>
              <w:spacing w:line="276" w:lineRule="auto"/>
              <w:rPr>
                <w:rFonts w:ascii="Calibri" w:hAnsi="Calibri" w:cs="Calibri"/>
                <w:b/>
                <w:bCs/>
                <w:color w:val="000000" w:themeColor="text1"/>
                <w:sz w:val="20"/>
                <w:szCs w:val="20"/>
              </w:rPr>
            </w:pPr>
          </w:p>
          <w:p w14:paraId="0231C0F0" w14:textId="77777777" w:rsidR="00D82224" w:rsidRPr="009B561A" w:rsidRDefault="00D82224" w:rsidP="009B561A">
            <w:pPr>
              <w:spacing w:line="276" w:lineRule="auto"/>
              <w:rPr>
                <w:rFonts w:ascii="Calibri" w:hAnsi="Calibri" w:cs="Calibri"/>
                <w:b/>
                <w:bCs/>
                <w:color w:val="000000" w:themeColor="text1"/>
                <w:sz w:val="20"/>
                <w:szCs w:val="20"/>
              </w:rPr>
            </w:pPr>
          </w:p>
          <w:p w14:paraId="49C368DD" w14:textId="77777777" w:rsidR="00D82224" w:rsidRPr="009B561A" w:rsidRDefault="00D82224" w:rsidP="009B561A">
            <w:pPr>
              <w:spacing w:line="276" w:lineRule="auto"/>
              <w:rPr>
                <w:rFonts w:ascii="Calibri" w:hAnsi="Calibri" w:cs="Calibri"/>
                <w:b/>
                <w:bCs/>
                <w:color w:val="000000" w:themeColor="text1"/>
                <w:sz w:val="20"/>
                <w:szCs w:val="20"/>
              </w:rPr>
            </w:pPr>
          </w:p>
          <w:p w14:paraId="689AD089" w14:textId="77777777" w:rsidR="00D82224" w:rsidRPr="009B561A" w:rsidRDefault="00D82224" w:rsidP="009B561A">
            <w:pPr>
              <w:spacing w:line="276" w:lineRule="auto"/>
              <w:rPr>
                <w:rFonts w:ascii="Calibri" w:hAnsi="Calibri" w:cs="Calibri"/>
                <w:b/>
                <w:bCs/>
                <w:color w:val="000000" w:themeColor="text1"/>
                <w:sz w:val="20"/>
                <w:szCs w:val="20"/>
              </w:rPr>
            </w:pPr>
          </w:p>
          <w:p w14:paraId="163EF7FB" w14:textId="77777777" w:rsidR="00D82224" w:rsidRPr="009B561A" w:rsidRDefault="00D82224" w:rsidP="009B561A">
            <w:pPr>
              <w:spacing w:line="276" w:lineRule="auto"/>
              <w:rPr>
                <w:rFonts w:ascii="Calibri" w:hAnsi="Calibri" w:cs="Calibri"/>
                <w:b/>
                <w:bCs/>
                <w:color w:val="000000" w:themeColor="text1"/>
                <w:sz w:val="20"/>
                <w:szCs w:val="20"/>
              </w:rPr>
            </w:pPr>
          </w:p>
          <w:p w14:paraId="08BC145B" w14:textId="77777777" w:rsidR="00D82224" w:rsidRPr="009B561A" w:rsidRDefault="00D82224" w:rsidP="009B561A">
            <w:pPr>
              <w:spacing w:line="276" w:lineRule="auto"/>
              <w:rPr>
                <w:rFonts w:ascii="Calibri" w:hAnsi="Calibri" w:cs="Calibri"/>
                <w:b/>
                <w:bCs/>
                <w:color w:val="000000" w:themeColor="text1"/>
                <w:sz w:val="20"/>
                <w:szCs w:val="20"/>
              </w:rPr>
            </w:pPr>
          </w:p>
          <w:p w14:paraId="32659511" w14:textId="77777777" w:rsidR="00D82224" w:rsidRPr="009B561A" w:rsidRDefault="00D82224" w:rsidP="009B561A">
            <w:pPr>
              <w:spacing w:line="276" w:lineRule="auto"/>
              <w:rPr>
                <w:rFonts w:ascii="Calibri" w:hAnsi="Calibri" w:cs="Calibri"/>
                <w:b/>
                <w:bCs/>
                <w:color w:val="000000" w:themeColor="text1"/>
                <w:sz w:val="20"/>
                <w:szCs w:val="20"/>
              </w:rPr>
            </w:pPr>
          </w:p>
        </w:tc>
        <w:tc>
          <w:tcPr>
            <w:tcW w:w="3267" w:type="dxa"/>
          </w:tcPr>
          <w:p w14:paraId="7E1474E1"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lastRenderedPageBreak/>
              <w:t>Aims:</w:t>
            </w:r>
            <w:r w:rsidRPr="009B561A">
              <w:rPr>
                <w:rFonts w:ascii="Calibri" w:hAnsi="Calibri" w:cs="Calibri"/>
                <w:color w:val="000000" w:themeColor="text1"/>
                <w:sz w:val="20"/>
                <w:szCs w:val="20"/>
              </w:rPr>
              <w:t xml:space="preserve"> To assess whether guideline-driven antimicrobial prescribing for  </w:t>
            </w:r>
            <w:r w:rsidRPr="009B561A">
              <w:rPr>
                <w:rFonts w:ascii="Calibri" w:hAnsi="Calibri" w:cs="Calibri"/>
                <w:color w:val="000000" w:themeColor="text1"/>
                <w:sz w:val="20"/>
                <w:szCs w:val="20"/>
              </w:rPr>
              <w:lastRenderedPageBreak/>
              <w:t>community-acquired pneumonia (CAP) can be improved using an intervention bundle.</w:t>
            </w:r>
          </w:p>
          <w:p w14:paraId="71D4D56B"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Methods: </w:t>
            </w:r>
            <w:r w:rsidRPr="009B561A">
              <w:rPr>
                <w:rFonts w:ascii="Calibri" w:hAnsi="Calibri" w:cs="Calibri"/>
                <w:color w:val="000000" w:themeColor="text1"/>
                <w:sz w:val="20"/>
                <w:szCs w:val="20"/>
              </w:rPr>
              <w:t>A retrospective cohort of hospitalised CAP patients from August–September 2018 was compared with a post-intervention prospective cohort from May–June 2019.</w:t>
            </w:r>
          </w:p>
          <w:p w14:paraId="0D0C697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69 adult patients (aged &gt;18 years)</w:t>
            </w:r>
          </w:p>
          <w:p w14:paraId="30372DAF"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color w:val="000000" w:themeColor="text1"/>
                <w:sz w:val="20"/>
                <w:szCs w:val="20"/>
              </w:rPr>
              <w:t xml:space="preserve"> </w:t>
            </w:r>
            <w:r w:rsidRPr="009B561A">
              <w:rPr>
                <w:rFonts w:ascii="Calibri" w:hAnsi="Calibri" w:cs="Calibri"/>
                <w:b/>
                <w:bCs/>
                <w:color w:val="000000" w:themeColor="text1"/>
                <w:sz w:val="20"/>
                <w:szCs w:val="20"/>
              </w:rPr>
              <w:t>Recruitment:</w:t>
            </w:r>
            <w:r w:rsidRPr="009B561A">
              <w:rPr>
                <w:rFonts w:ascii="Calibri" w:hAnsi="Calibri" w:cs="Calibri"/>
                <w:sz w:val="20"/>
                <w:szCs w:val="20"/>
              </w:rPr>
              <w:t xml:space="preserve"> Hospital</w:t>
            </w:r>
          </w:p>
        </w:tc>
        <w:tc>
          <w:tcPr>
            <w:tcW w:w="3828" w:type="dxa"/>
          </w:tcPr>
          <w:p w14:paraId="4FE06D89"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lastRenderedPageBreak/>
              <w:t xml:space="preserve">Overall compliance with local CAP guidelines improved from 21.6% to 62.5% (P </w:t>
            </w:r>
            <w:r w:rsidRPr="009B561A">
              <w:rPr>
                <w:rFonts w:ascii="Calibri" w:hAnsi="Calibri" w:cs="Calibri"/>
                <w:sz w:val="20"/>
                <w:szCs w:val="20"/>
              </w:rPr>
              <w:lastRenderedPageBreak/>
              <w:t xml:space="preserve">&lt; 0.001). No difference in initial intravenous antibiotic duration was seen (median 4 days vs. 4 days; P = 0.70) and total antibiotic duration was significantly shorter in the post-intervention group (median 9 days vs. 7 days; P = 0.01). No difference in Length of stay or mortality was seen between the groups. Documentation of CURB-65 improved from 5.4% to 46.9% (P &lt; 0.001). </w:t>
            </w:r>
          </w:p>
        </w:tc>
        <w:tc>
          <w:tcPr>
            <w:tcW w:w="4110" w:type="dxa"/>
          </w:tcPr>
          <w:p w14:paraId="6FD70E3D"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 xml:space="preserve">A simple, low-cost quality improvement bundle can significantly increase appropriate </w:t>
            </w:r>
            <w:r w:rsidRPr="009B561A">
              <w:rPr>
                <w:rFonts w:ascii="Calibri" w:hAnsi="Calibri" w:cs="Calibri"/>
                <w:sz w:val="20"/>
                <w:szCs w:val="20"/>
              </w:rPr>
              <w:lastRenderedPageBreak/>
              <w:t>antimicrobial prescribing and shorten the total antibiotic duration</w:t>
            </w:r>
          </w:p>
        </w:tc>
      </w:tr>
      <w:tr w:rsidR="00D82224" w:rsidRPr="009B561A" w14:paraId="3AE2204D" w14:textId="77777777" w:rsidTr="0087653A">
        <w:tc>
          <w:tcPr>
            <w:tcW w:w="451" w:type="dxa"/>
          </w:tcPr>
          <w:p w14:paraId="3F18DCB6"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11</w:t>
            </w:r>
          </w:p>
        </w:tc>
        <w:tc>
          <w:tcPr>
            <w:tcW w:w="2514" w:type="dxa"/>
          </w:tcPr>
          <w:p w14:paraId="37D815C6" w14:textId="23806D29"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sz w:val="20"/>
                <w:szCs w:val="20"/>
              </w:rPr>
              <w:t>O Riordan et al (2020</w:t>
            </w:r>
            <w:r w:rsidRPr="00627FDA">
              <w:rPr>
                <w:rFonts w:ascii="Calibri" w:hAnsi="Calibri" w:cs="Calibri"/>
                <w:b/>
                <w:bCs/>
                <w:sz w:val="20"/>
                <w:szCs w:val="20"/>
              </w:rPr>
              <w:t>)</w:t>
            </w:r>
            <w:r w:rsidRPr="00627FDA">
              <w:rPr>
                <w:rFonts w:ascii="Calibri" w:hAnsi="Calibri" w:cs="Calibri"/>
                <w:sz w:val="20"/>
                <w:szCs w:val="20"/>
              </w:rPr>
              <w:t xml:space="preserve"> </w:t>
            </w:r>
            <w:r w:rsidR="005A1AF4" w:rsidRPr="00627FDA">
              <w:rPr>
                <w:rFonts w:ascii="Calibri" w:hAnsi="Calibri" w:cs="Calibri"/>
                <w:sz w:val="20"/>
                <w:szCs w:val="20"/>
              </w:rPr>
              <w:fldChar w:fldCharType="begin" w:fldLock="1"/>
            </w:r>
            <w:r w:rsidR="005A1AF4" w:rsidRPr="00627FDA">
              <w:rPr>
                <w:rFonts w:ascii="Calibri" w:hAnsi="Calibri" w:cs="Calibri"/>
                <w:sz w:val="20"/>
                <w:szCs w:val="20"/>
              </w:rPr>
              <w:instrText>ADDIN CSL_CITATION {"citationItems":[{"id":"ITEM-1","itemData":{"DOI":"10.1007/s11096-020-01159-1","ISBN":"0123456789","ISSN":"22107711","PMID":"33001314","abstract":"Background Successful antimicrobial stewardship interventions are imperative in today’s environment of antimicrobial resistance. New antimicrobial stewardship interventions should include qualitative analysis such as a process evaluation to determine which elements within an intervention are effective and provide insight into the context in which the intervention is introduced. Objective To assess the implementation process and explore the contextual factors which influenced implementation. Setting An academic teaching hospital in Cork, Ireland. Methods A process evaluation was conducted on completion of a feasibility study of the introduction of a procalcitonin antimicrobial stewardship intervention. The process evaluation consisted of semi-structured face-to-face interviews of key stakeholders including participating (senior) doctors (5), medical laboratory scientists (3) and a hospital administrator. The Consolidated Framework for Implementation Research was used to guide data collection, analysis, and interpretation. Main outcome measures Qualitative assessment of the intervention implementation process, the contextual factors which influenced implementation and identification of improvements to the intervention and its implementation and determine if proceeding to a randomised controlled trial would be appropriate. Results Analysis of the interviews identified three main themes. (1) The procalcitonin intervention and implementation process was viewed positively to support prescribing decisions. Participants identified modifications to procalcitonin processing and availability to improve implementation and allow procalcitonin to be “more of a clinical influence”. (2) In the antimicrobial stewardship context the concept of fear of missing an infection and risks of potentially serious outcomes for patients emerged. (3) The hospital context consisted of barriers such as available resources and facilitators including the hospital culture of quality improvement. Conclusion This process evaluation provides a detailed analysis of the implementation of procalcitonin testing as an antimicrobial stewardship intervention. The positive findings of this process evaluation and feasibility study should be built upon and a full randomised controlled trial and economic evaluation should be conducted in a variety of hospital settings to confirm the effectiveness of procalcitonin as an antimicrobial stewardship intervention.","author":[{"dropping-particle":"","family":"O'Riordan","given":"F","non-dropping-particle":"","parse-names":false,"suffix":""},{"dropping-particle":"","family":"Shiely","given":"F.","non-dropping-particle":"","parse-names":false,"suffix":""},{"dropping-particle":"","family":"Byrne","given":"S.","non-dropping-particle":"","parse-names":false,"suffix":""},{"dropping-particle":"","family":"Fleming","given":"A.","non-dropping-particle":"","parse-names":false,"suffix":""},{"dropping-particle":"","family":"O’Riordan","given":"F.","non-dropping-particle":"","parse-names":false,"suffix":""},{"dropping-particle":"","family":"Shiely","given":"F.","non-dropping-particle":"","parse-names":false,"suffix":""},{"dropping-particle":"","family":"Byrne","given":"S.","non-dropping-particle":"","parse-names":false,"suffix":""},{"dropping-particle":"","family":"Fleming","given":"A.","non-dropping-particle":"","parse-names":false,"suffix":""},{"dropping-particle":"","family":"O'Riordan","given":"F","non-dropping-particle":"","parse-names":false,"suffix":""},{"dropping-particle":"","family":"Shiely","given":"F.","non-dropping-particle":"","parse-names":false,"suffix":""},{"dropping-particle":"","family":"Byrne","given":"S.","non-dropping-particle":"","parse-names":false,"suffix":""},{"dropping-particle":"","family":"Fleming","given":"A.","non-dropping-particle":"","parse-names":false,"suffix":""},{"dropping-particle":"","family":"O’Riordan","given":"F.","non-dropping-particle":"","parse-names":false,"suffix":""},{"dropping-particle":"","family":"Shiely","given":"F.","non-dropping-particle":"","parse-names":false,"suffix":""},{"dropping-particle":"","family":"Byrne","given":"S.","non-dropping-particle":"","parse-names":false,"suffix":""},{"dropping-particle":"","family":"Fleming","given":"A.","non-dropping-particle":"","parse-names":false,"suffix":""}],"container-title":"International Journal of Clinical Pharmacy","id":"ITEM-1","issue":"3","issued":{"date-parts":[["2020","6"]]},"language":"eng","page":"532-540","publisher":"Springer International Publishing","publisher-place":"F. O’Riordan, Pharmacy Department, Mercy University Hospital, Grenville Place, Cork, Ireland, Netherlands","title":"A qualitative process evaluation of the introduction of procalcitonin testing as an antimicrobial stewardship intervention","type":"article-journal","volume":"43"},"uris":["http://www.mendeley.com/documents/?uuid=96f81416-b239-4e7a-bce4-b40be96298dd"]}],"mendeley":{"formattedCitation":"(23)","plainTextFormattedCitation":"(23)","previouslyFormattedCitation":"(23)"},"properties":{"noteIndex":0},"schema":"https://github.com/citation-style-language/schema/raw/master/csl-citation.json"}</w:instrText>
            </w:r>
            <w:r w:rsidR="005A1AF4" w:rsidRPr="00627FDA">
              <w:rPr>
                <w:rFonts w:ascii="Calibri" w:hAnsi="Calibri" w:cs="Calibri"/>
                <w:sz w:val="20"/>
                <w:szCs w:val="20"/>
              </w:rPr>
              <w:fldChar w:fldCharType="separate"/>
            </w:r>
            <w:r w:rsidR="00531F0B" w:rsidRPr="00627FDA">
              <w:rPr>
                <w:rFonts w:ascii="Calibri" w:hAnsi="Calibri" w:cs="Calibri"/>
                <w:sz w:val="20"/>
                <w:szCs w:val="20"/>
              </w:rPr>
              <w:t>[</w:t>
            </w:r>
            <w:r w:rsidR="005A1AF4" w:rsidRPr="00627FDA">
              <w:rPr>
                <w:rFonts w:ascii="Calibri" w:hAnsi="Calibri" w:cs="Calibri"/>
                <w:noProof/>
                <w:sz w:val="20"/>
                <w:szCs w:val="20"/>
              </w:rPr>
              <w:t>23</w:t>
            </w:r>
            <w:r w:rsidR="00531F0B" w:rsidRPr="00627FDA">
              <w:rPr>
                <w:rFonts w:ascii="Calibri" w:hAnsi="Calibri" w:cs="Calibri"/>
                <w:noProof/>
                <w:sz w:val="20"/>
                <w:szCs w:val="20"/>
              </w:rPr>
              <w:t>]</w:t>
            </w:r>
            <w:r w:rsidR="005A1AF4" w:rsidRPr="00627FDA">
              <w:rPr>
                <w:rFonts w:ascii="Calibri" w:hAnsi="Calibri" w:cs="Calibri"/>
                <w:sz w:val="20"/>
                <w:szCs w:val="20"/>
              </w:rPr>
              <w:fldChar w:fldCharType="end"/>
            </w:r>
            <w:r w:rsidR="00627FDA" w:rsidRPr="009B561A">
              <w:rPr>
                <w:rFonts w:ascii="Calibri" w:hAnsi="Calibri" w:cs="Calibri"/>
                <w:b/>
                <w:bCs/>
                <w:sz w:val="20"/>
                <w:szCs w:val="20"/>
                <w:vertAlign w:val="superscript"/>
              </w:rPr>
              <w:t xml:space="preserve"> </w:t>
            </w:r>
          </w:p>
          <w:p w14:paraId="77C816BB"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A qualitative process evaluation of the introduction of procalcitonin testing as an antimicrobial stewardship intervention</w:t>
            </w:r>
          </w:p>
          <w:p w14:paraId="521D00EA" w14:textId="77777777" w:rsidR="00D82224" w:rsidRPr="009B561A" w:rsidRDefault="00D82224" w:rsidP="009B561A">
            <w:pPr>
              <w:spacing w:line="276" w:lineRule="auto"/>
              <w:rPr>
                <w:rFonts w:ascii="Calibri" w:hAnsi="Calibri" w:cs="Calibri"/>
                <w:sz w:val="20"/>
                <w:szCs w:val="20"/>
              </w:rPr>
            </w:pPr>
          </w:p>
          <w:p w14:paraId="3DB8E9F3"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 Links with Table SRC B</w:t>
            </w:r>
          </w:p>
        </w:tc>
        <w:tc>
          <w:tcPr>
            <w:tcW w:w="3267" w:type="dxa"/>
          </w:tcPr>
          <w:p w14:paraId="79F3DA0D" w14:textId="77777777" w:rsidR="00D82224" w:rsidRPr="009B561A" w:rsidRDefault="00D82224" w:rsidP="009B561A">
            <w:pPr>
              <w:spacing w:line="276" w:lineRule="auto"/>
              <w:rPr>
                <w:rFonts w:ascii="Calibri" w:hAnsi="Calibri" w:cs="Calibri"/>
                <w:color w:val="000000" w:themeColor="text1"/>
                <w:sz w:val="20"/>
                <w:szCs w:val="20"/>
              </w:rPr>
            </w:pPr>
          </w:p>
        </w:tc>
        <w:tc>
          <w:tcPr>
            <w:tcW w:w="3828" w:type="dxa"/>
          </w:tcPr>
          <w:p w14:paraId="1B012F91" w14:textId="77777777" w:rsidR="00D82224" w:rsidRPr="009B561A" w:rsidRDefault="00D82224" w:rsidP="009B561A">
            <w:pPr>
              <w:spacing w:line="276" w:lineRule="auto"/>
              <w:rPr>
                <w:rFonts w:ascii="Calibri" w:hAnsi="Calibri" w:cs="Calibri"/>
                <w:sz w:val="20"/>
                <w:szCs w:val="20"/>
              </w:rPr>
            </w:pPr>
          </w:p>
        </w:tc>
        <w:tc>
          <w:tcPr>
            <w:tcW w:w="4110" w:type="dxa"/>
            <w:shd w:val="clear" w:color="auto" w:fill="auto"/>
          </w:tcPr>
          <w:p w14:paraId="178A977C"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Previously mentioned in Table SRC B</w:t>
            </w:r>
          </w:p>
        </w:tc>
      </w:tr>
      <w:tr w:rsidR="00D82224" w:rsidRPr="009B561A" w14:paraId="260D82F0" w14:textId="77777777" w:rsidTr="0087653A">
        <w:tc>
          <w:tcPr>
            <w:tcW w:w="451" w:type="dxa"/>
          </w:tcPr>
          <w:p w14:paraId="0FFE02E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12</w:t>
            </w:r>
          </w:p>
        </w:tc>
        <w:tc>
          <w:tcPr>
            <w:tcW w:w="2514" w:type="dxa"/>
          </w:tcPr>
          <w:p w14:paraId="1EC295CA" w14:textId="55488CB2"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color w:val="000000" w:themeColor="text1"/>
                <w:sz w:val="20"/>
                <w:szCs w:val="20"/>
              </w:rPr>
              <w:t>O Riordan et al (2019</w:t>
            </w:r>
            <w:r w:rsidRPr="00627FDA">
              <w:rPr>
                <w:rFonts w:ascii="Calibri" w:hAnsi="Calibri" w:cs="Calibri"/>
                <w:b/>
                <w:bCs/>
                <w:color w:val="000000" w:themeColor="text1"/>
                <w:sz w:val="20"/>
                <w:szCs w:val="20"/>
              </w:rPr>
              <w:t>)</w:t>
            </w:r>
            <w:r w:rsidRPr="00627FDA">
              <w:rPr>
                <w:rFonts w:ascii="Calibri" w:hAnsi="Calibri" w:cs="Calibri"/>
                <w:b/>
                <w:bCs/>
                <w:color w:val="000000" w:themeColor="text1"/>
                <w:sz w:val="20"/>
                <w:szCs w:val="20"/>
                <w:vertAlign w:val="superscript"/>
              </w:rPr>
              <w:t xml:space="preserve"> </w:t>
            </w:r>
            <w:r w:rsidR="002557F6" w:rsidRPr="00627FDA">
              <w:rPr>
                <w:rFonts w:ascii="Calibri" w:hAnsi="Calibri" w:cs="Calibri"/>
                <w:b/>
                <w:bCs/>
                <w:color w:val="000000" w:themeColor="text1"/>
                <w:sz w:val="20"/>
                <w:szCs w:val="20"/>
                <w:vertAlign w:val="superscript"/>
              </w:rPr>
              <w:fldChar w:fldCharType="begin" w:fldLock="1"/>
            </w:r>
            <w:r w:rsidR="002557F6" w:rsidRPr="00627FDA">
              <w:rPr>
                <w:rFonts w:ascii="Calibri" w:hAnsi="Calibri" w:cs="Calibri"/>
                <w:b/>
                <w:bCs/>
                <w:color w:val="000000" w:themeColor="text1"/>
                <w:sz w:val="20"/>
                <w:szCs w:val="20"/>
                <w:vertAlign w:val="superscript"/>
              </w:rPr>
              <w:instrText>ADDIN CSL_CITATION {"citationItems":[{"id":"ITEM-1","itemData":{"DOI":"10.1093/jac/dkz313","ISSN":"14602091","PMID":"31325313","abstract":"Background: Diagnostic uncertainty and a high prevalence of viral infections present unique challenges for antimicrobial prescribing for respiratory tract infections (RTIs). Procalcitonin (PCT) has been shown to support prescribing decisions and reduce antimicrobial use safely in patients with RTIs, but recent study results have been variable. Methods: We conducted a feasibility study of the introduction of PCT testing in patients admitted to hospital with a lower RTI to determine if PCT testing is an effective and worthwhile intervention to introduce to support the existing antimicrobial stewardship (AMS) programme and safely decrease antimicrobial prescribing in patients admitted with RTIs. Results: A total of 79 patients were randomized to the intervention PCT-guided treatment group and 40 patients to the standard care respiratory control group. The addition of PCT testing led to a significant decrease in duration of antimicrobial prescriptions (mean 6.8 versus 8.9 days, P=0.012) and decreased length of hospital stay (median 7 versus 8 days, P=0.009) between the PCT and respiratory control group. PCT did not demonstrate a significant reduction in antimicrobial consumption when measured as DDDs and days of therapy. Conclusions: PCT testing had a positive effect on antimicrobial prescribing during this feasibility study. The successful implementation of PCT testing in a randomized controlled trial requires an ongoing comprehensive education programme, greater integration into the AMS programme and delivery of PCT results in a timely manner. This feasibility study has shown that a larger randomized controlled trial would be beneficial to further explore the positive aspects of these findings.","author":[{"dropping-particle":"","family":"O'Riordan","given":"F.","non-dropping-particle":"","parse-names":false,"suffix":""},{"dropping-particle":"","family":"Shiely","given":"F.","non-dropping-particle":"","parse-names":false,"suffix":""},{"dropping-particle":"","family":"Byrne","given":"S.","non-dropping-particle":"","parse-names":false,"suffix":""},{"dropping-particle":"","family":"O'Brien","given":"D.","non-dropping-particle":"","parse-names":false,"suffix":""},{"dropping-particle":"","family":"Palmer","given":"B.","non-dropping-particle":"","parse-names":false,"suffix":""},{"dropping-particle":"","family":"Dahly","given":"D.","non-dropping-particle":"","parse-names":false,"suffix":""},{"dropping-particle":"","family":"O'Connor","given":"T. M.","non-dropping-particle":"","parse-names":false,"suffix":""},{"dropping-particle":"","family":"Curran","given":"D.","non-dropping-particle":"","parse-names":false,"suffix":""},{"dropping-particle":"","family":"Fleming","given":"A.","non-dropping-particle":"","parse-names":false,"suffix":""}],"container-title":"Journal of Antimicrobial Chemotherapy","id":"ITEM-1","issue":"11","issued":{"date-parts":[["2019"]]},"page":"3352-3361","title":"An investigation of the effects of procalcitonin testing on antimicrobial prescribing in respiratory tract infections in an Irish university hospital setting: A feasibility study","type":"article-journal","volume":"74"},"uris":["http://www.mendeley.com/documents/?uuid=68b6879a-bcc4-4bf4-8be5-504b3954713b"]}],"mendeley":{"formattedCitation":"(35)","plainTextFormattedCitation":"(35)","previouslyFormattedCitation":"(35)"},"properties":{"noteIndex":0},"schema":"https://github.com/citation-style-language/schema/raw/master/csl-citation.json"}</w:instrText>
            </w:r>
            <w:r w:rsidR="002557F6" w:rsidRPr="00627FDA">
              <w:rPr>
                <w:rFonts w:ascii="Calibri" w:hAnsi="Calibri" w:cs="Calibri"/>
                <w:b/>
                <w:bCs/>
                <w:color w:val="000000" w:themeColor="text1"/>
                <w:sz w:val="20"/>
                <w:szCs w:val="20"/>
                <w:vertAlign w:val="superscript"/>
              </w:rPr>
              <w:fldChar w:fldCharType="separate"/>
            </w:r>
            <w:r w:rsidR="00531F0B" w:rsidRPr="00627FDA">
              <w:rPr>
                <w:rFonts w:ascii="Calibri" w:hAnsi="Calibri" w:cs="Calibri"/>
                <w:bCs/>
                <w:noProof/>
                <w:color w:val="000000" w:themeColor="text1"/>
                <w:sz w:val="20"/>
                <w:szCs w:val="20"/>
              </w:rPr>
              <w:t>[</w:t>
            </w:r>
            <w:r w:rsidR="002557F6" w:rsidRPr="00627FDA">
              <w:rPr>
                <w:rFonts w:ascii="Calibri" w:hAnsi="Calibri" w:cs="Calibri"/>
                <w:bCs/>
                <w:noProof/>
                <w:color w:val="000000" w:themeColor="text1"/>
                <w:sz w:val="20"/>
                <w:szCs w:val="20"/>
              </w:rPr>
              <w:t>35</w:t>
            </w:r>
            <w:r w:rsidR="00531F0B" w:rsidRPr="00627FDA">
              <w:rPr>
                <w:rFonts w:ascii="Calibri" w:hAnsi="Calibri" w:cs="Calibri"/>
                <w:bCs/>
                <w:noProof/>
                <w:color w:val="000000" w:themeColor="text1"/>
                <w:sz w:val="20"/>
                <w:szCs w:val="20"/>
              </w:rPr>
              <w:t>]</w:t>
            </w:r>
            <w:r w:rsidR="002557F6" w:rsidRPr="00627FDA">
              <w:rPr>
                <w:rFonts w:ascii="Calibri" w:hAnsi="Calibri" w:cs="Calibri"/>
                <w:b/>
                <w:bCs/>
                <w:color w:val="000000" w:themeColor="text1"/>
                <w:sz w:val="20"/>
                <w:szCs w:val="20"/>
                <w:vertAlign w:val="superscript"/>
              </w:rPr>
              <w:fldChar w:fldCharType="end"/>
            </w:r>
            <w:r w:rsidR="00627FDA" w:rsidRPr="009B561A">
              <w:rPr>
                <w:rFonts w:ascii="Calibri" w:hAnsi="Calibri" w:cs="Calibri"/>
                <w:b/>
                <w:bCs/>
                <w:sz w:val="20"/>
                <w:szCs w:val="20"/>
                <w:vertAlign w:val="superscript"/>
              </w:rPr>
              <w:t xml:space="preserve"> </w:t>
            </w:r>
          </w:p>
          <w:p w14:paraId="29F92480"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 xml:space="preserve">An investigation of the effects of procalcitonin testing on antimicrobial prescribing in respiratory tract infections in an Irish </w:t>
            </w:r>
            <w:r w:rsidRPr="009B561A">
              <w:rPr>
                <w:rFonts w:ascii="Calibri" w:hAnsi="Calibri" w:cs="Calibri"/>
                <w:color w:val="000000" w:themeColor="text1"/>
                <w:sz w:val="20"/>
                <w:szCs w:val="20"/>
              </w:rPr>
              <w:lastRenderedPageBreak/>
              <w:t>university hospital setting: a feasibility study</w:t>
            </w:r>
          </w:p>
          <w:p w14:paraId="55FA0C3A" w14:textId="77777777" w:rsidR="00D82224" w:rsidRPr="009B561A" w:rsidRDefault="00D82224" w:rsidP="009B561A">
            <w:pPr>
              <w:spacing w:line="276" w:lineRule="auto"/>
              <w:rPr>
                <w:rFonts w:ascii="Calibri" w:hAnsi="Calibri" w:cs="Calibri"/>
                <w:b/>
                <w:bCs/>
                <w:color w:val="000000" w:themeColor="text1"/>
                <w:sz w:val="20"/>
                <w:szCs w:val="20"/>
              </w:rPr>
            </w:pPr>
          </w:p>
          <w:p w14:paraId="74B40314" w14:textId="77777777" w:rsidR="00D82224" w:rsidRPr="009B561A" w:rsidRDefault="00D82224" w:rsidP="009B561A">
            <w:pPr>
              <w:spacing w:line="276" w:lineRule="auto"/>
              <w:rPr>
                <w:rFonts w:ascii="Calibri" w:hAnsi="Calibri" w:cs="Calibri"/>
                <w:b/>
                <w:bCs/>
                <w:sz w:val="20"/>
                <w:szCs w:val="20"/>
              </w:rPr>
            </w:pPr>
          </w:p>
        </w:tc>
        <w:tc>
          <w:tcPr>
            <w:tcW w:w="3267" w:type="dxa"/>
          </w:tcPr>
          <w:p w14:paraId="38E719B1"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lastRenderedPageBreak/>
              <w:t>Aims:</w:t>
            </w:r>
            <w:r w:rsidRPr="009B561A">
              <w:rPr>
                <w:rFonts w:ascii="Calibri" w:hAnsi="Calibri" w:cs="Calibri"/>
                <w:color w:val="000000" w:themeColor="text1"/>
                <w:sz w:val="20"/>
                <w:szCs w:val="20"/>
              </w:rPr>
              <w:t xml:space="preserve"> To conduct a feasibility study to determine if procalcitonin testing (PCT testing) is an effective and worthwhile intervention to introduce to support the existing AMS programme and safely decrease </w:t>
            </w:r>
            <w:r w:rsidRPr="009B561A">
              <w:rPr>
                <w:rFonts w:ascii="Calibri" w:hAnsi="Calibri" w:cs="Calibri"/>
                <w:color w:val="000000" w:themeColor="text1"/>
                <w:sz w:val="20"/>
                <w:szCs w:val="20"/>
              </w:rPr>
              <w:lastRenderedPageBreak/>
              <w:t>antimicrobial prescribing in patients admitted with respiratory Tract Infections (RTIs)</w:t>
            </w:r>
          </w:p>
          <w:p w14:paraId="14D165DB"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Methods: </w:t>
            </w:r>
            <w:r w:rsidRPr="009B561A">
              <w:rPr>
                <w:rFonts w:ascii="Calibri" w:hAnsi="Calibri" w:cs="Calibri"/>
                <w:color w:val="000000" w:themeColor="text1"/>
                <w:sz w:val="20"/>
                <w:szCs w:val="20"/>
              </w:rPr>
              <w:t>Feasibility study</w:t>
            </w:r>
          </w:p>
          <w:p w14:paraId="403D5222"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79 patients-PCT </w:t>
            </w:r>
          </w:p>
          <w:p w14:paraId="0B84B873"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40 patients standard care for RTI</w:t>
            </w:r>
          </w:p>
          <w:p w14:paraId="7DA4BBEF"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Recruitment:</w:t>
            </w:r>
            <w:r w:rsidRPr="009B561A">
              <w:rPr>
                <w:rFonts w:ascii="Calibri" w:hAnsi="Calibri" w:cs="Calibri"/>
                <w:sz w:val="20"/>
                <w:szCs w:val="20"/>
              </w:rPr>
              <w:t xml:space="preserve"> Admitted to hospital under the care of the respiratory teams</w:t>
            </w:r>
          </w:p>
        </w:tc>
        <w:tc>
          <w:tcPr>
            <w:tcW w:w="3828" w:type="dxa"/>
          </w:tcPr>
          <w:p w14:paraId="33CACDD0"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 xml:space="preserve">The addition of PCT testing led to a significant decrease in duration of antimicrobial prescriptions (mean 6.8 versus 8.9 days, P=0.012) and decreased length of hospital stay (median 7 versus 8 days, P=0.009) between the PCT and respiratory </w:t>
            </w:r>
            <w:r w:rsidRPr="009B561A">
              <w:rPr>
                <w:rFonts w:ascii="Calibri" w:hAnsi="Calibri" w:cs="Calibri"/>
                <w:sz w:val="20"/>
                <w:szCs w:val="20"/>
              </w:rPr>
              <w:lastRenderedPageBreak/>
              <w:t>control group. PCT did not demonstrate a significant reduction in antimicrobial consumption when measured as DDDs and days of therapy</w:t>
            </w:r>
          </w:p>
        </w:tc>
        <w:tc>
          <w:tcPr>
            <w:tcW w:w="4110" w:type="dxa"/>
            <w:shd w:val="clear" w:color="auto" w:fill="auto"/>
          </w:tcPr>
          <w:p w14:paraId="0646867F"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 xml:space="preserve">This feasibility study has shown that larger </w:t>
            </w:r>
          </w:p>
          <w:p w14:paraId="5AA2791F"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RCT would be beneficial to further explore the positive aspects of these findings.</w:t>
            </w:r>
          </w:p>
        </w:tc>
      </w:tr>
      <w:tr w:rsidR="00D82224" w:rsidRPr="009B561A" w14:paraId="51525BCE" w14:textId="77777777" w:rsidTr="0087653A">
        <w:tc>
          <w:tcPr>
            <w:tcW w:w="451" w:type="dxa"/>
          </w:tcPr>
          <w:p w14:paraId="6F650182"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13</w:t>
            </w:r>
          </w:p>
        </w:tc>
        <w:tc>
          <w:tcPr>
            <w:tcW w:w="2514" w:type="dxa"/>
          </w:tcPr>
          <w:p w14:paraId="10F7CDA4" w14:textId="1933F9DC" w:rsidR="00D82224" w:rsidRPr="009B561A" w:rsidRDefault="00D82224" w:rsidP="009B561A">
            <w:pPr>
              <w:spacing w:line="276" w:lineRule="auto"/>
              <w:rPr>
                <w:rFonts w:ascii="Calibri" w:hAnsi="Calibri" w:cs="Calibri"/>
                <w:b/>
                <w:bCs/>
                <w:color w:val="000000" w:themeColor="text1"/>
                <w:sz w:val="20"/>
                <w:szCs w:val="20"/>
                <w:vertAlign w:val="superscript"/>
              </w:rPr>
            </w:pPr>
            <w:r w:rsidRPr="009B561A">
              <w:rPr>
                <w:rFonts w:ascii="Calibri" w:hAnsi="Calibri" w:cs="Calibri"/>
                <w:b/>
                <w:bCs/>
                <w:color w:val="000000" w:themeColor="text1"/>
                <w:sz w:val="20"/>
                <w:szCs w:val="20"/>
              </w:rPr>
              <w:t>O Sullivan (</w:t>
            </w:r>
            <w:r w:rsidRPr="00627FDA">
              <w:rPr>
                <w:rFonts w:ascii="Calibri" w:hAnsi="Calibri" w:cs="Calibri"/>
                <w:b/>
                <w:bCs/>
                <w:color w:val="000000" w:themeColor="text1"/>
                <w:sz w:val="20"/>
                <w:szCs w:val="20"/>
              </w:rPr>
              <w:t>2020)</w:t>
            </w:r>
            <w:r w:rsidRPr="00627FDA">
              <w:rPr>
                <w:rFonts w:ascii="Calibri" w:hAnsi="Calibri" w:cs="Calibri"/>
                <w:b/>
                <w:bCs/>
                <w:color w:val="000000" w:themeColor="text1"/>
                <w:sz w:val="20"/>
                <w:szCs w:val="20"/>
                <w:vertAlign w:val="superscript"/>
              </w:rPr>
              <w:t xml:space="preserve"> </w:t>
            </w:r>
            <w:r w:rsidR="005C0661" w:rsidRPr="00627FDA">
              <w:rPr>
                <w:rFonts w:ascii="Calibri" w:hAnsi="Calibri" w:cs="Calibri"/>
                <w:b/>
                <w:bCs/>
                <w:color w:val="000000" w:themeColor="text1"/>
                <w:sz w:val="20"/>
                <w:szCs w:val="20"/>
                <w:vertAlign w:val="superscript"/>
              </w:rPr>
              <w:fldChar w:fldCharType="begin" w:fldLock="1"/>
            </w:r>
            <w:r w:rsidR="005C0661" w:rsidRPr="00627FDA">
              <w:rPr>
                <w:rFonts w:ascii="Calibri" w:hAnsi="Calibri" w:cs="Calibri"/>
                <w:b/>
                <w:bCs/>
                <w:color w:val="000000" w:themeColor="text1"/>
                <w:sz w:val="20"/>
                <w:szCs w:val="20"/>
                <w:vertAlign w:val="superscript"/>
              </w:rPr>
              <w:instrText>ADDIN CSL_CITATION {"citationItems":[{"id":"ITEM-1","itemData":{"DOI":"10.1093/jac/dkaa006","ISSN":"14602091","PMID":"32068845","abstract":"There are now 10 years of national antimicrobial consumption data in Ireland. Despite the creation of an 'antimicrobial stewardship and infection control industrial complex' over this period, the data demonstrate a 16% increase in consumption nationally. Given the ongoing challenges with carbapenemase-producing Enterobacterales and Clostridioides difficile within the acute hospital system, the data point to the ineffectiveness of the national antimicrobial stewardship programme/model. A different model of antimicrobial stewardship is therefore needed. This new model is one based around the collection and dissemination of physician-specific consumption, together with greater education of clinicians in the management of infections. By shining a light on individual clinician antibiotic prescribing, outlier identification, along with peer to peer (or clinician to clinician) pressure, can be brought to bear on the problem and shift the emphasis from the current 'policing' oversight, to self-regulation instead.","author":[{"dropping-particle":"","family":"O'Sullivan","given":"Cathal E.","non-dropping-particle":"","parse-names":false,"suffix":""}],"container-title":"Journal of Antimicrobial Chemotherapy","id":"ITEM-1","issue":"5","issued":{"date-parts":[["2020","5","1"]]},"page":"1087-1090","publisher":"Oxford University Press","title":"Antimicrobial stewardship failure: Time for a new model","type":"article-journal","volume":"75"},"uris":["http://www.mendeley.com/documents/?uuid=6b58ea81-3c26-3321-9b33-1710cbd7fd51"]}],"mendeley":{"formattedCitation":"(5)","plainTextFormattedCitation":"(5)","previouslyFormattedCitation":"(5)"},"properties":{"noteIndex":0},"schema":"https://github.com/citation-style-language/schema/raw/master/csl-citation.json"}</w:instrText>
            </w:r>
            <w:r w:rsidR="005C0661" w:rsidRPr="00627FDA">
              <w:rPr>
                <w:rFonts w:ascii="Calibri" w:hAnsi="Calibri" w:cs="Calibri"/>
                <w:b/>
                <w:bCs/>
                <w:color w:val="000000" w:themeColor="text1"/>
                <w:sz w:val="20"/>
                <w:szCs w:val="20"/>
                <w:vertAlign w:val="superscript"/>
              </w:rPr>
              <w:fldChar w:fldCharType="separate"/>
            </w:r>
            <w:r w:rsidR="00531F0B" w:rsidRPr="00627FDA">
              <w:rPr>
                <w:rFonts w:ascii="Calibri" w:hAnsi="Calibri" w:cs="Calibri"/>
                <w:bCs/>
                <w:noProof/>
                <w:color w:val="000000" w:themeColor="text1"/>
                <w:sz w:val="20"/>
                <w:szCs w:val="20"/>
              </w:rPr>
              <w:t>[</w:t>
            </w:r>
            <w:r w:rsidR="005C0661" w:rsidRPr="00627FDA">
              <w:rPr>
                <w:rFonts w:ascii="Calibri" w:hAnsi="Calibri" w:cs="Calibri"/>
                <w:bCs/>
                <w:noProof/>
                <w:color w:val="000000" w:themeColor="text1"/>
                <w:sz w:val="20"/>
                <w:szCs w:val="20"/>
              </w:rPr>
              <w:t>5</w:t>
            </w:r>
            <w:r w:rsidR="00531F0B" w:rsidRPr="00627FDA">
              <w:rPr>
                <w:rFonts w:ascii="Calibri" w:hAnsi="Calibri" w:cs="Calibri"/>
                <w:bCs/>
                <w:noProof/>
                <w:color w:val="000000" w:themeColor="text1"/>
                <w:sz w:val="20"/>
                <w:szCs w:val="20"/>
              </w:rPr>
              <w:t>]</w:t>
            </w:r>
            <w:r w:rsidR="005C0661" w:rsidRPr="00627FDA">
              <w:rPr>
                <w:rFonts w:ascii="Calibri" w:hAnsi="Calibri" w:cs="Calibri"/>
                <w:b/>
                <w:bCs/>
                <w:color w:val="000000" w:themeColor="text1"/>
                <w:sz w:val="20"/>
                <w:szCs w:val="20"/>
                <w:vertAlign w:val="superscript"/>
              </w:rPr>
              <w:fldChar w:fldCharType="end"/>
            </w:r>
            <w:r w:rsidR="00627FDA" w:rsidRPr="009B561A">
              <w:rPr>
                <w:rFonts w:ascii="Calibri" w:hAnsi="Calibri" w:cs="Calibri"/>
                <w:b/>
                <w:bCs/>
                <w:color w:val="000000" w:themeColor="text1"/>
                <w:sz w:val="20"/>
                <w:szCs w:val="20"/>
                <w:vertAlign w:val="superscript"/>
              </w:rPr>
              <w:t xml:space="preserve"> </w:t>
            </w:r>
          </w:p>
          <w:p w14:paraId="0D98D856"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Antimicrobial stewardship failure: time for a new model</w:t>
            </w:r>
          </w:p>
          <w:p w14:paraId="3BB000DB" w14:textId="77777777" w:rsidR="00D82224" w:rsidRPr="009B561A" w:rsidRDefault="00D82224" w:rsidP="009B561A">
            <w:pPr>
              <w:spacing w:line="276" w:lineRule="auto"/>
              <w:rPr>
                <w:rFonts w:ascii="Calibri" w:hAnsi="Calibri" w:cs="Calibri"/>
                <w:color w:val="000000" w:themeColor="text1"/>
                <w:sz w:val="20"/>
                <w:szCs w:val="20"/>
              </w:rPr>
            </w:pPr>
          </w:p>
          <w:p w14:paraId="6A1DB270" w14:textId="77777777" w:rsidR="00D82224" w:rsidRPr="009B561A" w:rsidRDefault="00D82224" w:rsidP="009B561A">
            <w:pPr>
              <w:spacing w:line="276" w:lineRule="auto"/>
              <w:rPr>
                <w:rFonts w:ascii="Calibri" w:hAnsi="Calibri" w:cs="Calibri"/>
                <w:b/>
                <w:bCs/>
                <w:color w:val="000000" w:themeColor="text1"/>
                <w:sz w:val="20"/>
                <w:szCs w:val="20"/>
                <w:highlight w:val="magenta"/>
              </w:rPr>
            </w:pPr>
            <w:r w:rsidRPr="009B561A">
              <w:rPr>
                <w:rFonts w:ascii="Calibri" w:hAnsi="Calibri" w:cs="Calibri"/>
                <w:b/>
                <w:bCs/>
                <w:sz w:val="20"/>
                <w:szCs w:val="20"/>
              </w:rPr>
              <w:t>* Links with SRC Tables A&amp; B</w:t>
            </w:r>
          </w:p>
        </w:tc>
        <w:tc>
          <w:tcPr>
            <w:tcW w:w="3267" w:type="dxa"/>
          </w:tcPr>
          <w:p w14:paraId="10536D93" w14:textId="77777777" w:rsidR="00D82224" w:rsidRPr="009B561A" w:rsidRDefault="00D82224" w:rsidP="009B561A">
            <w:pPr>
              <w:spacing w:line="276" w:lineRule="auto"/>
              <w:rPr>
                <w:rFonts w:ascii="Calibri" w:hAnsi="Calibri" w:cs="Calibri"/>
                <w:sz w:val="20"/>
                <w:szCs w:val="20"/>
              </w:rPr>
            </w:pPr>
          </w:p>
        </w:tc>
        <w:tc>
          <w:tcPr>
            <w:tcW w:w="3828" w:type="dxa"/>
          </w:tcPr>
          <w:p w14:paraId="6B9F4FAE" w14:textId="77777777" w:rsidR="00D82224" w:rsidRPr="009B561A" w:rsidRDefault="00D82224" w:rsidP="009B561A">
            <w:pPr>
              <w:spacing w:line="276" w:lineRule="auto"/>
              <w:rPr>
                <w:rFonts w:ascii="Calibri" w:hAnsi="Calibri" w:cs="Calibri"/>
                <w:b/>
                <w:bCs/>
                <w:sz w:val="20"/>
                <w:szCs w:val="20"/>
              </w:rPr>
            </w:pPr>
          </w:p>
        </w:tc>
        <w:tc>
          <w:tcPr>
            <w:tcW w:w="4110" w:type="dxa"/>
          </w:tcPr>
          <w:p w14:paraId="59C0B7A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Previously mentioned Table SRC A</w:t>
            </w:r>
            <w:r w:rsidRPr="009B561A">
              <w:rPr>
                <w:rFonts w:ascii="Calibri" w:hAnsi="Calibri" w:cs="Calibri"/>
                <w:color w:val="000000" w:themeColor="text1"/>
                <w:sz w:val="20"/>
                <w:szCs w:val="20"/>
              </w:rPr>
              <w:t>&amp; B</w:t>
            </w:r>
          </w:p>
        </w:tc>
      </w:tr>
      <w:tr w:rsidR="00D82224" w:rsidRPr="009B561A" w14:paraId="1DF28FA7" w14:textId="77777777" w:rsidTr="0087653A">
        <w:tc>
          <w:tcPr>
            <w:tcW w:w="451" w:type="dxa"/>
          </w:tcPr>
          <w:p w14:paraId="5F98DB61"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14</w:t>
            </w:r>
          </w:p>
        </w:tc>
        <w:tc>
          <w:tcPr>
            <w:tcW w:w="2514" w:type="dxa"/>
          </w:tcPr>
          <w:p w14:paraId="06250783" w14:textId="2235F41A" w:rsidR="00D82224" w:rsidRPr="00531F0B" w:rsidRDefault="00D82224" w:rsidP="009B561A">
            <w:pPr>
              <w:spacing w:line="276" w:lineRule="auto"/>
              <w:rPr>
                <w:rFonts w:ascii="Calibri" w:hAnsi="Calibri" w:cs="Calibri"/>
                <w:b/>
                <w:bCs/>
                <w:sz w:val="20"/>
                <w:szCs w:val="20"/>
                <w:vertAlign w:val="superscript"/>
              </w:rPr>
            </w:pPr>
            <w:r w:rsidRPr="00531F0B">
              <w:rPr>
                <w:rFonts w:ascii="Calibri" w:hAnsi="Calibri" w:cs="Calibri"/>
                <w:b/>
                <w:bCs/>
                <w:color w:val="000000" w:themeColor="text1"/>
                <w:sz w:val="20"/>
                <w:szCs w:val="20"/>
              </w:rPr>
              <w:t>Pulcini et al (2017)</w:t>
            </w:r>
            <w:r w:rsidR="00531F0B" w:rsidRPr="00531F0B">
              <w:rPr>
                <w:rFonts w:ascii="Calibri" w:hAnsi="Calibri" w:cs="Calibri"/>
                <w:b/>
                <w:bCs/>
                <w:color w:val="000000" w:themeColor="text1"/>
                <w:sz w:val="20"/>
                <w:szCs w:val="20"/>
              </w:rPr>
              <w:t xml:space="preserve"> </w:t>
            </w:r>
            <w:r w:rsidR="00531F0B" w:rsidRPr="00531F0B">
              <w:rPr>
                <w:rFonts w:ascii="Calibri" w:hAnsi="Calibri" w:cs="Calibri"/>
                <w:color w:val="000000" w:themeColor="text1"/>
                <w:sz w:val="20"/>
                <w:szCs w:val="20"/>
              </w:rPr>
              <w:t>[</w:t>
            </w:r>
            <w:r w:rsidRPr="00531F0B">
              <w:rPr>
                <w:rFonts w:ascii="Calibri" w:hAnsi="Calibri" w:cs="Calibri"/>
                <w:sz w:val="20"/>
                <w:szCs w:val="20"/>
                <w:vertAlign w:val="superscript"/>
              </w:rPr>
              <w:t xml:space="preserve"> </w:t>
            </w:r>
            <w:r w:rsidR="002557F6" w:rsidRPr="00531F0B">
              <w:rPr>
                <w:rFonts w:ascii="Calibri" w:hAnsi="Calibri" w:cs="Calibri"/>
                <w:b/>
                <w:bCs/>
                <w:sz w:val="20"/>
                <w:szCs w:val="20"/>
                <w:vertAlign w:val="superscript"/>
              </w:rPr>
              <w:fldChar w:fldCharType="begin" w:fldLock="1"/>
            </w:r>
            <w:r w:rsidR="00263E13" w:rsidRPr="00531F0B">
              <w:rPr>
                <w:rFonts w:ascii="Calibri" w:hAnsi="Calibri" w:cs="Calibri"/>
                <w:b/>
                <w:bCs/>
                <w:sz w:val="20"/>
                <w:szCs w:val="20"/>
                <w:vertAlign w:val="superscript"/>
              </w:rPr>
              <w:instrText>ADDIN CSL_CITATION {"citationItems":[{"id":"ITEM-1","itemData":{"DOI":"10.1016/j.cmi.2017.04.026","ISSN":"14690691","PMID":"28522030","author":[{"dropping-particle":"","family":"Pulcini","given":"C.","non-dropping-particle":"","parse-names":false,"suffix":""},{"dropping-particle":"","family":"Beovic","given":"B.","non-dropping-particle":"","parse-names":false,"suffix":""},{"dropping-particle":"","family":"Béraud","given":"G.","non-dropping-particle":"","parse-names":false,"suffix":""},{"dropping-particle":"","family":"Carlet","given":"J.","non-dropping-particle":"","parse-names":false,"suffix":""},{"dropping-particle":"","family":"Cars","given":"O.","non-dropping-particle":"","parse-names":false,"suffix":""},{"dropping-particle":"","family":"Howard","given":"P.","non-dropping-particle":"","parse-names":false,"suffix":""},{"dropping-particle":"","family":"Levy-Hara","given":"G.","non-dropping-particle":"","parse-names":false,"suffix":""},{"dropping-particle":"","family":"Li","given":"G.","non-dropping-particle":"","parse-names":false,"suffix":""},{"dropping-particle":"","family":"Nathwani","given":"D.","non-dropping-particle":"","parse-names":false,"suffix":""},{"dropping-particle":"","family":"Roblot","given":"F.","non-dropping-particle":"","parse-names":false,"suffix":""},{"dropping-particle":"","family":"Sharland","given":"M.","non-dropping-particle":"","parse-names":false,"suffix":""}],"container-title":"Clinical Microbiology and Infection","id":"ITEM-1","issue":"9","issued":{"date-parts":[["2017","9","1"]]},"page":"590-592","publisher":"Elsevier B.V.","title":"Ensuring universal access to old antibiotics: a critical but neglected priority","type":"article-journal","volume":"23"},"uris":["http://www.mendeley.com/documents/?uuid=620f67ad-70e1-3c81-9c83-fe0f6e3d402e"]}],"mendeley":{"formattedCitation":"(36)","plainTextFormattedCitation":"(36)","previouslyFormattedCitation":"(36)"},"properties":{"noteIndex":0},"schema":"https://github.com/citation-style-language/schema/raw/master/csl-citation.json"}</w:instrText>
            </w:r>
            <w:r w:rsidR="002557F6" w:rsidRPr="00531F0B">
              <w:rPr>
                <w:rFonts w:ascii="Calibri" w:hAnsi="Calibri" w:cs="Calibri"/>
                <w:b/>
                <w:bCs/>
                <w:sz w:val="20"/>
                <w:szCs w:val="20"/>
                <w:vertAlign w:val="superscript"/>
              </w:rPr>
              <w:fldChar w:fldCharType="separate"/>
            </w:r>
            <w:r w:rsidR="002557F6" w:rsidRPr="00531F0B">
              <w:rPr>
                <w:rFonts w:ascii="Calibri" w:hAnsi="Calibri" w:cs="Calibri"/>
                <w:bCs/>
                <w:noProof/>
                <w:sz w:val="20"/>
                <w:szCs w:val="20"/>
              </w:rPr>
              <w:t>36</w:t>
            </w:r>
            <w:r w:rsidR="00531F0B" w:rsidRPr="00531F0B">
              <w:rPr>
                <w:rFonts w:ascii="Calibri" w:hAnsi="Calibri" w:cs="Calibri"/>
                <w:bCs/>
                <w:noProof/>
                <w:sz w:val="20"/>
                <w:szCs w:val="20"/>
              </w:rPr>
              <w:t>]</w:t>
            </w:r>
            <w:r w:rsidR="002557F6" w:rsidRPr="00531F0B">
              <w:rPr>
                <w:rFonts w:ascii="Calibri" w:hAnsi="Calibri" w:cs="Calibri"/>
                <w:b/>
                <w:bCs/>
                <w:sz w:val="20"/>
                <w:szCs w:val="20"/>
                <w:vertAlign w:val="superscript"/>
              </w:rPr>
              <w:fldChar w:fldCharType="end"/>
            </w:r>
          </w:p>
          <w:p w14:paraId="559DD5F3" w14:textId="77777777" w:rsidR="00D82224" w:rsidRPr="009B561A" w:rsidRDefault="00D82224" w:rsidP="009B561A">
            <w:pPr>
              <w:spacing w:line="276" w:lineRule="auto"/>
              <w:rPr>
                <w:rFonts w:ascii="Calibri" w:hAnsi="Calibri" w:cs="Calibri"/>
                <w:color w:val="000000" w:themeColor="text1"/>
                <w:sz w:val="20"/>
                <w:szCs w:val="20"/>
              </w:rPr>
            </w:pPr>
            <w:r w:rsidRPr="00531F0B">
              <w:rPr>
                <w:rFonts w:ascii="Calibri" w:hAnsi="Calibri" w:cs="Calibri"/>
                <w:color w:val="000000" w:themeColor="text1"/>
                <w:sz w:val="20"/>
                <w:szCs w:val="20"/>
              </w:rPr>
              <w:t>Selective reporting of antibiotic susceptibility test results in European countries: an ESCMID cross-sectional survey</w:t>
            </w:r>
          </w:p>
          <w:p w14:paraId="2325AF4F" w14:textId="77777777" w:rsidR="00D82224" w:rsidRPr="009B561A" w:rsidRDefault="00D82224" w:rsidP="009B561A">
            <w:pPr>
              <w:spacing w:line="276" w:lineRule="auto"/>
              <w:rPr>
                <w:rFonts w:ascii="Calibri" w:hAnsi="Calibri" w:cs="Calibri"/>
                <w:b/>
                <w:bCs/>
                <w:color w:val="000000" w:themeColor="text1"/>
                <w:sz w:val="20"/>
                <w:szCs w:val="20"/>
              </w:rPr>
            </w:pPr>
          </w:p>
        </w:tc>
        <w:tc>
          <w:tcPr>
            <w:tcW w:w="3267" w:type="dxa"/>
          </w:tcPr>
          <w:p w14:paraId="77C32FFB"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Aims:</w:t>
            </w:r>
            <w:r w:rsidRPr="009B561A">
              <w:rPr>
                <w:rFonts w:ascii="Calibri" w:hAnsi="Calibri" w:cs="Calibri"/>
                <w:color w:val="000000" w:themeColor="text1"/>
                <w:sz w:val="20"/>
                <w:szCs w:val="20"/>
              </w:rPr>
              <w:t xml:space="preserve"> To identify where and how selective reporting of antibiotic susceptibility test (AST) results is implemented in Europe both in inpatient and in outpatient settings.</w:t>
            </w:r>
          </w:p>
          <w:p w14:paraId="16149890"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 xml:space="preserve">Methods: </w:t>
            </w:r>
            <w:r w:rsidRPr="009B561A">
              <w:rPr>
                <w:rFonts w:ascii="Calibri" w:hAnsi="Calibri" w:cs="Calibri"/>
                <w:color w:val="000000" w:themeColor="text1"/>
                <w:sz w:val="20"/>
                <w:szCs w:val="20"/>
              </w:rPr>
              <w:t>Survey</w:t>
            </w:r>
          </w:p>
          <w:p w14:paraId="2F2D80D7"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 xml:space="preserve">Participants: </w:t>
            </w:r>
            <w:r w:rsidRPr="009B561A">
              <w:rPr>
                <w:rFonts w:ascii="Calibri" w:hAnsi="Calibri" w:cs="Calibri"/>
                <w:color w:val="000000" w:themeColor="text1"/>
                <w:sz w:val="20"/>
                <w:szCs w:val="20"/>
              </w:rPr>
              <w:t>36 European countries</w:t>
            </w:r>
          </w:p>
          <w:p w14:paraId="7FB4783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b/>
                <w:bCs/>
                <w:color w:val="000000" w:themeColor="text1"/>
                <w:sz w:val="20"/>
                <w:szCs w:val="20"/>
              </w:rPr>
              <w:t xml:space="preserve">Recruitment: </w:t>
            </w:r>
            <w:r w:rsidRPr="009B561A">
              <w:rPr>
                <w:rFonts w:ascii="Calibri" w:hAnsi="Calibri" w:cs="Calibri"/>
                <w:color w:val="000000" w:themeColor="text1"/>
                <w:sz w:val="20"/>
                <w:szCs w:val="20"/>
              </w:rPr>
              <w:t>HPSC</w:t>
            </w:r>
          </w:p>
        </w:tc>
        <w:tc>
          <w:tcPr>
            <w:tcW w:w="3828" w:type="dxa"/>
          </w:tcPr>
          <w:p w14:paraId="4975CEF2"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sz w:val="20"/>
                <w:szCs w:val="20"/>
              </w:rPr>
              <w:t>Selective reporting of AST results was implemented in 11/36 countries (31%), was partially implemented in 4/36 (11%) and was limited to local initiatives or was not adopted in 21/36 (58%).</w:t>
            </w:r>
          </w:p>
        </w:tc>
        <w:tc>
          <w:tcPr>
            <w:tcW w:w="4110" w:type="dxa"/>
          </w:tcPr>
          <w:p w14:paraId="4790ED75"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Selective reporting of AST results is poorly implemented in Europe</w:t>
            </w:r>
          </w:p>
        </w:tc>
      </w:tr>
      <w:tr w:rsidR="00D82224" w:rsidRPr="009B561A" w14:paraId="5C8F3F83" w14:textId="77777777" w:rsidTr="0087653A">
        <w:trPr>
          <w:trHeight w:val="1193"/>
        </w:trPr>
        <w:tc>
          <w:tcPr>
            <w:tcW w:w="451" w:type="dxa"/>
          </w:tcPr>
          <w:p w14:paraId="7D7DAD97"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color w:val="000000" w:themeColor="text1"/>
                <w:sz w:val="20"/>
                <w:szCs w:val="20"/>
              </w:rPr>
              <w:t>15</w:t>
            </w:r>
          </w:p>
        </w:tc>
        <w:tc>
          <w:tcPr>
            <w:tcW w:w="2514" w:type="dxa"/>
          </w:tcPr>
          <w:p w14:paraId="59797556" w14:textId="5A2536BE"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sz w:val="20"/>
                <w:szCs w:val="20"/>
              </w:rPr>
              <w:t xml:space="preserve">Tandan et al. (2019) </w:t>
            </w:r>
            <w:r w:rsidR="00263E13" w:rsidRPr="00B34E0B">
              <w:rPr>
                <w:rFonts w:ascii="Calibri" w:hAnsi="Calibri" w:cs="Calibri"/>
                <w:b/>
                <w:bCs/>
                <w:sz w:val="20"/>
                <w:szCs w:val="20"/>
                <w:highlight w:val="cyan"/>
              </w:rPr>
              <w:fldChar w:fldCharType="begin" w:fldLock="1"/>
            </w:r>
            <w:r w:rsidR="00263E13" w:rsidRPr="00B34E0B">
              <w:rPr>
                <w:rFonts w:ascii="Calibri" w:hAnsi="Calibri" w:cs="Calibri"/>
                <w:b/>
                <w:bCs/>
                <w:sz w:val="20"/>
                <w:szCs w:val="20"/>
                <w:highlight w:val="cyan"/>
              </w:rPr>
              <w:instrText>ADDIN CSL_CITATION {"citationItems":[{"id":"ITEM-1","itemData":{"DOI":"10.2807/1560-7917.ES.2019.24.11.1800102","ISSN":"15607917","PMID":"30892182","abstract":"Background: Long-term care facilities (LTCFs) are important locations of antimicrobial consumption. Of particular concern is inappropriate prescribing of prophylactic antimicrobials. Aim: We aimed to explore factors related to antimicrobial prophylaxis in LTCFs in Ireland. Methods: The point prevalence surveys of Healthcare-Associated Infections in Long-Term Care Facilities (HALT) were performed in Ireland in May 2013 and 2016. Data were collected on facility (type and stewardship initiatives) and resident characteristics (age, sex, antimicrobial and indication) for those meeting the surveillance definition for a HAI and/or prescribed an antimicrobial. Results: In 2013, 9,318 residents (in 190 LTCFs) and in 2016, 10,044 residents (in 224 LTCFs) were included. Of the 10% of residents prescribed antimicrobials, 40% were on prophylaxis, most of which was to prevent urinary tract infection. The main prophylactic agents were: nitrofurantoin (39%) and trimethoprim (41%) for urinary tract (UT); macrolides (47%) for respiratory tract and macrolides and tetracycline (56%) for skin or wounds. More than 50% of the prophylaxis was prescribed in intellectual disability facilities and around 40% in nursing homes. Prophylaxis was recorded more often for females, residents living in LTCFs for more than 1 year and residents with a urinary catheter. No difference in prophylactic prescribing was observed when comparing LTCFs participating and not participating in both years. Conclusions: Forty per cent of antimicrobial prescriptions in Irish LTCFs were prophylactic. This practice is not consistent with national antimicrobial prescribing guidelines. Addressing inappropriate prophylaxis prescribing in Irish LTCFs should be a key objective of antimicrobial stewardship initiatives.","author":[{"dropping-particle":"","family":"Tandan","given":"Meera","non-dropping-particle":"","parse-names":false,"suffix":""},{"dropping-particle":"","family":"O’connor","given":"Rory","non-dropping-particle":"","parse-names":false,"suffix":""},{"dropping-particle":"","family":"Burns","given":"Karen","non-dropping-particle":"","parse-names":false,"suffix":""},{"dropping-particle":"","family":"Murphy","given":"Helen","non-dropping-particle":"","parse-names":false,"suffix":""},{"dropping-particle":"","family":"Hennessy","given":"Sarah","non-dropping-particle":"","parse-names":false,"suffix":""},{"dropping-particle":"","family":"Roche","given":"Fiona","non-dropping-particle":"","parse-names":false,"suffix":""},{"dropping-particle":"","family":"Donlon³","given":"Sheila","non-dropping-particle":"","parse-names":false,"suffix":""},{"dropping-particle":"","family":"Cormican","given":"Martin","non-dropping-particle":"","parse-names":false,"suffix":""},{"dropping-particle":"","family":"Vellinga","given":"Akke","non-dropping-particle":"","parse-names":false,"suffix":""}],"container-title":"Eurosurveillance","id":"ITEM-1","issue":"11","issued":{"date-parts":[["2019"]]},"page":"1-10","publisher":"European Centre for Disease Control and Prevention (ECDC)","title":"A comparative analysis of prophylactic antimicrobial use in long-term care facilities in Ireland, 2013 and 2016","type":"article-journal","volume":"24"},"uris":["http://www.mendeley.com/documents/?uuid=8ec658b2-bdea-44e7-afab-2b0e3d885fec"]}],"mendeley":{"formattedCitation":"(37)","plainTextFormattedCitation":"(37)","previouslyFormattedCitation":"(37)"},"properties":{"noteIndex":0},"schema":"https://github.com/citation-style-language/schema/raw/master/csl-citation.json"}</w:instrText>
            </w:r>
            <w:r w:rsidR="00263E13" w:rsidRPr="00B34E0B">
              <w:rPr>
                <w:rFonts w:ascii="Calibri" w:hAnsi="Calibri" w:cs="Calibri"/>
                <w:b/>
                <w:bCs/>
                <w:sz w:val="20"/>
                <w:szCs w:val="20"/>
                <w:highlight w:val="cyan"/>
              </w:rPr>
              <w:fldChar w:fldCharType="separate"/>
            </w:r>
            <w:r w:rsidR="00531F0B" w:rsidRPr="00627FDA">
              <w:rPr>
                <w:rFonts w:ascii="Calibri" w:hAnsi="Calibri" w:cs="Calibri"/>
                <w:bCs/>
                <w:noProof/>
                <w:sz w:val="20"/>
                <w:szCs w:val="20"/>
              </w:rPr>
              <w:t>[</w:t>
            </w:r>
            <w:r w:rsidR="00263E13" w:rsidRPr="00627FDA">
              <w:rPr>
                <w:rFonts w:ascii="Calibri" w:hAnsi="Calibri" w:cs="Calibri"/>
                <w:bCs/>
                <w:noProof/>
                <w:sz w:val="20"/>
                <w:szCs w:val="20"/>
              </w:rPr>
              <w:t>37</w:t>
            </w:r>
            <w:r w:rsidR="00531F0B" w:rsidRPr="00627FDA">
              <w:rPr>
                <w:rFonts w:ascii="Calibri" w:hAnsi="Calibri" w:cs="Calibri"/>
                <w:bCs/>
                <w:noProof/>
                <w:sz w:val="20"/>
                <w:szCs w:val="20"/>
              </w:rPr>
              <w:t>]</w:t>
            </w:r>
            <w:r w:rsidR="00531F0B">
              <w:rPr>
                <w:rFonts w:ascii="Calibri" w:hAnsi="Calibri" w:cs="Calibri"/>
                <w:bCs/>
                <w:noProof/>
                <w:sz w:val="20"/>
                <w:szCs w:val="20"/>
                <w:highlight w:val="cyan"/>
              </w:rPr>
              <w:t xml:space="preserve"> </w:t>
            </w:r>
            <w:r w:rsidR="00263E13" w:rsidRPr="00B34E0B">
              <w:rPr>
                <w:rFonts w:ascii="Calibri" w:hAnsi="Calibri" w:cs="Calibri"/>
                <w:b/>
                <w:bCs/>
                <w:sz w:val="20"/>
                <w:szCs w:val="20"/>
                <w:highlight w:val="cyan"/>
              </w:rPr>
              <w:fldChar w:fldCharType="end"/>
            </w:r>
          </w:p>
          <w:p w14:paraId="23974B45"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b/>
                <w:bCs/>
                <w:sz w:val="20"/>
                <w:szCs w:val="20"/>
              </w:rPr>
              <w:t xml:space="preserve"> </w:t>
            </w:r>
            <w:r w:rsidRPr="009B561A">
              <w:rPr>
                <w:rFonts w:ascii="Calibri" w:hAnsi="Calibri" w:cs="Calibri"/>
                <w:sz w:val="20"/>
                <w:szCs w:val="20"/>
              </w:rPr>
              <w:t>A comparative analysis of prophylactic antimicrobial use in long-term care facilities in Ireland, 2013 and 2016</w:t>
            </w:r>
          </w:p>
          <w:p w14:paraId="7E2F6689" w14:textId="77777777" w:rsidR="00D82224" w:rsidRPr="009B561A" w:rsidRDefault="00D82224" w:rsidP="009B561A">
            <w:pPr>
              <w:spacing w:line="276" w:lineRule="auto"/>
              <w:rPr>
                <w:rFonts w:ascii="Calibri" w:hAnsi="Calibri" w:cs="Calibri"/>
                <w:b/>
                <w:bCs/>
                <w:sz w:val="20"/>
                <w:szCs w:val="20"/>
                <w:vertAlign w:val="superscript"/>
              </w:rPr>
            </w:pPr>
          </w:p>
          <w:p w14:paraId="7B7D991E"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 Links with Table SRC D</w:t>
            </w:r>
          </w:p>
        </w:tc>
        <w:tc>
          <w:tcPr>
            <w:tcW w:w="3267" w:type="dxa"/>
          </w:tcPr>
          <w:p w14:paraId="1C67FDC6"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lastRenderedPageBreak/>
              <w:t>Aims:</w:t>
            </w:r>
            <w:r w:rsidRPr="009B561A">
              <w:rPr>
                <w:rFonts w:ascii="Calibri" w:hAnsi="Calibri" w:cs="Calibri"/>
                <w:color w:val="000000" w:themeColor="text1"/>
                <w:sz w:val="20"/>
                <w:szCs w:val="20"/>
              </w:rPr>
              <w:t xml:space="preserve">  To explore factors related to antimicrobial prophylaxis in LTCFs in Ireland</w:t>
            </w:r>
            <w:r w:rsidRPr="009B561A">
              <w:rPr>
                <w:rFonts w:ascii="Calibri" w:hAnsi="Calibri" w:cs="Calibri"/>
                <w:b/>
                <w:bCs/>
                <w:color w:val="000000" w:themeColor="text1"/>
                <w:sz w:val="20"/>
                <w:szCs w:val="20"/>
              </w:rPr>
              <w:t xml:space="preserve"> </w:t>
            </w:r>
          </w:p>
          <w:p w14:paraId="5C7F61BB"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Methods:</w:t>
            </w:r>
            <w:r w:rsidRPr="009B561A">
              <w:rPr>
                <w:rFonts w:ascii="Calibri" w:hAnsi="Calibri" w:cs="Calibri"/>
                <w:color w:val="000000" w:themeColor="text1"/>
                <w:sz w:val="20"/>
                <w:szCs w:val="20"/>
              </w:rPr>
              <w:t xml:space="preserve"> The point prevalence surveys of Healthcare-Associated </w:t>
            </w:r>
            <w:r w:rsidRPr="009B561A">
              <w:rPr>
                <w:rFonts w:ascii="Calibri" w:hAnsi="Calibri" w:cs="Calibri"/>
                <w:color w:val="000000" w:themeColor="text1"/>
                <w:sz w:val="20"/>
                <w:szCs w:val="20"/>
              </w:rPr>
              <w:lastRenderedPageBreak/>
              <w:t xml:space="preserve">Infections in Long-Term Care Facilities (HALT) </w:t>
            </w:r>
          </w:p>
          <w:p w14:paraId="1DD523BE"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In 2013, 9,318 residents (in 190 LTCFs) and in 2016, 10,044 residents (in 224 LTCFs) were included</w:t>
            </w:r>
          </w:p>
          <w:p w14:paraId="14C8FD94"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Recruitment:</w:t>
            </w:r>
            <w:r w:rsidRPr="009B561A">
              <w:rPr>
                <w:rFonts w:ascii="Calibri" w:hAnsi="Calibri" w:cs="Calibri"/>
                <w:sz w:val="20"/>
                <w:szCs w:val="20"/>
              </w:rPr>
              <w:t xml:space="preserve"> Secondary analysis</w:t>
            </w:r>
          </w:p>
        </w:tc>
        <w:tc>
          <w:tcPr>
            <w:tcW w:w="3828" w:type="dxa"/>
          </w:tcPr>
          <w:p w14:paraId="7DB4CA2A"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 xml:space="preserve">40 per cent of antimicrobial prescriptions in Irish LTCFs were prophylactic. </w:t>
            </w:r>
          </w:p>
          <w:p w14:paraId="1BBC9E54"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This practice is not consistent with national antimicrobial prescribing guidelines</w:t>
            </w:r>
          </w:p>
        </w:tc>
        <w:tc>
          <w:tcPr>
            <w:tcW w:w="4110" w:type="dxa"/>
          </w:tcPr>
          <w:p w14:paraId="2E12B3BD"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Addressing inappropriate prophylaxis prescribing in Irish LTCFs should be a key objective of antimicrobial stewardship initiatives.</w:t>
            </w:r>
          </w:p>
          <w:p w14:paraId="1E862E7B" w14:textId="77777777" w:rsidR="00D82224" w:rsidRPr="009B561A" w:rsidRDefault="00D82224" w:rsidP="009B561A">
            <w:pPr>
              <w:spacing w:line="276" w:lineRule="auto"/>
              <w:rPr>
                <w:rFonts w:ascii="Calibri" w:hAnsi="Calibri" w:cs="Calibri"/>
                <w:b/>
                <w:bCs/>
                <w:sz w:val="20"/>
                <w:szCs w:val="20"/>
              </w:rPr>
            </w:pPr>
          </w:p>
          <w:p w14:paraId="1CB1EFD7" w14:textId="77777777" w:rsidR="00D82224" w:rsidRPr="009B561A" w:rsidRDefault="00D82224" w:rsidP="009B561A">
            <w:pPr>
              <w:spacing w:line="276" w:lineRule="auto"/>
              <w:rPr>
                <w:rFonts w:ascii="Calibri" w:hAnsi="Calibri" w:cs="Calibri"/>
                <w:b/>
                <w:bCs/>
                <w:color w:val="FF0000"/>
                <w:sz w:val="20"/>
                <w:szCs w:val="20"/>
              </w:rPr>
            </w:pPr>
          </w:p>
          <w:p w14:paraId="714AC5B2" w14:textId="77777777" w:rsidR="00D82224" w:rsidRPr="009B561A" w:rsidRDefault="00D82224" w:rsidP="009B561A">
            <w:pPr>
              <w:spacing w:line="276" w:lineRule="auto"/>
              <w:rPr>
                <w:rFonts w:ascii="Calibri" w:hAnsi="Calibri" w:cs="Calibri"/>
                <w:color w:val="FF0000"/>
                <w:sz w:val="20"/>
                <w:szCs w:val="20"/>
              </w:rPr>
            </w:pPr>
          </w:p>
        </w:tc>
      </w:tr>
      <w:tr w:rsidR="00D82224" w:rsidRPr="009B561A" w14:paraId="3AD0217F" w14:textId="77777777" w:rsidTr="0087653A">
        <w:trPr>
          <w:trHeight w:val="1193"/>
        </w:trPr>
        <w:tc>
          <w:tcPr>
            <w:tcW w:w="451" w:type="dxa"/>
          </w:tcPr>
          <w:p w14:paraId="7E847C8C"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16</w:t>
            </w:r>
          </w:p>
        </w:tc>
        <w:tc>
          <w:tcPr>
            <w:tcW w:w="2514" w:type="dxa"/>
          </w:tcPr>
          <w:p w14:paraId="3BAAFFA5" w14:textId="781159C4" w:rsidR="00D82224" w:rsidRPr="00627FDA" w:rsidRDefault="00D82224" w:rsidP="009B561A">
            <w:pPr>
              <w:spacing w:line="276" w:lineRule="auto"/>
              <w:rPr>
                <w:rFonts w:ascii="Calibri" w:hAnsi="Calibri" w:cs="Calibri"/>
                <w:b/>
                <w:bCs/>
                <w:sz w:val="20"/>
                <w:szCs w:val="20"/>
              </w:rPr>
            </w:pPr>
            <w:r w:rsidRPr="009B561A">
              <w:rPr>
                <w:rFonts w:ascii="Calibri" w:hAnsi="Calibri" w:cs="Calibri"/>
                <w:b/>
                <w:bCs/>
                <w:color w:val="000000" w:themeColor="text1"/>
                <w:sz w:val="20"/>
                <w:szCs w:val="20"/>
              </w:rPr>
              <w:t>Tandan et al (2018)</w:t>
            </w:r>
            <w:r w:rsidRPr="009B561A">
              <w:rPr>
                <w:rFonts w:ascii="Calibri" w:hAnsi="Calibri" w:cs="Calibri"/>
                <w:b/>
                <w:bCs/>
                <w:color w:val="000000" w:themeColor="text1"/>
                <w:sz w:val="20"/>
                <w:szCs w:val="20"/>
                <w:vertAlign w:val="superscript"/>
              </w:rPr>
              <w:t xml:space="preserve"> </w:t>
            </w:r>
            <w:r w:rsidR="00263E13" w:rsidRPr="00627FDA">
              <w:rPr>
                <w:rFonts w:ascii="Calibri" w:hAnsi="Calibri" w:cs="Calibri"/>
                <w:b/>
                <w:bCs/>
                <w:color w:val="000000" w:themeColor="text1"/>
                <w:sz w:val="20"/>
                <w:szCs w:val="20"/>
                <w:vertAlign w:val="superscript"/>
              </w:rPr>
              <w:fldChar w:fldCharType="begin" w:fldLock="1"/>
            </w:r>
            <w:r w:rsidR="00263E13" w:rsidRPr="00627FDA">
              <w:rPr>
                <w:rFonts w:ascii="Calibri" w:hAnsi="Calibri" w:cs="Calibri"/>
                <w:b/>
                <w:bCs/>
                <w:color w:val="000000" w:themeColor="text1"/>
                <w:sz w:val="20"/>
                <w:szCs w:val="20"/>
                <w:vertAlign w:val="superscript"/>
              </w:rPr>
              <w:instrText>ADDIN CSL_CITATION {"citationItems":[{"id":"ITEM-1","itemData":{"DOI":"10.2807/1560-7917.ES.2018.23.46.1800278","ISSN":"1560-7917","abstract":"Background: The 2016 point prevalence survey (PPS) of healthcare-associated infections (HAI) and antimicrobial use (AMU) in Irish long-term care facilities (LTCF) (HALT) showed a 9.8% AMU and 4.4% HAI prevalence, based on aggregated data analysis. Aim: Our aim was to identify institutional and resident risk factors of AMU and HAI. Methods: HALT 2016 gathered information using institutional and resident questionnaires, for residents who met the surveillance definition of active HAI and/or AMU, limiting analysis to the aggregated institutional level. In January 2017, we requested additional data on age, sex, urinary catheter use and disorientation of current residents from HALT 2016 LTCF and matched to 2016 HALT data. Results: Of 224 HALT 2016 LTCF, 80 provided additional information on 3,816 residents; prevalence of AMU was 10.6% and HAI was 4.7%. Presence of a coordinating physician (Odds ratio (OR): 0.3; 95% confidence interval (CI): 0.2-0.6), antimicrobial stewardship committee (OR: 0.2; 95%; Ci: 0.1-0.6), healthcare assistants (OR: 0.9; 95% CI: 0.9-1.0), antimicrobial consumption feedback (OR: 0.3; 95% CI: 0.1-0.6) and medical care by personal general practitioner (OR: 0.6; 95% CI: 0.7-1.0) were associated with less AMU and feedback on surveillance of infection prevention and control (IPC) practices (OR: 0.6; 95% CI: 0.3-1..0) with less HAI. AMU and HAI varied significantly between LTCF. Conclusions: Multilevel modelling identified significant inter-facility variation, as well as institutional factors associated with AMU and HAI. An antimicrobial stewardship committee linked with feedback on IPC and prescribing was associated with reduced AMU and HAI.","author":[{"dropping-particle":"","family":"Tandan","given":"M","non-dropping-particle":"","parse-names":false,"suffix":""},{"dropping-particle":"","family":"Burns","given":"K","non-dropping-particle":"","parse-names":false,"suffix":""},{"dropping-particle":"","family":"Murphy","given":"H","non-dropping-particle":"","parse-names":false,"suffix":""},{"dropping-particle":"","family":"Hennessy","given":"S","non-dropping-particle":"","parse-names":false,"suffix":""},{"dropping-particle":"","family":"Cormican","given":"M","non-dropping-particle":"","parse-names":false,"suffix":""},{"dropping-particle":"","family":"Vellinga","given":"A","non-dropping-particle":"","parse-names":false,"suffix":""}],"container-title":"EUROSURVEILLANCE","id":"ITEM-1","issue":"46","issued":{"date-parts":[["2018"]]},"page":"64-74","title":"Antimicrobial prescribing and infections in long-term care facilities (LTCF): a multilevel analysis of the HALT 2016 study, Ireland, 2017","type":"article-journal","volume":"23"},"uris":["http://www.mendeley.com/documents/?uuid=03fed03b-ae98-477f-a83c-8af475c6b75e"]}],"mendeley":{"formattedCitation":"(38)","plainTextFormattedCitation":"(38)","previouslyFormattedCitation":"(38)"},"properties":{"noteIndex":0},"schema":"https://github.com/citation-style-language/schema/raw/master/csl-citation.json"}</w:instrText>
            </w:r>
            <w:r w:rsidR="00263E13" w:rsidRPr="00627FDA">
              <w:rPr>
                <w:rFonts w:ascii="Calibri" w:hAnsi="Calibri" w:cs="Calibri"/>
                <w:b/>
                <w:bCs/>
                <w:color w:val="000000" w:themeColor="text1"/>
                <w:sz w:val="20"/>
                <w:szCs w:val="20"/>
                <w:vertAlign w:val="superscript"/>
              </w:rPr>
              <w:fldChar w:fldCharType="separate"/>
            </w:r>
            <w:r w:rsidR="00531F0B" w:rsidRPr="00627FDA">
              <w:rPr>
                <w:rFonts w:ascii="Calibri" w:hAnsi="Calibri" w:cs="Calibri"/>
                <w:bCs/>
                <w:noProof/>
                <w:color w:val="000000" w:themeColor="text1"/>
                <w:sz w:val="20"/>
                <w:szCs w:val="20"/>
              </w:rPr>
              <w:t>[</w:t>
            </w:r>
            <w:r w:rsidR="00263E13" w:rsidRPr="00627FDA">
              <w:rPr>
                <w:rFonts w:ascii="Calibri" w:hAnsi="Calibri" w:cs="Calibri"/>
                <w:bCs/>
                <w:noProof/>
                <w:color w:val="000000" w:themeColor="text1"/>
                <w:sz w:val="20"/>
                <w:szCs w:val="20"/>
              </w:rPr>
              <w:t>38</w:t>
            </w:r>
            <w:r w:rsidR="00531F0B" w:rsidRPr="00627FDA">
              <w:rPr>
                <w:rFonts w:ascii="Calibri" w:hAnsi="Calibri" w:cs="Calibri"/>
                <w:bCs/>
                <w:noProof/>
                <w:color w:val="000000" w:themeColor="text1"/>
                <w:sz w:val="20"/>
                <w:szCs w:val="20"/>
              </w:rPr>
              <w:t>]</w:t>
            </w:r>
            <w:r w:rsidR="00263E13" w:rsidRPr="00627FDA">
              <w:rPr>
                <w:rFonts w:ascii="Calibri" w:hAnsi="Calibri" w:cs="Calibri"/>
                <w:b/>
                <w:bCs/>
                <w:color w:val="000000" w:themeColor="text1"/>
                <w:sz w:val="20"/>
                <w:szCs w:val="20"/>
                <w:vertAlign w:val="superscript"/>
              </w:rPr>
              <w:fldChar w:fldCharType="end"/>
            </w:r>
            <w:r w:rsidR="00627FDA" w:rsidRPr="00627FDA">
              <w:rPr>
                <w:rFonts w:ascii="Calibri" w:hAnsi="Calibri" w:cs="Calibri"/>
                <w:b/>
                <w:bCs/>
                <w:sz w:val="20"/>
                <w:szCs w:val="20"/>
              </w:rPr>
              <w:t xml:space="preserve"> </w:t>
            </w:r>
          </w:p>
          <w:p w14:paraId="2A1E2F4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Antimicrobial prescribing and infections in long-term care facilities (LTCF): a multilevel analysis of the HALT 2016 study, Ireland, 2017</w:t>
            </w:r>
          </w:p>
          <w:p w14:paraId="6308F542"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sz w:val="20"/>
                <w:szCs w:val="20"/>
              </w:rPr>
              <w:t>* Links with Table SRC D</w:t>
            </w:r>
          </w:p>
        </w:tc>
        <w:tc>
          <w:tcPr>
            <w:tcW w:w="3267" w:type="dxa"/>
          </w:tcPr>
          <w:p w14:paraId="69B5DAD6"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Aims:</w:t>
            </w:r>
            <w:r w:rsidRPr="009B561A">
              <w:rPr>
                <w:rFonts w:ascii="Calibri" w:hAnsi="Calibri" w:cs="Calibri"/>
                <w:color w:val="000000" w:themeColor="text1"/>
                <w:sz w:val="20"/>
                <w:szCs w:val="20"/>
              </w:rPr>
              <w:t xml:space="preserve"> To identify institutional and resident risk factors of AMU and H AI.</w:t>
            </w:r>
          </w:p>
          <w:p w14:paraId="0099393C"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Methods: </w:t>
            </w:r>
            <w:r w:rsidRPr="009B561A">
              <w:rPr>
                <w:rFonts w:ascii="Calibri" w:hAnsi="Calibri" w:cs="Calibri"/>
                <w:color w:val="000000" w:themeColor="text1"/>
                <w:sz w:val="20"/>
                <w:szCs w:val="20"/>
              </w:rPr>
              <w:t>Two paper surveys (institutional and resident) were used to collect information -additional data on age, sex, urinary catheter use and disorientation of current residents from HALT 2016 LTCF and matched to 2016 HALT data.</w:t>
            </w:r>
          </w:p>
          <w:p w14:paraId="11355F15"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Of 224 HALT 2016 LTCF, 80 provided additional information on 3,816 residents</w:t>
            </w:r>
          </w:p>
          <w:p w14:paraId="478D6985"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Recruitment: </w:t>
            </w:r>
            <w:r w:rsidRPr="009B561A">
              <w:rPr>
                <w:rFonts w:ascii="Calibri" w:hAnsi="Calibri" w:cs="Calibri"/>
                <w:color w:val="000000" w:themeColor="text1"/>
                <w:sz w:val="20"/>
                <w:szCs w:val="20"/>
              </w:rPr>
              <w:t>HPSC</w:t>
            </w:r>
          </w:p>
          <w:p w14:paraId="1715DDD6" w14:textId="77777777" w:rsidR="00D82224" w:rsidRPr="009B561A" w:rsidRDefault="00D82224" w:rsidP="009B561A">
            <w:pPr>
              <w:spacing w:line="276" w:lineRule="auto"/>
              <w:rPr>
                <w:rFonts w:ascii="Calibri" w:hAnsi="Calibri" w:cs="Calibri"/>
                <w:b/>
                <w:bCs/>
                <w:color w:val="000000" w:themeColor="text1"/>
                <w:sz w:val="20"/>
                <w:szCs w:val="20"/>
              </w:rPr>
            </w:pPr>
          </w:p>
        </w:tc>
        <w:tc>
          <w:tcPr>
            <w:tcW w:w="3828" w:type="dxa"/>
          </w:tcPr>
          <w:p w14:paraId="3CEC13B0"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5 of 224 LTCF from HALT 2016 and 3 of 80 LTCF from the additional database reported having an antimicrobial stewardship committee.</w:t>
            </w:r>
          </w:p>
          <w:p w14:paraId="47BC2293"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 xml:space="preserve">Prevalence of AMU was 10.6% and HAI was 4.7%. Presence of a coordinating physician (Odds ratio (OR): 0.3; 95% confidence interval (CI): 0.2–0.6), antimicrobial stewardship committee (OR: 0.2; 95%; CI: 0.1–0.6), healthcare assistants (OR: 0.9; 95% CI: 0.9–1.0), antimicrobial consumption feedback (OR: 0.3; 95% CI: 0.1–0.6) and medical care by personal general practitioner (OR: 0.6; 95% CI: 0.7–1.0) were associated with less AMU and feedback on surveillance of infection prevention and control (IPC) practices (OR: 0.6; 95% CI: 0.3–1.0) with less HAI. </w:t>
            </w:r>
          </w:p>
        </w:tc>
        <w:tc>
          <w:tcPr>
            <w:tcW w:w="4110" w:type="dxa"/>
          </w:tcPr>
          <w:p w14:paraId="178740DD"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An antimicrobial stewardship committee linked with feedback on IPC and prescribing was associated with reduced AMU and HAI</w:t>
            </w:r>
          </w:p>
        </w:tc>
      </w:tr>
      <w:tr w:rsidR="00D82224" w:rsidRPr="009B561A" w14:paraId="4D2D5438" w14:textId="77777777" w:rsidTr="0087653A">
        <w:trPr>
          <w:trHeight w:val="2999"/>
        </w:trPr>
        <w:tc>
          <w:tcPr>
            <w:tcW w:w="451" w:type="dxa"/>
          </w:tcPr>
          <w:p w14:paraId="5DA1DC5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17</w:t>
            </w:r>
          </w:p>
        </w:tc>
        <w:tc>
          <w:tcPr>
            <w:tcW w:w="2514" w:type="dxa"/>
          </w:tcPr>
          <w:p w14:paraId="258F5305" w14:textId="4BCDF10E"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sz w:val="20"/>
                <w:szCs w:val="20"/>
              </w:rPr>
              <w:t>Tandan et al. (2018</w:t>
            </w:r>
            <w:r w:rsidRPr="00627FDA">
              <w:rPr>
                <w:rFonts w:ascii="Calibri" w:hAnsi="Calibri" w:cs="Calibri"/>
                <w:b/>
                <w:bCs/>
                <w:sz w:val="20"/>
                <w:szCs w:val="20"/>
              </w:rPr>
              <w:t>)</w:t>
            </w:r>
            <w:r w:rsidRPr="00627FDA">
              <w:rPr>
                <w:rFonts w:ascii="Calibri" w:hAnsi="Calibri" w:cs="Calibri"/>
                <w:sz w:val="20"/>
                <w:szCs w:val="20"/>
              </w:rPr>
              <w:t xml:space="preserve">  </w:t>
            </w:r>
            <w:r w:rsidR="00263E13" w:rsidRPr="00627FDA">
              <w:rPr>
                <w:rFonts w:ascii="Calibri" w:hAnsi="Calibri" w:cs="Calibri"/>
                <w:sz w:val="20"/>
                <w:szCs w:val="20"/>
              </w:rPr>
              <w:fldChar w:fldCharType="begin" w:fldLock="1"/>
            </w:r>
            <w:r w:rsidR="00263E13" w:rsidRPr="00627FDA">
              <w:rPr>
                <w:rFonts w:ascii="Calibri" w:hAnsi="Calibri" w:cs="Calibri"/>
                <w:sz w:val="20"/>
                <w:szCs w:val="20"/>
              </w:rPr>
              <w:instrText>ADDIN CSL_CITATION {"citationItems":[{"id":"ITEM-1","itemData":{"DOI":"10.1016/j.jamda.2018.10.028","ISSN":"15389375","PMID":"30554988","abstract":"Background/objectives: Broad-spectrum, second-line antimicrobials may be prescribed when initial first-line options prove ineffective. This study compares prescribing practices and identifies potential influencing factors for first- and second-line antimicrobials in long-term care facilities. Design: Point prevalence survey of health care–associated infections and antimicrobial use in long-term care facilities (HALT), expanded by additional data collection. Setting: Long-term care facilities in Ireland. Participants: Of long-term care facilities that participated in the HALT study 2016, additional data provided by 77 facilities with a record of 3677 residents. Measurement: On the survey date, an institutional questionnaire was completed by each participating long-term care facility, and resident questionnaires were completed only for those residents who met a health care–associated infection surveillance definition and/or were prescribed a systemic antimicrobial. All participating long-term care facilities were contacted at a later time point to provide limited anonymized data (age, sex, urinary catheterization, and disorientation) on all current residents. These additional data were matched to the original data set, facilitating multilevel multinominal logistic regression (first-line/second-line/no antimicrobial). Results: Of 3677 residents in 77 long-term care facilities, 381 (10%) were prescribed systemic antimicrobials on the survey day. Of those, 46% were categorized as second-line choices, with substantial interfacility variation observed with regard to prescription of first- versus second-line antimicrobials. The odds of a second-line antimicrobial prescription for a resident doubled when comparing the highest with the lowest prescribing long-term care facilities (median odds ratio = 2.0, credibility interval = 1.5-2.9). Male residents were less often prescribed first-line antimicrobials [odds ratio (OR) = 0.6, 95% confidence interval (CI) = 0.4-0.9, P =.02]. Long-term care facilities that reported the provision of education on antimicrobial prescribing use significantly less second-line antimicrobials (OR = 0.2, 95% CI = 0.1-0.7, P =.02). Females and residents with a urinary catheter were more likely to receive first-line antimicrobials. Conclusion/Implications: The use of second-line antimicrobials is common practice in long-term care facilities, but education and training on appropriate antimicrobial use has the potential to reduce second-line…","author":[{"dropping-particle":"","family":"Tandan","given":"Meera","non-dropping-particle":"","parse-names":false,"suffix":""},{"dropping-particle":"","family":"Burns","given":"Karen","non-dropping-particle":"","parse-names":false,"suffix":""},{"dropping-particle":"","family":"Murphy","given":"Helen","non-dropping-particle":"","parse-names":false,"suffix":""},{"dropping-particle":"","family":"Hennessy","given":"Sarah","non-dropping-particle":"","parse-names":false,"suffix":""},{"dropping-particle":"","family":"Cormican","given":"Martin","non-dropping-particle":"","parse-names":false,"suffix":""},{"dropping-particle":"","family":"Vellinga","given":"Akke","non-dropping-particle":"","parse-names":false,"suffix":""}],"container-title":"Journal of the American Medical Directors Association","id":"ITEM-1","issue":"5","issued":{"date-parts":[["2019","5","1"]]},"page":"624-628","publisher":"Elsevier Inc.","title":"Improving Antimicrobial Prescribing: A Multinomial Model Identifying Factors Associated With First- and Second-Line Prescribing","type":"article-journal","volume":"20"},"uris":["http://www.mendeley.com/documents/?uuid=1ea69c6f-9aa9-3040-8bd0-729928eb066f"]}],"mendeley":{"formattedCitation":"(39)","plainTextFormattedCitation":"(39)","previouslyFormattedCitation":"(39)"},"properties":{"noteIndex":0},"schema":"https://github.com/citation-style-language/schema/raw/master/csl-citation.json"}</w:instrText>
            </w:r>
            <w:r w:rsidR="00263E13" w:rsidRPr="00627FDA">
              <w:rPr>
                <w:rFonts w:ascii="Calibri" w:hAnsi="Calibri" w:cs="Calibri"/>
                <w:sz w:val="20"/>
                <w:szCs w:val="20"/>
              </w:rPr>
              <w:fldChar w:fldCharType="separate"/>
            </w:r>
            <w:r w:rsidR="00531F0B" w:rsidRPr="00627FDA">
              <w:rPr>
                <w:rFonts w:ascii="Calibri" w:hAnsi="Calibri" w:cs="Calibri"/>
                <w:sz w:val="20"/>
                <w:szCs w:val="20"/>
              </w:rPr>
              <w:t>[</w:t>
            </w:r>
            <w:r w:rsidR="00263E13" w:rsidRPr="00627FDA">
              <w:rPr>
                <w:rFonts w:ascii="Calibri" w:hAnsi="Calibri" w:cs="Calibri"/>
                <w:noProof/>
                <w:sz w:val="20"/>
                <w:szCs w:val="20"/>
              </w:rPr>
              <w:t>39</w:t>
            </w:r>
            <w:r w:rsidR="00531F0B" w:rsidRPr="00627FDA">
              <w:rPr>
                <w:rFonts w:ascii="Calibri" w:hAnsi="Calibri" w:cs="Calibri"/>
                <w:noProof/>
                <w:sz w:val="20"/>
                <w:szCs w:val="20"/>
              </w:rPr>
              <w:t>]</w:t>
            </w:r>
            <w:r w:rsidR="00263E13" w:rsidRPr="00627FDA">
              <w:rPr>
                <w:rFonts w:ascii="Calibri" w:hAnsi="Calibri" w:cs="Calibri"/>
                <w:sz w:val="20"/>
                <w:szCs w:val="20"/>
              </w:rPr>
              <w:fldChar w:fldCharType="end"/>
            </w:r>
            <w:r w:rsidR="00627FDA" w:rsidRPr="009B561A">
              <w:rPr>
                <w:rFonts w:ascii="Calibri" w:hAnsi="Calibri" w:cs="Calibri"/>
                <w:b/>
                <w:bCs/>
                <w:sz w:val="20"/>
                <w:szCs w:val="20"/>
                <w:vertAlign w:val="superscript"/>
              </w:rPr>
              <w:t xml:space="preserve"> </w:t>
            </w:r>
          </w:p>
          <w:p w14:paraId="0670B6F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Improving Antimicrobial Prescribing: A Multinomial Model</w:t>
            </w:r>
          </w:p>
          <w:p w14:paraId="2D28EF63"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Identifying Factors Associated With First- and </w:t>
            </w:r>
            <w:proofErr w:type="gramStart"/>
            <w:r w:rsidRPr="009B561A">
              <w:rPr>
                <w:rFonts w:ascii="Calibri" w:hAnsi="Calibri" w:cs="Calibri"/>
                <w:sz w:val="20"/>
                <w:szCs w:val="20"/>
              </w:rPr>
              <w:t>Second-Line</w:t>
            </w:r>
            <w:proofErr w:type="gramEnd"/>
          </w:p>
          <w:p w14:paraId="16747CE3"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Prescribing</w:t>
            </w:r>
          </w:p>
          <w:p w14:paraId="0DE7D4BA"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 Links with Table SRC D</w:t>
            </w:r>
          </w:p>
          <w:p w14:paraId="11D8A942" w14:textId="77777777" w:rsidR="00D82224" w:rsidRPr="009B561A" w:rsidRDefault="00D82224" w:rsidP="009B561A">
            <w:pPr>
              <w:spacing w:line="276" w:lineRule="auto"/>
              <w:rPr>
                <w:rFonts w:ascii="Calibri" w:hAnsi="Calibri" w:cs="Calibri"/>
                <w:color w:val="000000" w:themeColor="text1"/>
                <w:sz w:val="20"/>
                <w:szCs w:val="20"/>
              </w:rPr>
            </w:pPr>
          </w:p>
        </w:tc>
        <w:tc>
          <w:tcPr>
            <w:tcW w:w="3267" w:type="dxa"/>
          </w:tcPr>
          <w:p w14:paraId="3FE1F99B"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Aims:</w:t>
            </w:r>
            <w:r w:rsidRPr="009B561A">
              <w:rPr>
                <w:rFonts w:ascii="Calibri" w:hAnsi="Calibri" w:cs="Calibri"/>
                <w:color w:val="000000" w:themeColor="text1"/>
                <w:sz w:val="20"/>
                <w:szCs w:val="20"/>
              </w:rPr>
              <w:t xml:space="preserve"> Broad-spectrum, second-line antimicrobials may be prescribed when initial first line options prove ineffective. This study compares prescribing practices and identifies potential influencing factors for first- and second-line antimicrobials in long-term care facilities.</w:t>
            </w:r>
            <w:r w:rsidRPr="009B561A">
              <w:rPr>
                <w:rFonts w:ascii="Calibri" w:hAnsi="Calibri" w:cs="Calibri"/>
                <w:b/>
                <w:bCs/>
                <w:color w:val="000000" w:themeColor="text1"/>
                <w:sz w:val="20"/>
                <w:szCs w:val="20"/>
              </w:rPr>
              <w:t xml:space="preserve"> </w:t>
            </w:r>
          </w:p>
          <w:p w14:paraId="5B3184BA"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Methods:</w:t>
            </w:r>
            <w:r w:rsidRPr="009B561A">
              <w:rPr>
                <w:rFonts w:ascii="Calibri" w:hAnsi="Calibri" w:cs="Calibri"/>
                <w:color w:val="000000" w:themeColor="text1"/>
                <w:sz w:val="20"/>
                <w:szCs w:val="20"/>
              </w:rPr>
              <w:t xml:space="preserve"> Point prevalence survey of health care associated infections and antimicrobial use in long-term care facilities (HALT), expanded by additional data collection.</w:t>
            </w:r>
            <w:r w:rsidRPr="009B561A">
              <w:rPr>
                <w:rFonts w:ascii="Calibri" w:hAnsi="Calibri" w:cs="Calibri"/>
                <w:b/>
                <w:bCs/>
                <w:color w:val="000000" w:themeColor="text1"/>
                <w:sz w:val="20"/>
                <w:szCs w:val="20"/>
              </w:rPr>
              <w:t xml:space="preserve"> </w:t>
            </w:r>
          </w:p>
          <w:p w14:paraId="15BDB01C"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3677 residents in 77 long-term care facilities</w:t>
            </w:r>
          </w:p>
          <w:p w14:paraId="2919E22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Recruitment:</w:t>
            </w:r>
            <w:r w:rsidRPr="009B561A">
              <w:rPr>
                <w:rFonts w:ascii="Calibri" w:hAnsi="Calibri" w:cs="Calibri"/>
                <w:color w:val="000000" w:themeColor="text1"/>
                <w:sz w:val="20"/>
                <w:szCs w:val="20"/>
              </w:rPr>
              <w:t xml:space="preserve"> not stated</w:t>
            </w:r>
          </w:p>
        </w:tc>
        <w:tc>
          <w:tcPr>
            <w:tcW w:w="3828" w:type="dxa"/>
          </w:tcPr>
          <w:p w14:paraId="61061D61"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381 (10%) were prescribed systemic antimicrobials on the survey day. </w:t>
            </w:r>
          </w:p>
          <w:p w14:paraId="42A1EDF3"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Of those, 46% were categorized as second-line choices, with substantial interfacility variation observed </w:t>
            </w:r>
            <w:proofErr w:type="gramStart"/>
            <w:r w:rsidRPr="009B561A">
              <w:rPr>
                <w:rFonts w:ascii="Calibri" w:hAnsi="Calibri" w:cs="Calibri"/>
                <w:sz w:val="20"/>
                <w:szCs w:val="20"/>
              </w:rPr>
              <w:t>with regard to</w:t>
            </w:r>
            <w:proofErr w:type="gramEnd"/>
            <w:r w:rsidRPr="009B561A">
              <w:rPr>
                <w:rFonts w:ascii="Calibri" w:hAnsi="Calibri" w:cs="Calibri"/>
                <w:sz w:val="20"/>
                <w:szCs w:val="20"/>
              </w:rPr>
              <w:t xml:space="preserve"> prescription of first- versus second-line antimicrobials. The odds of a second-line antimicrobial prescription for a resident doubled when comparing the highest with the lowest prescribing long-term care facilities (median odds ratio ¼ 2.0, credibility interval ¼ 1.5-2.9). </w:t>
            </w:r>
          </w:p>
          <w:p w14:paraId="593269B4"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 xml:space="preserve">Long-term care facilities that reported the provision of education on antimicrobial prescribing use significantly less second-line antimicrobials (OR ¼ 0.2, 95% CI ¼ 0.1-0.7, P ¼ .02). </w:t>
            </w:r>
          </w:p>
        </w:tc>
        <w:tc>
          <w:tcPr>
            <w:tcW w:w="4110" w:type="dxa"/>
          </w:tcPr>
          <w:p w14:paraId="7E0E03D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Education and training on appropriate antimicrobial use has the potential to reduce second line antimicrobial prescribing, improve patients’ outcomes, and reduce antimicrobial resistance.</w:t>
            </w:r>
          </w:p>
          <w:p w14:paraId="7AB64D0F" w14:textId="77777777" w:rsidR="00D82224" w:rsidRPr="009B561A" w:rsidRDefault="00D82224" w:rsidP="009B561A">
            <w:pPr>
              <w:spacing w:line="276" w:lineRule="auto"/>
              <w:rPr>
                <w:rFonts w:ascii="Calibri" w:hAnsi="Calibri" w:cs="Calibri"/>
                <w:color w:val="FF0000"/>
                <w:sz w:val="20"/>
                <w:szCs w:val="20"/>
              </w:rPr>
            </w:pPr>
          </w:p>
          <w:p w14:paraId="3EB71F54" w14:textId="77777777" w:rsidR="00D82224" w:rsidRPr="009B561A" w:rsidRDefault="00D82224" w:rsidP="009B561A">
            <w:pPr>
              <w:spacing w:line="276" w:lineRule="auto"/>
              <w:rPr>
                <w:rFonts w:ascii="Calibri" w:hAnsi="Calibri" w:cs="Calibri"/>
                <w:color w:val="FF0000"/>
                <w:sz w:val="20"/>
                <w:szCs w:val="20"/>
              </w:rPr>
            </w:pPr>
          </w:p>
          <w:p w14:paraId="12399C21" w14:textId="77777777" w:rsidR="00D82224" w:rsidRPr="009B561A" w:rsidRDefault="00D82224" w:rsidP="009B561A">
            <w:pPr>
              <w:spacing w:line="276" w:lineRule="auto"/>
              <w:rPr>
                <w:rFonts w:ascii="Calibri" w:hAnsi="Calibri" w:cs="Calibri"/>
                <w:color w:val="FF0000"/>
                <w:sz w:val="20"/>
                <w:szCs w:val="20"/>
              </w:rPr>
            </w:pPr>
          </w:p>
          <w:p w14:paraId="472763D2" w14:textId="77777777" w:rsidR="00D82224" w:rsidRPr="009B561A" w:rsidRDefault="00D82224" w:rsidP="009B561A">
            <w:pPr>
              <w:spacing w:line="276" w:lineRule="auto"/>
              <w:rPr>
                <w:rFonts w:ascii="Calibri" w:hAnsi="Calibri" w:cs="Calibri"/>
                <w:color w:val="FF0000"/>
                <w:sz w:val="20"/>
                <w:szCs w:val="20"/>
              </w:rPr>
            </w:pPr>
          </w:p>
        </w:tc>
      </w:tr>
      <w:tr w:rsidR="00D82224" w:rsidRPr="009B561A" w14:paraId="601CC195" w14:textId="77777777" w:rsidTr="0087653A">
        <w:tc>
          <w:tcPr>
            <w:tcW w:w="451" w:type="dxa"/>
          </w:tcPr>
          <w:p w14:paraId="5F04B585"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18</w:t>
            </w:r>
          </w:p>
        </w:tc>
        <w:tc>
          <w:tcPr>
            <w:tcW w:w="2514" w:type="dxa"/>
          </w:tcPr>
          <w:p w14:paraId="52B48C9A" w14:textId="6329E256" w:rsidR="00D82224" w:rsidRPr="00627FDA" w:rsidRDefault="00D82224" w:rsidP="009B561A">
            <w:pPr>
              <w:spacing w:line="276" w:lineRule="auto"/>
              <w:rPr>
                <w:rFonts w:ascii="Calibri" w:hAnsi="Calibri" w:cs="Calibri"/>
                <w:b/>
                <w:bCs/>
                <w:sz w:val="20"/>
                <w:szCs w:val="20"/>
                <w:vertAlign w:val="superscript"/>
              </w:rPr>
            </w:pPr>
            <w:r w:rsidRPr="00627FDA">
              <w:rPr>
                <w:rFonts w:ascii="Calibri" w:hAnsi="Calibri" w:cs="Calibri"/>
                <w:b/>
                <w:bCs/>
                <w:color w:val="000000" w:themeColor="text1"/>
                <w:sz w:val="20"/>
                <w:szCs w:val="20"/>
              </w:rPr>
              <w:t xml:space="preserve">Tiszai-Szucs et al. (2018) </w:t>
            </w:r>
            <w:r w:rsidR="00263E13" w:rsidRPr="00627FDA">
              <w:rPr>
                <w:rFonts w:ascii="Calibri" w:hAnsi="Calibri" w:cs="Calibri"/>
                <w:color w:val="000000" w:themeColor="text1"/>
                <w:sz w:val="20"/>
                <w:szCs w:val="20"/>
              </w:rPr>
              <w:fldChar w:fldCharType="begin" w:fldLock="1"/>
            </w:r>
            <w:r w:rsidR="008D2F97" w:rsidRPr="00627FDA">
              <w:rPr>
                <w:rFonts w:ascii="Calibri" w:hAnsi="Calibri" w:cs="Calibri"/>
                <w:color w:val="000000" w:themeColor="text1"/>
                <w:sz w:val="20"/>
                <w:szCs w:val="20"/>
              </w:rPr>
              <w:instrText>ADDIN CSL_CITATION {"citationItems":[{"id":"ITEM-1","itemData":{"DOI":"10.3390/medsci6020040","ISSN":"20763271","PMID":"29799500","abstract":"Antimicrobial resistance is escalating and triggers clinical decision-making challenges when treating infections in patients admitted to intensive care units (ICU). Antimicrobial stewardship (AMS) may help combat this problem, but it can be difficult to implement in critical care settings. The implementation of multidisciplinary AMS in ICUs could be more challenging than what is currently suggested in the literature. Our main goal was to analyze the reduction in duration of treatment (DOT) for the most commonly used antibacterial and antifungal agents during the first six months of 2014, and during the same period two years later (2016). A total of 426 and 424 patient encounters, respectively, were documented and collected from the intensive care unit's electronic patient record system. Daily multidisciplinary ward rounds were conducted for approximately 30⁻40 min, with the goal of optimizing antimicrobial therapy in order to analyze the feasibility of implementing AMS. The only antimicrobial agent which showed a significant reduction in the number of prescriptions and in the duration of treatment during the second audit was vancomycin, while linezolid showed an increase in the number of prescriptions with no significant prolongation of the duration of treatment. A trend of reduction was also seen in the DOT for co-amoxiclavulanate and in the number of prescriptions of anidulafungin without any corresponding increases being observed for other broad-spectrum anti-infective agents (p-values of 0.07 and 0.05, respectively).","author":[{"dropping-particle":"","family":"Tiszai-Szucs","given":"Tamas","non-dropping-particle":"","parse-names":false,"suffix":""},{"dropping-particle":"","family":"Sweeney","given":"Claire","non-dropping-particle":"Mac","parse-names":false,"suffix":""},{"dropping-particle":"","family":"Keaveny","given":"Joseph","non-dropping-particle":"","parse-names":false,"suffix":""},{"dropping-particle":"","family":"Bozza","given":"Fernando A.","non-dropping-particle":"","parse-names":false,"suffix":""},{"dropping-particle":"","family":"O Hagan","given":"Zieta","non-dropping-particle":"","parse-names":false,"suffix":""},{"dropping-particle":"","family":"Martin-Loeches","given":"Ignacio","non-dropping-particle":"","parse-names":false,"suffix":""}],"container-title":"Medical sciences (Basel, Switzerland)","id":"ITEM-1","issue":"2","issued":{"date-parts":[["2018","5","25"]]},"publisher":"NLM (Medline)","title":"Feasibility of Antimicrobial Stewardship (AMS) in Critical Care Settings: A Multidisciplinary Approach Strategy","type":"article-journal","volume":"6"},"uris":["http://www.mendeley.com/documents/?uuid=66f38295-e13b-3808-a5bf-5ac9a70d5576"]}],"mendeley":{"formattedCitation":"(40)","plainTextFormattedCitation":"(40)","previouslyFormattedCitation":"(40)"},"properties":{"noteIndex":0},"schema":"https://github.com/citation-style-language/schema/raw/master/csl-citation.json"}</w:instrText>
            </w:r>
            <w:r w:rsidR="00263E13" w:rsidRPr="00627FDA">
              <w:rPr>
                <w:rFonts w:ascii="Calibri" w:hAnsi="Calibri" w:cs="Calibri"/>
                <w:color w:val="000000" w:themeColor="text1"/>
                <w:sz w:val="20"/>
                <w:szCs w:val="20"/>
              </w:rPr>
              <w:fldChar w:fldCharType="separate"/>
            </w:r>
            <w:r w:rsidR="00531F0B" w:rsidRPr="00627FDA">
              <w:rPr>
                <w:rFonts w:ascii="Calibri" w:hAnsi="Calibri" w:cs="Calibri"/>
                <w:color w:val="000000" w:themeColor="text1"/>
                <w:sz w:val="20"/>
                <w:szCs w:val="20"/>
              </w:rPr>
              <w:t>[</w:t>
            </w:r>
            <w:r w:rsidR="00263E13" w:rsidRPr="00627FDA">
              <w:rPr>
                <w:rFonts w:ascii="Calibri" w:hAnsi="Calibri" w:cs="Calibri"/>
                <w:noProof/>
                <w:color w:val="000000" w:themeColor="text1"/>
                <w:sz w:val="20"/>
                <w:szCs w:val="20"/>
              </w:rPr>
              <w:t>40</w:t>
            </w:r>
            <w:r w:rsidR="00531F0B" w:rsidRPr="00627FDA">
              <w:rPr>
                <w:rFonts w:ascii="Calibri" w:hAnsi="Calibri" w:cs="Calibri"/>
                <w:noProof/>
                <w:color w:val="000000" w:themeColor="text1"/>
                <w:sz w:val="20"/>
                <w:szCs w:val="20"/>
              </w:rPr>
              <w:t>]</w:t>
            </w:r>
            <w:r w:rsidR="00263E13" w:rsidRPr="00627FDA">
              <w:rPr>
                <w:rFonts w:ascii="Calibri" w:hAnsi="Calibri" w:cs="Calibri"/>
                <w:color w:val="000000" w:themeColor="text1"/>
                <w:sz w:val="20"/>
                <w:szCs w:val="20"/>
              </w:rPr>
              <w:fldChar w:fldCharType="end"/>
            </w:r>
            <w:r w:rsidR="00627FDA" w:rsidRPr="00627FDA">
              <w:rPr>
                <w:rFonts w:ascii="Calibri" w:hAnsi="Calibri" w:cs="Calibri"/>
                <w:b/>
                <w:bCs/>
                <w:sz w:val="20"/>
                <w:szCs w:val="20"/>
                <w:vertAlign w:val="superscript"/>
              </w:rPr>
              <w:t xml:space="preserve"> </w:t>
            </w:r>
          </w:p>
          <w:p w14:paraId="7382CF40" w14:textId="77777777" w:rsidR="00D82224" w:rsidRPr="00627FDA" w:rsidRDefault="00D82224" w:rsidP="009B561A">
            <w:pPr>
              <w:spacing w:line="276" w:lineRule="auto"/>
              <w:rPr>
                <w:rFonts w:ascii="Calibri" w:hAnsi="Calibri" w:cs="Calibri"/>
                <w:color w:val="000000" w:themeColor="text1"/>
                <w:sz w:val="20"/>
                <w:szCs w:val="20"/>
              </w:rPr>
            </w:pPr>
            <w:r w:rsidRPr="00627FDA">
              <w:rPr>
                <w:rFonts w:ascii="Calibri" w:hAnsi="Calibri" w:cs="Calibri"/>
                <w:color w:val="000000" w:themeColor="text1"/>
                <w:sz w:val="20"/>
                <w:szCs w:val="20"/>
              </w:rPr>
              <w:t>Feasibility of Antimicrobial Stewardship (AMS) in Critical Care Settings: A Multidisciplinary Approach Strategy</w:t>
            </w:r>
          </w:p>
          <w:p w14:paraId="7C55CC3F" w14:textId="77777777" w:rsidR="00D82224" w:rsidRPr="00627FDA" w:rsidRDefault="00D82224" w:rsidP="009B561A">
            <w:pPr>
              <w:spacing w:line="276" w:lineRule="auto"/>
              <w:rPr>
                <w:rFonts w:ascii="Calibri" w:hAnsi="Calibri" w:cs="Calibri"/>
                <w:b/>
                <w:bCs/>
                <w:color w:val="000000" w:themeColor="text1"/>
                <w:sz w:val="20"/>
                <w:szCs w:val="20"/>
              </w:rPr>
            </w:pPr>
          </w:p>
        </w:tc>
        <w:tc>
          <w:tcPr>
            <w:tcW w:w="3267" w:type="dxa"/>
          </w:tcPr>
          <w:p w14:paraId="028992C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Aims:</w:t>
            </w:r>
            <w:r w:rsidRPr="009B561A">
              <w:rPr>
                <w:rFonts w:ascii="Calibri" w:hAnsi="Calibri" w:cs="Calibri"/>
                <w:color w:val="000000" w:themeColor="text1"/>
                <w:sz w:val="20"/>
                <w:szCs w:val="20"/>
              </w:rPr>
              <w:t xml:space="preserve"> To </w:t>
            </w:r>
            <w:proofErr w:type="spellStart"/>
            <w:r w:rsidRPr="009B561A">
              <w:rPr>
                <w:rFonts w:ascii="Calibri" w:hAnsi="Calibri" w:cs="Calibri"/>
                <w:color w:val="000000" w:themeColor="text1"/>
                <w:sz w:val="20"/>
                <w:szCs w:val="20"/>
              </w:rPr>
              <w:t>analyze</w:t>
            </w:r>
            <w:proofErr w:type="spellEnd"/>
            <w:r w:rsidRPr="009B561A">
              <w:rPr>
                <w:rFonts w:ascii="Calibri" w:hAnsi="Calibri" w:cs="Calibri"/>
                <w:color w:val="000000" w:themeColor="text1"/>
                <w:sz w:val="20"/>
                <w:szCs w:val="20"/>
              </w:rPr>
              <w:t xml:space="preserve"> the reduction in duration of treatment (DOT) for the </w:t>
            </w:r>
            <w:proofErr w:type="gramStart"/>
            <w:r w:rsidRPr="009B561A">
              <w:rPr>
                <w:rFonts w:ascii="Calibri" w:hAnsi="Calibri" w:cs="Calibri"/>
                <w:color w:val="000000" w:themeColor="text1"/>
                <w:sz w:val="20"/>
                <w:szCs w:val="20"/>
              </w:rPr>
              <w:t>most commonly used</w:t>
            </w:r>
            <w:proofErr w:type="gramEnd"/>
            <w:r w:rsidRPr="009B561A">
              <w:rPr>
                <w:rFonts w:ascii="Calibri" w:hAnsi="Calibri" w:cs="Calibri"/>
                <w:color w:val="000000" w:themeColor="text1"/>
                <w:sz w:val="20"/>
                <w:szCs w:val="20"/>
              </w:rPr>
              <w:t xml:space="preserve"> antibacterial and antifungal agents during the first six months of 2014, and during the same period two years later (2016).</w:t>
            </w:r>
          </w:p>
          <w:p w14:paraId="72D0F345"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xml:space="preserve">Methods: </w:t>
            </w:r>
            <w:r w:rsidRPr="009B561A">
              <w:rPr>
                <w:rFonts w:ascii="Calibri" w:hAnsi="Calibri" w:cs="Calibri"/>
                <w:color w:val="000000" w:themeColor="text1"/>
                <w:sz w:val="20"/>
                <w:szCs w:val="20"/>
              </w:rPr>
              <w:t xml:space="preserve">Longitudinal study was based on two </w:t>
            </w:r>
            <w:proofErr w:type="gramStart"/>
            <w:r w:rsidRPr="009B561A">
              <w:rPr>
                <w:rFonts w:ascii="Calibri" w:hAnsi="Calibri" w:cs="Calibri"/>
                <w:color w:val="000000" w:themeColor="text1"/>
                <w:sz w:val="20"/>
                <w:szCs w:val="20"/>
              </w:rPr>
              <w:t>audit</w:t>
            </w:r>
            <w:proofErr w:type="gramEnd"/>
          </w:p>
          <w:p w14:paraId="55119E7F"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2014 = 426 patients </w:t>
            </w:r>
          </w:p>
          <w:p w14:paraId="1FFA456E"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2016-424 patient</w:t>
            </w:r>
          </w:p>
          <w:p w14:paraId="5F4657E3"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Recruitment:</w:t>
            </w:r>
            <w:r w:rsidRPr="009B561A">
              <w:rPr>
                <w:rFonts w:ascii="Calibri" w:hAnsi="Calibri" w:cs="Calibri"/>
                <w:color w:val="000000" w:themeColor="text1"/>
                <w:sz w:val="20"/>
                <w:szCs w:val="20"/>
              </w:rPr>
              <w:t xml:space="preserve"> in patient charts</w:t>
            </w:r>
          </w:p>
          <w:p w14:paraId="28A691E2" w14:textId="77777777" w:rsidR="00D82224" w:rsidRPr="009B561A" w:rsidRDefault="00D82224" w:rsidP="009B561A">
            <w:pPr>
              <w:spacing w:line="276" w:lineRule="auto"/>
              <w:rPr>
                <w:rFonts w:ascii="Calibri" w:hAnsi="Calibri" w:cs="Calibri"/>
                <w:b/>
                <w:bCs/>
                <w:color w:val="000000" w:themeColor="text1"/>
                <w:sz w:val="20"/>
                <w:szCs w:val="20"/>
              </w:rPr>
            </w:pPr>
          </w:p>
        </w:tc>
        <w:tc>
          <w:tcPr>
            <w:tcW w:w="3828" w:type="dxa"/>
          </w:tcPr>
          <w:p w14:paraId="19374C9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Vancomycin -resistant enterococcus (VRE) were found in 90.48% of cases in 2014, and in 93.45% of cases in 2016</w:t>
            </w:r>
          </w:p>
          <w:p w14:paraId="79820D40"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S. aureus was significantly more often isolated in the first audit (in 36 microbiological samples), and was predominantly found in respiratory samples, while S. aureus was only isolated in one sample in 2016. Methicillin-resistant S. aureus (MRSA) was found in 16.67% of cases in 2014, while there was no MRSA isolated among the microbiological samples </w:t>
            </w:r>
            <w:proofErr w:type="spellStart"/>
            <w:r w:rsidRPr="009B561A">
              <w:rPr>
                <w:rFonts w:ascii="Calibri" w:hAnsi="Calibri" w:cs="Calibri"/>
                <w:sz w:val="20"/>
                <w:szCs w:val="20"/>
              </w:rPr>
              <w:t>analyzed</w:t>
            </w:r>
            <w:proofErr w:type="spellEnd"/>
            <w:r w:rsidRPr="009B561A">
              <w:rPr>
                <w:rFonts w:ascii="Calibri" w:hAnsi="Calibri" w:cs="Calibri"/>
                <w:sz w:val="20"/>
                <w:szCs w:val="20"/>
              </w:rPr>
              <w:t xml:space="preserve"> in 2016.</w:t>
            </w:r>
          </w:p>
        </w:tc>
        <w:tc>
          <w:tcPr>
            <w:tcW w:w="4110" w:type="dxa"/>
          </w:tcPr>
          <w:p w14:paraId="0D434CA2"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Assess the feasibility of implementing multidisciplinary AMS in critical care settings.</w:t>
            </w:r>
          </w:p>
          <w:p w14:paraId="69DFAA68" w14:textId="77777777" w:rsidR="00D82224" w:rsidRPr="009B561A" w:rsidRDefault="00D82224" w:rsidP="009B561A">
            <w:pPr>
              <w:spacing w:line="276" w:lineRule="auto"/>
              <w:rPr>
                <w:rFonts w:ascii="Calibri" w:hAnsi="Calibri" w:cs="Calibri"/>
                <w:b/>
                <w:bCs/>
                <w:sz w:val="20"/>
                <w:szCs w:val="20"/>
              </w:rPr>
            </w:pPr>
          </w:p>
          <w:p w14:paraId="4499438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Education and supervision as an intervention for reducing antimicrobials was successful.</w:t>
            </w:r>
          </w:p>
          <w:p w14:paraId="46C07386" w14:textId="77777777" w:rsidR="00D82224" w:rsidRPr="009B561A" w:rsidRDefault="00D82224" w:rsidP="009B561A">
            <w:pPr>
              <w:spacing w:line="276" w:lineRule="auto"/>
              <w:rPr>
                <w:rFonts w:ascii="Calibri" w:hAnsi="Calibri" w:cs="Calibri"/>
                <w:sz w:val="20"/>
                <w:szCs w:val="20"/>
              </w:rPr>
            </w:pPr>
          </w:p>
        </w:tc>
      </w:tr>
    </w:tbl>
    <w:p w14:paraId="24C12A01" w14:textId="77777777" w:rsidR="00AF54CE" w:rsidRPr="009B561A" w:rsidRDefault="00AF54CE" w:rsidP="009B561A">
      <w:pPr>
        <w:spacing w:line="276" w:lineRule="auto"/>
        <w:rPr>
          <w:rFonts w:ascii="Calibri" w:hAnsi="Calibri" w:cs="Calibri"/>
          <w:b/>
          <w:bCs/>
          <w:sz w:val="20"/>
          <w:szCs w:val="20"/>
        </w:rPr>
      </w:pPr>
    </w:p>
    <w:p w14:paraId="49BDE30F" w14:textId="77777777" w:rsidR="00D82224" w:rsidRPr="009B561A" w:rsidRDefault="00D82224" w:rsidP="009B561A">
      <w:pPr>
        <w:spacing w:line="276" w:lineRule="auto"/>
        <w:rPr>
          <w:rFonts w:ascii="Calibri" w:hAnsi="Calibri" w:cs="Calibri"/>
          <w:b/>
          <w:bCs/>
          <w:sz w:val="20"/>
          <w:szCs w:val="20"/>
        </w:rPr>
      </w:pPr>
    </w:p>
    <w:p w14:paraId="3B1475B0" w14:textId="7BE873BA" w:rsidR="00D82224" w:rsidRPr="00267324" w:rsidRDefault="00D82224" w:rsidP="009B561A">
      <w:pPr>
        <w:spacing w:line="276" w:lineRule="auto"/>
        <w:rPr>
          <w:rFonts w:ascii="Calibri" w:hAnsi="Calibri" w:cs="Calibri"/>
          <w:b/>
          <w:bCs/>
          <w:color w:val="FF0000"/>
          <w:sz w:val="24"/>
          <w:szCs w:val="24"/>
        </w:rPr>
      </w:pPr>
      <w:r w:rsidRPr="005C2D38">
        <w:rPr>
          <w:rFonts w:ascii="Calibri" w:hAnsi="Calibri" w:cs="Calibri"/>
          <w:b/>
          <w:bCs/>
          <w:sz w:val="24"/>
          <w:szCs w:val="24"/>
        </w:rPr>
        <w:t xml:space="preserve">Supplemental File </w:t>
      </w:r>
      <w:r w:rsidR="00AF30F5" w:rsidRPr="005C2D38">
        <w:rPr>
          <w:rFonts w:ascii="Calibri" w:hAnsi="Calibri" w:cs="Calibri"/>
          <w:b/>
          <w:bCs/>
          <w:sz w:val="24"/>
          <w:szCs w:val="24"/>
        </w:rPr>
        <w:t>5</w:t>
      </w:r>
      <w:r w:rsidRPr="005C2D38">
        <w:rPr>
          <w:rFonts w:ascii="Calibri" w:hAnsi="Calibri" w:cs="Calibri"/>
          <w:b/>
          <w:bCs/>
          <w:sz w:val="24"/>
          <w:szCs w:val="24"/>
        </w:rPr>
        <w:t>:</w:t>
      </w:r>
      <w:r w:rsidRPr="0094788B">
        <w:rPr>
          <w:rFonts w:ascii="Calibri" w:hAnsi="Calibri" w:cs="Calibri"/>
          <w:b/>
          <w:bCs/>
          <w:sz w:val="24"/>
          <w:szCs w:val="24"/>
        </w:rPr>
        <w:t xml:space="preserve"> Table </w:t>
      </w:r>
      <w:r w:rsidR="00FC6DFD" w:rsidRPr="0094788B">
        <w:rPr>
          <w:rFonts w:ascii="Calibri" w:hAnsi="Calibri" w:cs="Calibri"/>
          <w:b/>
          <w:bCs/>
          <w:sz w:val="24"/>
          <w:szCs w:val="24"/>
        </w:rPr>
        <w:t xml:space="preserve">10 </w:t>
      </w:r>
      <w:r w:rsidRPr="0094788B">
        <w:rPr>
          <w:rFonts w:ascii="Calibri" w:hAnsi="Calibri" w:cs="Calibri"/>
          <w:b/>
          <w:bCs/>
          <w:sz w:val="24"/>
          <w:szCs w:val="24"/>
        </w:rPr>
        <w:t xml:space="preserve">ii SRC C: Grey Literature </w:t>
      </w:r>
      <w:r w:rsidRPr="00267324">
        <w:rPr>
          <w:rFonts w:ascii="Calibri" w:hAnsi="Calibri" w:cs="Calibri"/>
          <w:b/>
          <w:bCs/>
          <w:sz w:val="24"/>
          <w:szCs w:val="24"/>
        </w:rPr>
        <w:t>Antimicrobial Stewardship Intervention (Reports n=</w:t>
      </w:r>
      <w:r w:rsidRPr="00697D68">
        <w:rPr>
          <w:rFonts w:ascii="Calibri" w:hAnsi="Calibri" w:cs="Calibri"/>
          <w:b/>
          <w:bCs/>
          <w:sz w:val="24"/>
          <w:szCs w:val="24"/>
        </w:rPr>
        <w:t>20)</w:t>
      </w:r>
      <w:r w:rsidRPr="00697D68">
        <w:rPr>
          <w:rFonts w:ascii="Calibri" w:hAnsi="Calibri" w:cs="Calibri"/>
          <w:b/>
          <w:bCs/>
          <w:color w:val="FF0000"/>
          <w:sz w:val="24"/>
          <w:szCs w:val="24"/>
        </w:rPr>
        <w:t xml:space="preserve"> </w:t>
      </w:r>
      <w:r w:rsidR="00B26031" w:rsidRPr="00697D68">
        <w:rPr>
          <w:rFonts w:ascii="Calibri" w:hAnsi="Calibri" w:cs="Calibri"/>
          <w:b/>
          <w:bCs/>
          <w:sz w:val="24"/>
          <w:szCs w:val="24"/>
        </w:rPr>
        <w:fldChar w:fldCharType="begin" w:fldLock="1"/>
      </w:r>
      <w:r w:rsidR="00B26031" w:rsidRPr="00697D68">
        <w:rPr>
          <w:rFonts w:ascii="Calibri" w:hAnsi="Calibri" w:cs="Calibri"/>
          <w:b/>
          <w:bCs/>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697D68">
        <w:rPr>
          <w:rFonts w:ascii="Calibri" w:hAnsi="Calibri" w:cs="Calibri"/>
          <w:b/>
          <w:bCs/>
          <w:sz w:val="24"/>
          <w:szCs w:val="24"/>
        </w:rPr>
        <w:fldChar w:fldCharType="separate"/>
      </w:r>
      <w:r w:rsidR="003723E4" w:rsidRPr="00697D68">
        <w:rPr>
          <w:rFonts w:ascii="Calibri" w:hAnsi="Calibri" w:cs="Calibri"/>
          <w:bCs/>
          <w:noProof/>
          <w:sz w:val="24"/>
          <w:szCs w:val="24"/>
        </w:rPr>
        <w:t>[</w:t>
      </w:r>
      <w:r w:rsidR="00B26031" w:rsidRPr="00697D68">
        <w:rPr>
          <w:rFonts w:ascii="Calibri" w:hAnsi="Calibri" w:cs="Calibri"/>
          <w:bCs/>
          <w:noProof/>
          <w:sz w:val="24"/>
          <w:szCs w:val="24"/>
        </w:rPr>
        <w:t>1</w:t>
      </w:r>
      <w:r w:rsidR="003723E4" w:rsidRPr="00697D68">
        <w:rPr>
          <w:rFonts w:ascii="Calibri" w:hAnsi="Calibri" w:cs="Calibri"/>
          <w:bCs/>
          <w:noProof/>
          <w:sz w:val="24"/>
          <w:szCs w:val="24"/>
        </w:rPr>
        <w:t>]</w:t>
      </w:r>
      <w:r w:rsidR="00B26031" w:rsidRPr="00697D68">
        <w:rPr>
          <w:rFonts w:ascii="Calibri" w:hAnsi="Calibri" w:cs="Calibri"/>
          <w:b/>
          <w:bCs/>
          <w:sz w:val="24"/>
          <w:szCs w:val="24"/>
        </w:rPr>
        <w:fldChar w:fldCharType="end"/>
      </w:r>
      <w:r w:rsidR="00697D68" w:rsidRPr="00267324">
        <w:rPr>
          <w:rFonts w:ascii="Calibri" w:hAnsi="Calibri" w:cs="Calibri"/>
          <w:b/>
          <w:bCs/>
          <w:color w:val="FF0000"/>
          <w:sz w:val="24"/>
          <w:szCs w:val="24"/>
        </w:rPr>
        <w:t xml:space="preserve"> </w:t>
      </w:r>
    </w:p>
    <w:tbl>
      <w:tblPr>
        <w:tblStyle w:val="TableGrid4"/>
        <w:tblW w:w="14170" w:type="dxa"/>
        <w:tblLook w:val="0620" w:firstRow="1" w:lastRow="0" w:firstColumn="0" w:lastColumn="0" w:noHBand="1" w:noVBand="1"/>
      </w:tblPr>
      <w:tblGrid>
        <w:gridCol w:w="433"/>
        <w:gridCol w:w="3664"/>
        <w:gridCol w:w="4262"/>
        <w:gridCol w:w="5811"/>
      </w:tblGrid>
      <w:tr w:rsidR="00D82224" w:rsidRPr="009B561A" w14:paraId="429C8729" w14:textId="77777777" w:rsidTr="0087653A">
        <w:trPr>
          <w:tblHeader/>
        </w:trPr>
        <w:tc>
          <w:tcPr>
            <w:tcW w:w="433" w:type="dxa"/>
          </w:tcPr>
          <w:p w14:paraId="1AF3C113" w14:textId="77777777" w:rsidR="00D82224" w:rsidRPr="009B561A" w:rsidRDefault="00D82224" w:rsidP="009B561A">
            <w:pPr>
              <w:spacing w:line="276" w:lineRule="auto"/>
              <w:jc w:val="center"/>
              <w:rPr>
                <w:rFonts w:ascii="Calibri" w:hAnsi="Calibri" w:cs="Calibri"/>
                <w:b/>
                <w:bCs/>
                <w:color w:val="FF0000"/>
                <w:sz w:val="20"/>
                <w:szCs w:val="20"/>
              </w:rPr>
            </w:pPr>
          </w:p>
        </w:tc>
        <w:tc>
          <w:tcPr>
            <w:tcW w:w="3664" w:type="dxa"/>
          </w:tcPr>
          <w:p w14:paraId="1442AB1B" w14:textId="77777777" w:rsidR="00D82224" w:rsidRPr="009B561A" w:rsidRDefault="00D82224" w:rsidP="009B561A">
            <w:pPr>
              <w:spacing w:line="276" w:lineRule="auto"/>
              <w:jc w:val="center"/>
              <w:rPr>
                <w:rFonts w:ascii="Calibri" w:hAnsi="Calibri" w:cs="Calibri"/>
                <w:b/>
                <w:bCs/>
                <w:sz w:val="20"/>
                <w:szCs w:val="20"/>
              </w:rPr>
            </w:pPr>
            <w:r w:rsidRPr="009B561A">
              <w:rPr>
                <w:rFonts w:ascii="Calibri" w:hAnsi="Calibri" w:cs="Calibri"/>
                <w:b/>
                <w:bCs/>
                <w:sz w:val="20"/>
                <w:szCs w:val="20"/>
              </w:rPr>
              <w:t>Report</w:t>
            </w:r>
          </w:p>
        </w:tc>
        <w:tc>
          <w:tcPr>
            <w:tcW w:w="4262" w:type="dxa"/>
          </w:tcPr>
          <w:p w14:paraId="5CAADCEF" w14:textId="77777777" w:rsidR="00D82224" w:rsidRPr="009B561A" w:rsidRDefault="00D82224" w:rsidP="009B561A">
            <w:pPr>
              <w:spacing w:line="276" w:lineRule="auto"/>
              <w:jc w:val="center"/>
              <w:rPr>
                <w:rFonts w:ascii="Calibri" w:hAnsi="Calibri" w:cs="Calibri"/>
                <w:b/>
                <w:bCs/>
                <w:sz w:val="20"/>
                <w:szCs w:val="20"/>
              </w:rPr>
            </w:pPr>
            <w:r w:rsidRPr="009B561A">
              <w:rPr>
                <w:rFonts w:ascii="Calibri" w:hAnsi="Calibri" w:cs="Calibri"/>
                <w:b/>
                <w:bCs/>
                <w:sz w:val="20"/>
                <w:szCs w:val="20"/>
              </w:rPr>
              <w:t>Purpose</w:t>
            </w:r>
          </w:p>
        </w:tc>
        <w:tc>
          <w:tcPr>
            <w:tcW w:w="5811" w:type="dxa"/>
          </w:tcPr>
          <w:p w14:paraId="21EAAA85" w14:textId="77777777" w:rsidR="00D82224" w:rsidRPr="009B561A" w:rsidRDefault="00D82224" w:rsidP="009B561A">
            <w:pPr>
              <w:spacing w:line="276" w:lineRule="auto"/>
              <w:jc w:val="center"/>
              <w:rPr>
                <w:rFonts w:ascii="Calibri" w:hAnsi="Calibri" w:cs="Calibri"/>
                <w:b/>
                <w:bCs/>
                <w:sz w:val="20"/>
                <w:szCs w:val="20"/>
              </w:rPr>
            </w:pPr>
            <w:r w:rsidRPr="009B561A">
              <w:rPr>
                <w:rFonts w:ascii="Calibri" w:hAnsi="Calibri" w:cs="Calibri"/>
                <w:b/>
                <w:bCs/>
                <w:sz w:val="20"/>
                <w:szCs w:val="20"/>
              </w:rPr>
              <w:t>Outcomes</w:t>
            </w:r>
          </w:p>
        </w:tc>
      </w:tr>
      <w:tr w:rsidR="00D82224" w:rsidRPr="009B561A" w14:paraId="78737FAA" w14:textId="77777777" w:rsidTr="0087653A">
        <w:tc>
          <w:tcPr>
            <w:tcW w:w="433" w:type="dxa"/>
          </w:tcPr>
          <w:p w14:paraId="09F9F761" w14:textId="77777777" w:rsidR="00D82224" w:rsidRPr="009B561A" w:rsidRDefault="00D82224" w:rsidP="009B561A">
            <w:pPr>
              <w:spacing w:line="276" w:lineRule="auto"/>
              <w:rPr>
                <w:rFonts w:ascii="Calibri" w:hAnsi="Calibri" w:cs="Calibri"/>
                <w:color w:val="000000" w:themeColor="text1"/>
                <w:sz w:val="20"/>
                <w:szCs w:val="20"/>
                <w:highlight w:val="cyan"/>
              </w:rPr>
            </w:pPr>
            <w:r w:rsidRPr="009B561A">
              <w:rPr>
                <w:rFonts w:ascii="Calibri" w:hAnsi="Calibri" w:cs="Calibri"/>
                <w:color w:val="000000" w:themeColor="text1"/>
                <w:sz w:val="20"/>
                <w:szCs w:val="20"/>
              </w:rPr>
              <w:t>1</w:t>
            </w:r>
          </w:p>
        </w:tc>
        <w:tc>
          <w:tcPr>
            <w:tcW w:w="3664" w:type="dxa"/>
          </w:tcPr>
          <w:p w14:paraId="559402A7" w14:textId="43B8646E" w:rsidR="00D82224" w:rsidRPr="00697D68" w:rsidRDefault="00D82224" w:rsidP="009B561A">
            <w:pPr>
              <w:spacing w:line="276" w:lineRule="auto"/>
              <w:rPr>
                <w:rFonts w:ascii="Calibri" w:hAnsi="Calibri" w:cs="Calibri"/>
                <w:sz w:val="20"/>
                <w:szCs w:val="20"/>
              </w:rPr>
            </w:pPr>
            <w:r w:rsidRPr="00697D68">
              <w:rPr>
                <w:rFonts w:ascii="Calibri" w:hAnsi="Calibri" w:cs="Calibri"/>
                <w:b/>
                <w:bCs/>
                <w:sz w:val="20"/>
                <w:szCs w:val="20"/>
              </w:rPr>
              <w:t>Global antimicrobial resistance and use surveillance system (GLASS) report 2021</w:t>
            </w:r>
            <w:r w:rsidRPr="00697D68">
              <w:rPr>
                <w:rFonts w:ascii="Calibri" w:hAnsi="Calibri" w:cs="Calibri"/>
                <w:sz w:val="20"/>
                <w:szCs w:val="20"/>
              </w:rPr>
              <w:t xml:space="preserve">. Geneva: World Health Organization; 2021. </w:t>
            </w:r>
            <w:r w:rsidR="008D2F97" w:rsidRPr="00697D68">
              <w:rPr>
                <w:rFonts w:ascii="Calibri" w:hAnsi="Calibri" w:cs="Calibri"/>
                <w:sz w:val="20"/>
                <w:szCs w:val="20"/>
              </w:rPr>
              <w:fldChar w:fldCharType="begin" w:fldLock="1"/>
            </w:r>
            <w:r w:rsidR="008D2F97" w:rsidRPr="00697D68">
              <w:rPr>
                <w:rFonts w:ascii="Calibri" w:hAnsi="Calibri" w:cs="Calibri"/>
                <w:sz w:val="20"/>
                <w:szCs w:val="20"/>
              </w:rPr>
              <w:instrText>ADDIN CSL_CITATION {"citationItems":[{"id":"ITEM-1","itemData":{"ISBN":"9789240005587","abstract":"Launched by the World Health Organization (WHO) in 2015 to support the strengthening of the antimicrobial resistance (AMR) evidence base, the Global Antimicrobial Resistance and Use Surveillance System (GLASS) is the first system that enables harmonized global reporting of official national AMR and antimicrobial consumption (AMC) data.","id":"ITEM-1","issued":{"date-parts":[["2021"]]},"title":"Global antimicrobial resistance surveillance system (GLASS) report: early implementation 2020. Geneva: World Health Organization; 2020. Licence: CC BY-NC-SA 3.0 IGO","type":"report"},"uris":["http://www.mendeley.com/documents/?uuid=7a91ec55-2142-40bf-9ad7-e917faccafe2"]}],"mendeley":{"formattedCitation":"(41)","plainTextFormattedCitation":"(41)","previouslyFormattedCitation":"(41)"},"properties":{"noteIndex":0},"schema":"https://github.com/citation-style-language/schema/raw/master/csl-citation.json"}</w:instrText>
            </w:r>
            <w:r w:rsidR="008D2F97" w:rsidRPr="00697D68">
              <w:rPr>
                <w:rFonts w:ascii="Calibri" w:hAnsi="Calibri" w:cs="Calibri"/>
                <w:sz w:val="20"/>
                <w:szCs w:val="20"/>
              </w:rPr>
              <w:fldChar w:fldCharType="separate"/>
            </w:r>
            <w:r w:rsidR="00697D68" w:rsidRPr="00697D68">
              <w:rPr>
                <w:rFonts w:ascii="Calibri" w:hAnsi="Calibri" w:cs="Calibri"/>
                <w:sz w:val="20"/>
                <w:szCs w:val="20"/>
              </w:rPr>
              <w:t>[</w:t>
            </w:r>
            <w:r w:rsidR="008D2F97" w:rsidRPr="00697D68">
              <w:rPr>
                <w:rFonts w:ascii="Calibri" w:hAnsi="Calibri" w:cs="Calibri"/>
                <w:noProof/>
                <w:sz w:val="20"/>
                <w:szCs w:val="20"/>
              </w:rPr>
              <w:t>41</w:t>
            </w:r>
            <w:r w:rsidR="00697D68" w:rsidRPr="00697D68">
              <w:rPr>
                <w:rFonts w:ascii="Calibri" w:hAnsi="Calibri" w:cs="Calibri"/>
                <w:noProof/>
                <w:sz w:val="20"/>
                <w:szCs w:val="20"/>
              </w:rPr>
              <w:t xml:space="preserve">]  </w:t>
            </w:r>
            <w:r w:rsidR="008D2F97" w:rsidRPr="00697D68">
              <w:rPr>
                <w:rFonts w:ascii="Calibri" w:hAnsi="Calibri" w:cs="Calibri"/>
                <w:sz w:val="20"/>
                <w:szCs w:val="20"/>
              </w:rPr>
              <w:fldChar w:fldCharType="end"/>
            </w:r>
          </w:p>
          <w:p w14:paraId="2A36A646" w14:textId="77777777" w:rsidR="00D82224" w:rsidRPr="00697D68" w:rsidRDefault="00D82224" w:rsidP="009B561A">
            <w:pPr>
              <w:spacing w:line="276" w:lineRule="auto"/>
              <w:rPr>
                <w:rFonts w:ascii="Calibri" w:hAnsi="Calibri" w:cs="Calibri"/>
                <w:color w:val="000000" w:themeColor="text1"/>
                <w:sz w:val="20"/>
                <w:szCs w:val="20"/>
              </w:rPr>
            </w:pPr>
          </w:p>
        </w:tc>
        <w:tc>
          <w:tcPr>
            <w:tcW w:w="4262" w:type="dxa"/>
          </w:tcPr>
          <w:p w14:paraId="0D958A99" w14:textId="77777777" w:rsidR="00D82224" w:rsidRPr="009B561A" w:rsidRDefault="00D82224" w:rsidP="009B561A">
            <w:pPr>
              <w:autoSpaceDE w:val="0"/>
              <w:autoSpaceDN w:val="0"/>
              <w:adjustRightInd w:val="0"/>
              <w:spacing w:line="276" w:lineRule="auto"/>
              <w:rPr>
                <w:rFonts w:ascii="Calibri" w:eastAsia="SourceSansPro-Regular" w:hAnsi="Calibri" w:cs="Calibri"/>
                <w:sz w:val="20"/>
                <w:szCs w:val="20"/>
              </w:rPr>
            </w:pPr>
            <w:r w:rsidRPr="009B561A">
              <w:rPr>
                <w:rFonts w:ascii="Calibri" w:eastAsia="SourceSansPro-Regular" w:hAnsi="Calibri" w:cs="Calibri"/>
                <w:sz w:val="20"/>
                <w:szCs w:val="20"/>
              </w:rPr>
              <w:t xml:space="preserve">The fourth GLASS report summarizes the 2019 data reported to WHO in 2020. It includes </w:t>
            </w:r>
          </w:p>
          <w:p w14:paraId="3CF2C7C7" w14:textId="77777777" w:rsidR="00D82224" w:rsidRPr="009B561A" w:rsidRDefault="00D82224" w:rsidP="009B561A">
            <w:pPr>
              <w:autoSpaceDE w:val="0"/>
              <w:autoSpaceDN w:val="0"/>
              <w:adjustRightInd w:val="0"/>
              <w:spacing w:line="276" w:lineRule="auto"/>
              <w:rPr>
                <w:rFonts w:ascii="Calibri" w:eastAsia="SourceSansPro-Regular" w:hAnsi="Calibri" w:cs="Calibri"/>
                <w:sz w:val="20"/>
                <w:szCs w:val="20"/>
              </w:rPr>
            </w:pPr>
            <w:r w:rsidRPr="009B561A">
              <w:rPr>
                <w:rFonts w:ascii="Calibri" w:eastAsia="SourceSansPro-Regular" w:hAnsi="Calibri" w:cs="Calibri"/>
                <w:sz w:val="20"/>
                <w:szCs w:val="20"/>
              </w:rPr>
              <w:t>data on AMC surveillance from 15 countries and AMR data on 3 106 602 laboratory confirmed infections reported by 24 803 surveillance sites in 70 countries, compared to the 507 923 infections and 729 surveillance sites reporting to the first data call in 2017.</w:t>
            </w:r>
          </w:p>
        </w:tc>
        <w:tc>
          <w:tcPr>
            <w:tcW w:w="5811" w:type="dxa"/>
          </w:tcPr>
          <w:p w14:paraId="48E6FFF9"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sz w:val="20"/>
                <w:szCs w:val="20"/>
              </w:rPr>
            </w:pPr>
            <w:r w:rsidRPr="009B561A">
              <w:rPr>
                <w:rFonts w:ascii="Calibri" w:hAnsi="Calibri" w:cs="Calibri"/>
                <w:sz w:val="20"/>
                <w:szCs w:val="20"/>
              </w:rPr>
              <w:t xml:space="preserve">At an international level, Ireland contributes to the WHO Global </w:t>
            </w:r>
          </w:p>
          <w:p w14:paraId="60F6D5C3"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strike/>
                <w:color w:val="FF0000"/>
                <w:sz w:val="20"/>
                <w:szCs w:val="20"/>
              </w:rPr>
            </w:pPr>
            <w:r w:rsidRPr="009B561A">
              <w:rPr>
                <w:rFonts w:ascii="Calibri" w:hAnsi="Calibri" w:cs="Calibri"/>
                <w:sz w:val="20"/>
                <w:szCs w:val="20"/>
              </w:rPr>
              <w:t>antimicrobial resistance and uses surveillance system (GLASS)</w:t>
            </w:r>
          </w:p>
        </w:tc>
      </w:tr>
      <w:tr w:rsidR="00D82224" w:rsidRPr="009B561A" w14:paraId="04DABB1A" w14:textId="77777777" w:rsidTr="0087653A">
        <w:tc>
          <w:tcPr>
            <w:tcW w:w="433" w:type="dxa"/>
          </w:tcPr>
          <w:p w14:paraId="01F59732"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2</w:t>
            </w:r>
          </w:p>
        </w:tc>
        <w:tc>
          <w:tcPr>
            <w:tcW w:w="3664" w:type="dxa"/>
          </w:tcPr>
          <w:p w14:paraId="45B60526" w14:textId="4D14B954" w:rsidR="00D82224" w:rsidRPr="00697D68" w:rsidRDefault="00D82224" w:rsidP="009B561A">
            <w:pPr>
              <w:spacing w:line="276" w:lineRule="auto"/>
              <w:rPr>
                <w:rFonts w:ascii="Calibri" w:hAnsi="Calibri" w:cs="Calibri"/>
                <w:b/>
                <w:bCs/>
                <w:color w:val="000000" w:themeColor="text1"/>
                <w:sz w:val="20"/>
                <w:szCs w:val="20"/>
                <w:vertAlign w:val="superscript"/>
              </w:rPr>
            </w:pPr>
            <w:r w:rsidRPr="00697D68">
              <w:rPr>
                <w:rFonts w:ascii="Calibri" w:hAnsi="Calibri" w:cs="Calibri"/>
                <w:b/>
                <w:bCs/>
                <w:noProof/>
                <w:color w:val="000000" w:themeColor="text1"/>
                <w:sz w:val="20"/>
                <w:szCs w:val="20"/>
              </w:rPr>
              <w:t>HIQA. iNAP 2</w:t>
            </w:r>
            <w:r w:rsidRPr="00697D68">
              <w:rPr>
                <w:rFonts w:ascii="Calibri" w:hAnsi="Calibri" w:cs="Calibri"/>
                <w:noProof/>
                <w:color w:val="000000" w:themeColor="text1"/>
                <w:sz w:val="20"/>
                <w:szCs w:val="20"/>
              </w:rPr>
              <w:t xml:space="preserve"> </w:t>
            </w:r>
            <w:r w:rsidRPr="00697D68">
              <w:rPr>
                <w:rFonts w:ascii="Calibri" w:hAnsi="Calibri" w:cs="Calibri"/>
                <w:b/>
                <w:bCs/>
                <w:noProof/>
                <w:color w:val="000000" w:themeColor="text1"/>
                <w:sz w:val="20"/>
                <w:szCs w:val="20"/>
              </w:rPr>
              <w:t>SUBMISSION. Vol. 3. 2021</w:t>
            </w:r>
            <w:r w:rsidRPr="00697D68">
              <w:rPr>
                <w:rFonts w:ascii="Calibri" w:hAnsi="Calibri" w:cs="Calibri"/>
                <w:noProof/>
                <w:color w:val="000000" w:themeColor="text1"/>
                <w:sz w:val="20"/>
                <w:szCs w:val="20"/>
              </w:rPr>
              <w:t xml:space="preserve">  </w:t>
            </w:r>
            <w:r w:rsidR="005C0661" w:rsidRPr="00697D68">
              <w:rPr>
                <w:rFonts w:ascii="Calibri" w:hAnsi="Calibri" w:cs="Calibri"/>
                <w:noProof/>
                <w:color w:val="000000" w:themeColor="text1"/>
                <w:sz w:val="20"/>
                <w:szCs w:val="20"/>
              </w:rPr>
              <w:fldChar w:fldCharType="begin" w:fldLock="1"/>
            </w:r>
            <w:r w:rsidR="00AE2577" w:rsidRPr="00697D68">
              <w:rPr>
                <w:rFonts w:ascii="Calibri" w:hAnsi="Calibri" w:cs="Calibri"/>
                <w:noProof/>
                <w:color w:val="000000" w:themeColor="text1"/>
                <w:sz w:val="20"/>
                <w:szCs w:val="20"/>
              </w:rPr>
              <w:instrText>ADDIN CSL_CITATION {"citationItems":[{"id":"ITEM-1","itemData":{"author":[{"dropping-particle":"","family":"Health Information and Quality(HIQA)","given":"","non-dropping-particle":"","parse-names":false,"suffix":""}],"id":"ITEM-1","issue":"2","issued":{"date-parts":[["2021"]]},"number-of-pages":"6","title":"Health Information Quality Authority -iNAP 2 Submission","type":"report","volume":"3"},"uris":["http://www.mendeley.com/documents/?uuid=0d182d9c-f8c0-4559-8c85-78d496e6b812"]}],"mendeley":{"formattedCitation":"(8)","plainTextFormattedCitation":"(8)","previouslyFormattedCitation":"(8)"},"properties":{"noteIndex":0},"schema":"https://github.com/citation-style-language/schema/raw/master/csl-citation.json"}</w:instrText>
            </w:r>
            <w:r w:rsidR="005C0661" w:rsidRPr="00697D68">
              <w:rPr>
                <w:rFonts w:ascii="Calibri" w:hAnsi="Calibri" w:cs="Calibri"/>
                <w:noProof/>
                <w:color w:val="000000" w:themeColor="text1"/>
                <w:sz w:val="20"/>
                <w:szCs w:val="20"/>
              </w:rPr>
              <w:fldChar w:fldCharType="separate"/>
            </w:r>
            <w:r w:rsidR="00697D68" w:rsidRPr="00697D68">
              <w:rPr>
                <w:rFonts w:ascii="Calibri" w:hAnsi="Calibri" w:cs="Calibri"/>
                <w:noProof/>
                <w:color w:val="000000" w:themeColor="text1"/>
                <w:sz w:val="20"/>
                <w:szCs w:val="20"/>
              </w:rPr>
              <w:t>[</w:t>
            </w:r>
            <w:r w:rsidR="005C0661" w:rsidRPr="00697D68">
              <w:rPr>
                <w:rFonts w:ascii="Calibri" w:hAnsi="Calibri" w:cs="Calibri"/>
                <w:noProof/>
                <w:color w:val="000000" w:themeColor="text1"/>
                <w:sz w:val="20"/>
                <w:szCs w:val="20"/>
              </w:rPr>
              <w:t>8</w:t>
            </w:r>
            <w:r w:rsidR="00697D68" w:rsidRPr="00697D68">
              <w:rPr>
                <w:rFonts w:ascii="Calibri" w:hAnsi="Calibri" w:cs="Calibri"/>
                <w:noProof/>
                <w:color w:val="000000" w:themeColor="text1"/>
                <w:sz w:val="20"/>
                <w:szCs w:val="20"/>
              </w:rPr>
              <w:t xml:space="preserve">]   </w:t>
            </w:r>
            <w:r w:rsidR="005C0661" w:rsidRPr="00697D68">
              <w:rPr>
                <w:rFonts w:ascii="Calibri" w:hAnsi="Calibri" w:cs="Calibri"/>
                <w:noProof/>
                <w:color w:val="000000" w:themeColor="text1"/>
                <w:sz w:val="20"/>
                <w:szCs w:val="20"/>
              </w:rPr>
              <w:fldChar w:fldCharType="end"/>
            </w:r>
          </w:p>
          <w:p w14:paraId="72F04E2F" w14:textId="77777777" w:rsidR="00D82224" w:rsidRPr="00697D68" w:rsidRDefault="00D82224" w:rsidP="009B561A">
            <w:pPr>
              <w:spacing w:line="276" w:lineRule="auto"/>
              <w:rPr>
                <w:rFonts w:ascii="Calibri" w:hAnsi="Calibri" w:cs="Calibri"/>
                <w:b/>
                <w:bCs/>
                <w:color w:val="000000" w:themeColor="text1"/>
                <w:sz w:val="20"/>
                <w:szCs w:val="20"/>
                <w:vertAlign w:val="superscript"/>
              </w:rPr>
            </w:pPr>
          </w:p>
          <w:p w14:paraId="07F44794" w14:textId="77777777" w:rsidR="00D82224" w:rsidRPr="00697D68" w:rsidRDefault="00D82224" w:rsidP="009B561A">
            <w:pPr>
              <w:spacing w:line="276" w:lineRule="auto"/>
              <w:rPr>
                <w:rFonts w:ascii="Calibri" w:hAnsi="Calibri" w:cs="Calibri"/>
                <w:b/>
                <w:bCs/>
                <w:color w:val="000000" w:themeColor="text1"/>
                <w:sz w:val="20"/>
                <w:szCs w:val="20"/>
              </w:rPr>
            </w:pPr>
            <w:r w:rsidRPr="00697D68">
              <w:rPr>
                <w:rFonts w:ascii="Calibri" w:hAnsi="Calibri" w:cs="Calibri"/>
                <w:b/>
                <w:bCs/>
                <w:color w:val="000000" w:themeColor="text1"/>
                <w:sz w:val="20"/>
                <w:szCs w:val="20"/>
              </w:rPr>
              <w:t>*Links with Tables</w:t>
            </w:r>
            <w:r w:rsidRPr="00697D68">
              <w:rPr>
                <w:rFonts w:ascii="Calibri" w:hAnsi="Calibri" w:cs="Calibri"/>
                <w:b/>
                <w:bCs/>
                <w:sz w:val="20"/>
                <w:szCs w:val="20"/>
              </w:rPr>
              <w:t xml:space="preserve"> SRC</w:t>
            </w:r>
            <w:r w:rsidRPr="00697D68">
              <w:rPr>
                <w:rFonts w:ascii="Calibri" w:hAnsi="Calibri" w:cs="Calibri"/>
                <w:b/>
                <w:bCs/>
                <w:color w:val="000000" w:themeColor="text1"/>
                <w:sz w:val="20"/>
                <w:szCs w:val="20"/>
              </w:rPr>
              <w:t xml:space="preserve"> A&amp; D</w:t>
            </w:r>
          </w:p>
        </w:tc>
        <w:tc>
          <w:tcPr>
            <w:tcW w:w="4262" w:type="dxa"/>
          </w:tcPr>
          <w:p w14:paraId="416ABED3"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color w:val="000000" w:themeColor="text1"/>
                <w:sz w:val="20"/>
                <w:szCs w:val="20"/>
                <w:highlight w:val="yellow"/>
              </w:rPr>
            </w:pPr>
          </w:p>
        </w:tc>
        <w:tc>
          <w:tcPr>
            <w:tcW w:w="5811" w:type="dxa"/>
          </w:tcPr>
          <w:p w14:paraId="37277820"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color w:val="000000" w:themeColor="text1"/>
                <w:sz w:val="20"/>
                <w:szCs w:val="20"/>
              </w:rPr>
            </w:pPr>
            <w:r w:rsidRPr="009B561A">
              <w:rPr>
                <w:rFonts w:ascii="Calibri" w:hAnsi="Calibri" w:cs="Calibri"/>
                <w:color w:val="000000" w:themeColor="text1"/>
                <w:sz w:val="20"/>
                <w:szCs w:val="20"/>
              </w:rPr>
              <w:t xml:space="preserve">Previously mentioned in Table </w:t>
            </w:r>
            <w:r w:rsidRPr="009B561A">
              <w:rPr>
                <w:rFonts w:ascii="Calibri" w:hAnsi="Calibri" w:cs="Calibri"/>
                <w:sz w:val="20"/>
                <w:szCs w:val="20"/>
              </w:rPr>
              <w:t>SRC</w:t>
            </w:r>
            <w:r w:rsidRPr="009B561A">
              <w:rPr>
                <w:rFonts w:ascii="Calibri" w:hAnsi="Calibri" w:cs="Calibri"/>
                <w:color w:val="000000" w:themeColor="text1"/>
                <w:sz w:val="20"/>
                <w:szCs w:val="20"/>
              </w:rPr>
              <w:t xml:space="preserve"> A&amp;D</w:t>
            </w:r>
          </w:p>
          <w:p w14:paraId="00382471"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color w:val="000000" w:themeColor="text1"/>
                <w:sz w:val="20"/>
                <w:szCs w:val="20"/>
                <w:highlight w:val="yellow"/>
              </w:rPr>
            </w:pPr>
          </w:p>
        </w:tc>
      </w:tr>
      <w:tr w:rsidR="00D82224" w:rsidRPr="009B561A" w14:paraId="1FC0D433" w14:textId="77777777" w:rsidTr="0087653A">
        <w:tc>
          <w:tcPr>
            <w:tcW w:w="433" w:type="dxa"/>
          </w:tcPr>
          <w:p w14:paraId="564882D4"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3</w:t>
            </w:r>
          </w:p>
        </w:tc>
        <w:tc>
          <w:tcPr>
            <w:tcW w:w="3664" w:type="dxa"/>
          </w:tcPr>
          <w:p w14:paraId="36CFD193" w14:textId="60C158FC" w:rsidR="00D82224" w:rsidRPr="00697D68" w:rsidRDefault="00D82224" w:rsidP="009B561A">
            <w:pPr>
              <w:spacing w:line="276" w:lineRule="auto"/>
              <w:rPr>
                <w:rFonts w:ascii="Calibri" w:hAnsi="Calibri" w:cs="Calibri"/>
                <w:b/>
                <w:bCs/>
                <w:color w:val="000000" w:themeColor="text1"/>
                <w:sz w:val="20"/>
                <w:szCs w:val="20"/>
                <w:vertAlign w:val="superscript"/>
              </w:rPr>
            </w:pPr>
            <w:r w:rsidRPr="00697D68">
              <w:rPr>
                <w:rFonts w:ascii="Calibri" w:hAnsi="Calibri" w:cs="Calibri"/>
                <w:b/>
                <w:bCs/>
                <w:color w:val="000000" w:themeColor="text1"/>
                <w:sz w:val="20"/>
                <w:szCs w:val="20"/>
              </w:rPr>
              <w:t>Health Service Executive (2021).</w:t>
            </w:r>
            <w:r w:rsidRPr="00697D68">
              <w:rPr>
                <w:rFonts w:ascii="Calibri" w:hAnsi="Calibri" w:cs="Calibri"/>
                <w:color w:val="000000" w:themeColor="text1"/>
                <w:sz w:val="20"/>
                <w:szCs w:val="20"/>
              </w:rPr>
              <w:t xml:space="preserve"> Health Service Executive 2022-2025 AMRIC Action Plan </w:t>
            </w:r>
            <w:r w:rsidR="00FD4196" w:rsidRPr="00697D68">
              <w:rPr>
                <w:rFonts w:ascii="Calibri" w:hAnsi="Calibri" w:cs="Calibri"/>
                <w:color w:val="000000" w:themeColor="text1"/>
                <w:sz w:val="20"/>
                <w:szCs w:val="20"/>
              </w:rPr>
              <w:fldChar w:fldCharType="begin" w:fldLock="1"/>
            </w:r>
            <w:r w:rsidR="00FD4196" w:rsidRPr="00697D68">
              <w:rPr>
                <w:rFonts w:ascii="Calibri" w:hAnsi="Calibri" w:cs="Calibri"/>
                <w:color w:val="000000" w:themeColor="text1"/>
                <w:sz w:val="20"/>
                <w:szCs w:val="20"/>
              </w:rPr>
              <w:instrText>ADDIN CSL_CITATION {"citationItems":[{"id":"ITEM-1","itemData":{"ISBN":"9781786021854","author":[{"dropping-particle":"","family":"Health Service Executive (HSE)","given":"","non-dropping-particle":"","parse-names":false,"suffix":""}],"id":"ITEM-1","issued":{"date-parts":[["2022"]]},"title":"Health Service Executive (2021). Health Service Executive 2022-2025 AMRIC Action Plan Available at https://bit.ly/3nWROS7","type":"report"},"uris":["http://www.mendeley.com/documents/?uuid=3b9c19ff-832f-4476-93de-609f37e9eec5"]}],"mendeley":{"formattedCitation":"(10)","plainTextFormattedCitation":"(10)","previouslyFormattedCitation":"(10)"},"properties":{"noteIndex":0},"schema":"https://github.com/citation-style-language/schema/raw/master/csl-citation.json"}</w:instrText>
            </w:r>
            <w:r w:rsidR="00FD4196" w:rsidRPr="00697D68">
              <w:rPr>
                <w:rFonts w:ascii="Calibri" w:hAnsi="Calibri" w:cs="Calibri"/>
                <w:color w:val="000000" w:themeColor="text1"/>
                <w:sz w:val="20"/>
                <w:szCs w:val="20"/>
              </w:rPr>
              <w:fldChar w:fldCharType="separate"/>
            </w:r>
            <w:r w:rsidR="00697D68" w:rsidRPr="00697D68">
              <w:rPr>
                <w:rFonts w:ascii="Calibri" w:hAnsi="Calibri" w:cs="Calibri"/>
                <w:color w:val="000000" w:themeColor="text1"/>
                <w:sz w:val="20"/>
                <w:szCs w:val="20"/>
              </w:rPr>
              <w:t>[</w:t>
            </w:r>
            <w:r w:rsidR="00FD4196" w:rsidRPr="00697D68">
              <w:rPr>
                <w:rFonts w:ascii="Calibri" w:hAnsi="Calibri" w:cs="Calibri"/>
                <w:noProof/>
                <w:color w:val="000000" w:themeColor="text1"/>
                <w:sz w:val="20"/>
                <w:szCs w:val="20"/>
              </w:rPr>
              <w:t>10</w:t>
            </w:r>
            <w:r w:rsidR="00697D68" w:rsidRPr="00697D68">
              <w:rPr>
                <w:rFonts w:ascii="Calibri" w:hAnsi="Calibri" w:cs="Calibri"/>
                <w:noProof/>
                <w:color w:val="000000" w:themeColor="text1"/>
                <w:sz w:val="20"/>
                <w:szCs w:val="20"/>
              </w:rPr>
              <w:t xml:space="preserve">]    </w:t>
            </w:r>
            <w:r w:rsidR="00FD4196" w:rsidRPr="00697D68">
              <w:rPr>
                <w:rFonts w:ascii="Calibri" w:hAnsi="Calibri" w:cs="Calibri"/>
                <w:color w:val="000000" w:themeColor="text1"/>
                <w:sz w:val="20"/>
                <w:szCs w:val="20"/>
              </w:rPr>
              <w:fldChar w:fldCharType="end"/>
            </w:r>
          </w:p>
          <w:p w14:paraId="5DA7BDD5" w14:textId="77777777" w:rsidR="00D82224" w:rsidRPr="00697D68" w:rsidRDefault="00D82224" w:rsidP="009B561A">
            <w:pPr>
              <w:spacing w:line="276" w:lineRule="auto"/>
              <w:rPr>
                <w:rFonts w:ascii="Calibri" w:hAnsi="Calibri" w:cs="Calibri"/>
                <w:b/>
                <w:bCs/>
                <w:color w:val="000000" w:themeColor="text1"/>
                <w:sz w:val="20"/>
                <w:szCs w:val="20"/>
                <w:vertAlign w:val="superscript"/>
              </w:rPr>
            </w:pPr>
          </w:p>
          <w:p w14:paraId="072A6E85" w14:textId="77777777" w:rsidR="00D82224" w:rsidRPr="00697D68" w:rsidRDefault="00D82224" w:rsidP="009B561A">
            <w:pPr>
              <w:spacing w:line="276" w:lineRule="auto"/>
              <w:rPr>
                <w:rFonts w:ascii="Calibri" w:hAnsi="Calibri" w:cs="Calibri"/>
                <w:b/>
                <w:bCs/>
                <w:color w:val="000000" w:themeColor="text1"/>
                <w:sz w:val="20"/>
                <w:szCs w:val="20"/>
              </w:rPr>
            </w:pPr>
            <w:r w:rsidRPr="00697D68">
              <w:rPr>
                <w:rFonts w:ascii="Calibri" w:hAnsi="Calibri" w:cs="Calibri"/>
                <w:b/>
                <w:bCs/>
                <w:color w:val="000000" w:themeColor="text1"/>
                <w:sz w:val="20"/>
                <w:szCs w:val="20"/>
              </w:rPr>
              <w:t>* Links with Tables</w:t>
            </w:r>
            <w:r w:rsidRPr="00697D68">
              <w:rPr>
                <w:rFonts w:ascii="Calibri" w:hAnsi="Calibri" w:cs="Calibri"/>
                <w:b/>
                <w:bCs/>
                <w:sz w:val="20"/>
                <w:szCs w:val="20"/>
              </w:rPr>
              <w:t xml:space="preserve"> SRC</w:t>
            </w:r>
            <w:r w:rsidRPr="00697D68">
              <w:rPr>
                <w:rFonts w:ascii="Calibri" w:hAnsi="Calibri" w:cs="Calibri"/>
                <w:b/>
                <w:bCs/>
                <w:color w:val="000000" w:themeColor="text1"/>
                <w:sz w:val="20"/>
                <w:szCs w:val="20"/>
              </w:rPr>
              <w:t xml:space="preserve"> A&amp;D</w:t>
            </w:r>
          </w:p>
          <w:p w14:paraId="01DEAB81" w14:textId="77777777" w:rsidR="00D82224" w:rsidRPr="00697D68" w:rsidRDefault="00D82224" w:rsidP="009B561A">
            <w:pPr>
              <w:spacing w:line="276" w:lineRule="auto"/>
              <w:rPr>
                <w:rFonts w:ascii="Calibri" w:hAnsi="Calibri" w:cs="Calibri"/>
                <w:b/>
                <w:bCs/>
                <w:color w:val="000000" w:themeColor="text1"/>
                <w:sz w:val="20"/>
                <w:szCs w:val="20"/>
              </w:rPr>
            </w:pPr>
          </w:p>
        </w:tc>
        <w:tc>
          <w:tcPr>
            <w:tcW w:w="4262" w:type="dxa"/>
          </w:tcPr>
          <w:p w14:paraId="56661667" w14:textId="77777777" w:rsidR="00D82224" w:rsidRPr="009B561A" w:rsidRDefault="00D82224" w:rsidP="009B561A">
            <w:pPr>
              <w:spacing w:line="276" w:lineRule="auto"/>
              <w:rPr>
                <w:rFonts w:ascii="Calibri" w:hAnsi="Calibri" w:cs="Calibri"/>
                <w:b/>
                <w:bCs/>
                <w:color w:val="FF0000"/>
                <w:sz w:val="20"/>
                <w:szCs w:val="20"/>
                <w:highlight w:val="cyan"/>
              </w:rPr>
            </w:pPr>
            <w:r w:rsidRPr="009B561A">
              <w:rPr>
                <w:rFonts w:ascii="Calibri" w:hAnsi="Calibri" w:cs="Calibri"/>
                <w:sz w:val="20"/>
                <w:szCs w:val="20"/>
              </w:rPr>
              <w:t>This HSE plan, which complements iNAP2, sets out how the HSE will play its part in delivering on the commitments of iNAP2</w:t>
            </w:r>
          </w:p>
        </w:tc>
        <w:tc>
          <w:tcPr>
            <w:tcW w:w="5811" w:type="dxa"/>
          </w:tcPr>
          <w:p w14:paraId="25766382" w14:textId="77777777" w:rsidR="00D82224" w:rsidRPr="009B561A" w:rsidRDefault="00D82224" w:rsidP="009B561A">
            <w:pPr>
              <w:widowControl w:val="0"/>
              <w:autoSpaceDE w:val="0"/>
              <w:autoSpaceDN w:val="0"/>
              <w:adjustRightInd w:val="0"/>
              <w:spacing w:line="276" w:lineRule="auto"/>
              <w:rPr>
                <w:rFonts w:ascii="Calibri" w:hAnsi="Calibri" w:cs="Calibri"/>
                <w:b/>
                <w:bCs/>
                <w:sz w:val="20"/>
                <w:szCs w:val="20"/>
              </w:rPr>
            </w:pPr>
            <w:r w:rsidRPr="009B561A">
              <w:rPr>
                <w:rFonts w:ascii="Calibri" w:hAnsi="Calibri" w:cs="Calibri"/>
                <w:b/>
                <w:bCs/>
                <w:sz w:val="20"/>
                <w:szCs w:val="20"/>
              </w:rPr>
              <w:t>Antimicrobial consumption:</w:t>
            </w:r>
            <w:r w:rsidRPr="009B561A">
              <w:rPr>
                <w:rFonts w:ascii="Calibri" w:hAnsi="Calibri" w:cs="Calibri"/>
                <w:sz w:val="20"/>
                <w:szCs w:val="20"/>
              </w:rPr>
              <w:t xml:space="preserve"> challenging outcome targets</w:t>
            </w:r>
          </w:p>
          <w:p w14:paraId="49D446E5" w14:textId="77777777" w:rsidR="00D82224" w:rsidRPr="009B561A" w:rsidRDefault="00D82224" w:rsidP="009B561A">
            <w:pPr>
              <w:widowControl w:val="0"/>
              <w:numPr>
                <w:ilvl w:val="0"/>
                <w:numId w:val="10"/>
              </w:numPr>
              <w:autoSpaceDE w:val="0"/>
              <w:autoSpaceDN w:val="0"/>
              <w:adjustRightInd w:val="0"/>
              <w:spacing w:line="276" w:lineRule="auto"/>
              <w:contextualSpacing/>
              <w:rPr>
                <w:rFonts w:ascii="Calibri" w:hAnsi="Calibri" w:cs="Calibri"/>
                <w:b/>
                <w:bCs/>
                <w:sz w:val="20"/>
                <w:szCs w:val="20"/>
              </w:rPr>
            </w:pPr>
            <w:r w:rsidRPr="009B561A">
              <w:rPr>
                <w:rFonts w:ascii="Calibri" w:hAnsi="Calibri" w:cs="Calibri"/>
                <w:sz w:val="20"/>
                <w:szCs w:val="20"/>
              </w:rPr>
              <w:t>Community consumption of antibiotics</w:t>
            </w:r>
          </w:p>
          <w:p w14:paraId="6FB0A2C5" w14:textId="77777777" w:rsidR="00D82224" w:rsidRPr="009B561A" w:rsidRDefault="00D82224" w:rsidP="009B561A">
            <w:pPr>
              <w:widowControl w:val="0"/>
              <w:numPr>
                <w:ilvl w:val="0"/>
                <w:numId w:val="10"/>
              </w:numPr>
              <w:autoSpaceDE w:val="0"/>
              <w:autoSpaceDN w:val="0"/>
              <w:adjustRightInd w:val="0"/>
              <w:spacing w:line="276" w:lineRule="auto"/>
              <w:contextualSpacing/>
              <w:rPr>
                <w:rFonts w:ascii="Calibri" w:hAnsi="Calibri" w:cs="Calibri"/>
                <w:sz w:val="20"/>
                <w:szCs w:val="20"/>
              </w:rPr>
            </w:pPr>
            <w:r w:rsidRPr="009B561A">
              <w:rPr>
                <w:rFonts w:ascii="Calibri" w:hAnsi="Calibri" w:cs="Calibri"/>
                <w:sz w:val="20"/>
                <w:szCs w:val="20"/>
              </w:rPr>
              <w:t>Acute Hospital consumption of antibiotics</w:t>
            </w:r>
          </w:p>
          <w:p w14:paraId="666148C4" w14:textId="77777777" w:rsidR="00D82224" w:rsidRPr="009B561A" w:rsidRDefault="00D82224" w:rsidP="009B561A">
            <w:pPr>
              <w:widowControl w:val="0"/>
              <w:numPr>
                <w:ilvl w:val="0"/>
                <w:numId w:val="10"/>
              </w:numPr>
              <w:autoSpaceDE w:val="0"/>
              <w:autoSpaceDN w:val="0"/>
              <w:adjustRightInd w:val="0"/>
              <w:spacing w:line="276" w:lineRule="auto"/>
              <w:contextualSpacing/>
              <w:rPr>
                <w:rFonts w:ascii="Calibri" w:hAnsi="Calibri" w:cs="Calibri"/>
                <w:sz w:val="20"/>
                <w:szCs w:val="20"/>
              </w:rPr>
            </w:pPr>
            <w:r w:rsidRPr="009B561A">
              <w:rPr>
                <w:rFonts w:ascii="Calibri" w:hAnsi="Calibri" w:cs="Calibri"/>
                <w:sz w:val="20"/>
                <w:szCs w:val="20"/>
              </w:rPr>
              <w:t>Compliance with surgical antibiotic prophylaxis duration position statement:</w:t>
            </w:r>
          </w:p>
          <w:p w14:paraId="3D3161F1" w14:textId="77777777" w:rsidR="00D82224" w:rsidRPr="009B561A" w:rsidRDefault="00D82224" w:rsidP="009B561A">
            <w:pPr>
              <w:widowControl w:val="0"/>
              <w:numPr>
                <w:ilvl w:val="0"/>
                <w:numId w:val="10"/>
              </w:numPr>
              <w:autoSpaceDE w:val="0"/>
              <w:autoSpaceDN w:val="0"/>
              <w:adjustRightInd w:val="0"/>
              <w:spacing w:line="276" w:lineRule="auto"/>
              <w:contextualSpacing/>
              <w:rPr>
                <w:rFonts w:ascii="Calibri" w:hAnsi="Calibri" w:cs="Calibri"/>
                <w:b/>
                <w:bCs/>
                <w:sz w:val="20"/>
                <w:szCs w:val="20"/>
              </w:rPr>
            </w:pPr>
            <w:r w:rsidRPr="009B561A">
              <w:rPr>
                <w:rFonts w:ascii="Calibri" w:hAnsi="Calibri" w:cs="Calibri"/>
                <w:sz w:val="20"/>
                <w:szCs w:val="20"/>
              </w:rPr>
              <w:t>General Practice prescription of antibiotics:</w:t>
            </w:r>
          </w:p>
          <w:p w14:paraId="2A87331E" w14:textId="77777777" w:rsidR="00D82224" w:rsidRPr="009B561A" w:rsidRDefault="00D82224" w:rsidP="009B561A">
            <w:pPr>
              <w:widowControl w:val="0"/>
              <w:autoSpaceDE w:val="0"/>
              <w:autoSpaceDN w:val="0"/>
              <w:adjustRightInd w:val="0"/>
              <w:spacing w:line="276" w:lineRule="auto"/>
              <w:rPr>
                <w:rFonts w:ascii="Calibri" w:hAnsi="Calibri" w:cs="Calibri"/>
                <w:b/>
                <w:bCs/>
                <w:sz w:val="20"/>
                <w:szCs w:val="20"/>
              </w:rPr>
            </w:pPr>
            <w:r w:rsidRPr="009B561A">
              <w:rPr>
                <w:rFonts w:ascii="Calibri" w:hAnsi="Calibri" w:cs="Calibri"/>
                <w:b/>
                <w:bCs/>
                <w:sz w:val="20"/>
                <w:szCs w:val="20"/>
              </w:rPr>
              <w:t>Awareness and deeper understanding among the public</w:t>
            </w:r>
          </w:p>
        </w:tc>
      </w:tr>
      <w:tr w:rsidR="00D82224" w:rsidRPr="009B561A" w14:paraId="6ABEDF0C" w14:textId="77777777" w:rsidTr="0087653A">
        <w:tc>
          <w:tcPr>
            <w:tcW w:w="433" w:type="dxa"/>
          </w:tcPr>
          <w:p w14:paraId="43997B40"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4</w:t>
            </w:r>
          </w:p>
        </w:tc>
        <w:tc>
          <w:tcPr>
            <w:tcW w:w="3664" w:type="dxa"/>
          </w:tcPr>
          <w:p w14:paraId="721A0E1A" w14:textId="5F22F93F" w:rsidR="00D82224" w:rsidRPr="00697D68" w:rsidRDefault="00D82224" w:rsidP="009B561A">
            <w:pPr>
              <w:spacing w:line="276" w:lineRule="auto"/>
              <w:rPr>
                <w:rFonts w:ascii="Calibri" w:hAnsi="Calibri" w:cs="Calibri"/>
                <w:b/>
                <w:bCs/>
                <w:color w:val="000000" w:themeColor="text1"/>
                <w:sz w:val="20"/>
                <w:szCs w:val="20"/>
              </w:rPr>
            </w:pPr>
            <w:r w:rsidRPr="00697D68">
              <w:rPr>
                <w:rFonts w:ascii="Calibri" w:hAnsi="Calibri" w:cs="Calibri"/>
                <w:b/>
                <w:bCs/>
                <w:color w:val="000000" w:themeColor="text1"/>
                <w:sz w:val="20"/>
                <w:szCs w:val="20"/>
              </w:rPr>
              <w:t>Government of Ireland (2021).</w:t>
            </w:r>
            <w:r w:rsidRPr="00697D68">
              <w:rPr>
                <w:rFonts w:ascii="Calibri" w:hAnsi="Calibri" w:cs="Calibri"/>
                <w:color w:val="000000" w:themeColor="text1"/>
                <w:sz w:val="20"/>
                <w:szCs w:val="20"/>
              </w:rPr>
              <w:t xml:space="preserve"> Ireland’s One Health National Action Plan on Antimicrobial Resistance 2021 – 2025 </w:t>
            </w:r>
            <w:r w:rsidRPr="00697D68">
              <w:rPr>
                <w:rFonts w:ascii="Calibri" w:hAnsi="Calibri" w:cs="Calibri"/>
                <w:b/>
                <w:bCs/>
                <w:color w:val="000000" w:themeColor="text1"/>
                <w:sz w:val="20"/>
                <w:szCs w:val="20"/>
              </w:rPr>
              <w:t>(known as iNAP2)</w:t>
            </w:r>
            <w:r w:rsidRPr="00697D68">
              <w:rPr>
                <w:rFonts w:ascii="Calibri" w:hAnsi="Calibri" w:cs="Calibri"/>
                <w:color w:val="000000" w:themeColor="text1"/>
                <w:sz w:val="20"/>
                <w:szCs w:val="20"/>
                <w:vertAlign w:val="superscript"/>
              </w:rPr>
              <w:t xml:space="preserve"> </w:t>
            </w:r>
            <w:r w:rsidR="00AE2577" w:rsidRPr="00697D68">
              <w:rPr>
                <w:rFonts w:ascii="Calibri" w:hAnsi="Calibri" w:cs="Calibri"/>
                <w:color w:val="000000" w:themeColor="text1"/>
                <w:sz w:val="20"/>
                <w:szCs w:val="20"/>
                <w:vertAlign w:val="superscript"/>
              </w:rPr>
              <w:fldChar w:fldCharType="begin" w:fldLock="1"/>
            </w:r>
            <w:r w:rsidR="00AE2577" w:rsidRPr="00697D68">
              <w:rPr>
                <w:rFonts w:ascii="Calibri" w:hAnsi="Calibri" w:cs="Calibri"/>
                <w:color w:val="000000" w:themeColor="text1"/>
                <w:sz w:val="20"/>
                <w:szCs w:val="20"/>
                <w:vertAlign w:val="superscript"/>
              </w:rPr>
              <w:instrText>ADDIN CSL_CITATION {"citationItems":[{"id":"ITEM-1","itemData":{"abstract":"Cosmetic products are generally formulated as emulsions, ointments, solutions or powders containing active ingredients. According to EU legislation, a cosmetic product is \"any substance or preparation intended to be placed in contact with the various external parts of the human body with a view exclusively or mainly to cleaning, perfuming them, changing their appearance, and/or correcting body odors and/or protecting them or keeping them in good conditions\". However, science advancement in both active carriers and ingredients has streamlined the process through which many cosmetic products by their delivery systems can induce modifications on the skin physiology. This is the reason why Reed and Kligman redefined these products as \"cosmeceuticals\", which refers to the combination of cosmetics and pharmaceuticals. Until recently, the term of cosmeceuticals has not had legal significance. The so-called cosmeceuticals, in fact, may induce modifications on the skin physiology, modifying, for example, transepidermal water loss, keratinocytes cohesion and turnover, modulating the inflammatory cascade, and/or altering the surface microbiota by the activity of the preservatives content. For these reasons, they are claimed to have medical or drug-like benefits. Naturally, their effectiveness on minor skin disorders or mild skin abnormalities has to be shown by in vitro and in vivo studies. On the other hand, their formulations contain emulsifiers, preservatives, and other chemicals which, by their cumulative use, may provoke side effects, such as allergic and/or sensitization phenomena. Moreover, many ingredients and packaging for such products are not biodegradable. In this study, we would like to introduce an innovative category of cosmeceuticals made by biodegradable nonwoven tissues. These cosmeceutical tissues, produced through the use of natural fibers, may bind different active ingredients and therefore become effective as antibacterial, anti-inflammatory, sun-protective, whitening, or anti-aging products, depending on the ingredient(s) used. Differently from the usual cosmetics, they do not contain preservatives, emulsifiers, colors, and other chemicals. They can be applied as dried tissue on wet skin, remaining in loco for around 30 min, slowly releasing the active ingredients entrapped into the fibers. It is interesting to underline that the tissue, acting as a carrier, has its own effectiveness via chitin and lignin polymers with an antibacterial and a…","id":"ITEM-1","issued":{"date-parts":[["0"]]},"title":"Government of Ireland (2021). Ireland’s One Health National Action Plan on Antimicrobial Resistance 2021 –2025 (known as iNAP2). Available at https://www.gov.ie/en/publication/d72f1-joint-action-on-antimicrobial-resistance/ www.gov.ie/amr","type":"report"},"uris":["http://www.mendeley.com/documents/?uuid=a77d5ae4-4132-49fb-8520-4c7a2e5f557f"]}],"mendeley":{"formattedCitation":"(9)","plainTextFormattedCitation":"(9)","previouslyFormattedCitation":"(9)"},"properties":{"noteIndex":0},"schema":"https://github.com/citation-style-language/schema/raw/master/csl-citation.json"}</w:instrText>
            </w:r>
            <w:r w:rsidR="00AE2577" w:rsidRPr="00697D68">
              <w:rPr>
                <w:rFonts w:ascii="Calibri" w:hAnsi="Calibri" w:cs="Calibri"/>
                <w:color w:val="000000" w:themeColor="text1"/>
                <w:sz w:val="20"/>
                <w:szCs w:val="20"/>
                <w:vertAlign w:val="superscript"/>
              </w:rPr>
              <w:fldChar w:fldCharType="separate"/>
            </w:r>
            <w:r w:rsidR="00697D68" w:rsidRPr="00697D68">
              <w:rPr>
                <w:rFonts w:ascii="Calibri" w:hAnsi="Calibri" w:cs="Calibri"/>
                <w:color w:val="000000" w:themeColor="text1"/>
                <w:sz w:val="20"/>
                <w:szCs w:val="20"/>
                <w:vertAlign w:val="superscript"/>
              </w:rPr>
              <w:t xml:space="preserve">   </w:t>
            </w:r>
            <w:r w:rsidR="00697D68" w:rsidRPr="00697D68">
              <w:rPr>
                <w:rFonts w:ascii="Calibri" w:hAnsi="Calibri" w:cs="Calibri"/>
                <w:color w:val="000000" w:themeColor="text1"/>
                <w:sz w:val="20"/>
                <w:szCs w:val="20"/>
              </w:rPr>
              <w:t>[</w:t>
            </w:r>
            <w:r w:rsidR="00AE2577" w:rsidRPr="00697D68">
              <w:rPr>
                <w:rFonts w:ascii="Calibri" w:hAnsi="Calibri" w:cs="Calibri"/>
                <w:noProof/>
                <w:color w:val="000000" w:themeColor="text1"/>
                <w:sz w:val="20"/>
                <w:szCs w:val="20"/>
              </w:rPr>
              <w:t>9</w:t>
            </w:r>
            <w:r w:rsidR="00697D68" w:rsidRPr="00697D68">
              <w:rPr>
                <w:rFonts w:ascii="Calibri" w:hAnsi="Calibri" w:cs="Calibri"/>
                <w:noProof/>
                <w:color w:val="000000" w:themeColor="text1"/>
                <w:sz w:val="20"/>
                <w:szCs w:val="20"/>
              </w:rPr>
              <w:t>]</w:t>
            </w:r>
            <w:r w:rsidR="00AE2577" w:rsidRPr="00697D68">
              <w:rPr>
                <w:rFonts w:ascii="Calibri" w:hAnsi="Calibri" w:cs="Calibri"/>
                <w:color w:val="000000" w:themeColor="text1"/>
                <w:sz w:val="20"/>
                <w:szCs w:val="20"/>
                <w:vertAlign w:val="superscript"/>
              </w:rPr>
              <w:fldChar w:fldCharType="end"/>
            </w:r>
          </w:p>
          <w:p w14:paraId="6C9C0310" w14:textId="77777777" w:rsidR="00D82224" w:rsidRPr="00697D68" w:rsidRDefault="00D82224" w:rsidP="009B561A">
            <w:pPr>
              <w:spacing w:line="276" w:lineRule="auto"/>
              <w:rPr>
                <w:rFonts w:ascii="Calibri" w:hAnsi="Calibri" w:cs="Calibri"/>
                <w:b/>
                <w:bCs/>
                <w:color w:val="000000" w:themeColor="text1"/>
                <w:sz w:val="20"/>
                <w:szCs w:val="20"/>
                <w:vertAlign w:val="superscript"/>
              </w:rPr>
            </w:pPr>
          </w:p>
          <w:p w14:paraId="382E7453" w14:textId="77777777" w:rsidR="00D82224" w:rsidRPr="00697D68" w:rsidRDefault="00D82224" w:rsidP="009B561A">
            <w:pPr>
              <w:spacing w:line="276" w:lineRule="auto"/>
              <w:rPr>
                <w:rFonts w:ascii="Calibri" w:hAnsi="Calibri" w:cs="Calibri"/>
                <w:b/>
                <w:bCs/>
                <w:color w:val="000000" w:themeColor="text1"/>
                <w:sz w:val="20"/>
                <w:szCs w:val="20"/>
              </w:rPr>
            </w:pPr>
            <w:r w:rsidRPr="00697D68">
              <w:rPr>
                <w:rFonts w:ascii="Calibri" w:hAnsi="Calibri" w:cs="Calibri"/>
                <w:b/>
                <w:bCs/>
                <w:color w:val="000000" w:themeColor="text1"/>
                <w:sz w:val="20"/>
                <w:szCs w:val="20"/>
              </w:rPr>
              <w:t>* Links with Tables</w:t>
            </w:r>
            <w:r w:rsidRPr="00697D68">
              <w:rPr>
                <w:rFonts w:ascii="Calibri" w:hAnsi="Calibri" w:cs="Calibri"/>
                <w:b/>
                <w:bCs/>
                <w:sz w:val="20"/>
                <w:szCs w:val="20"/>
              </w:rPr>
              <w:t xml:space="preserve"> SRC</w:t>
            </w:r>
            <w:r w:rsidRPr="00697D68">
              <w:rPr>
                <w:rFonts w:ascii="Calibri" w:hAnsi="Calibri" w:cs="Calibri"/>
                <w:b/>
                <w:bCs/>
                <w:color w:val="000000" w:themeColor="text1"/>
                <w:sz w:val="20"/>
                <w:szCs w:val="20"/>
              </w:rPr>
              <w:t xml:space="preserve"> A, B&amp;D</w:t>
            </w:r>
          </w:p>
        </w:tc>
        <w:tc>
          <w:tcPr>
            <w:tcW w:w="4262" w:type="dxa"/>
          </w:tcPr>
          <w:p w14:paraId="69316333"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National Action Plan in continuing to advance Ireland’s One Health response to Antimicrobial Resistance</w:t>
            </w:r>
          </w:p>
        </w:tc>
        <w:tc>
          <w:tcPr>
            <w:tcW w:w="5811" w:type="dxa"/>
          </w:tcPr>
          <w:p w14:paraId="26B78D92" w14:textId="77777777" w:rsidR="00D82224" w:rsidRPr="009B561A" w:rsidRDefault="00D82224" w:rsidP="009B561A">
            <w:pPr>
              <w:spacing w:line="276" w:lineRule="auto"/>
              <w:rPr>
                <w:rFonts w:ascii="Calibri" w:hAnsi="Calibri" w:cs="Calibri"/>
                <w:noProof/>
                <w:color w:val="FF0000"/>
                <w:sz w:val="20"/>
                <w:szCs w:val="20"/>
              </w:rPr>
            </w:pPr>
            <w:r w:rsidRPr="009B561A">
              <w:rPr>
                <w:rFonts w:ascii="Calibri" w:hAnsi="Calibri" w:cs="Calibri"/>
                <w:sz w:val="20"/>
                <w:szCs w:val="20"/>
              </w:rPr>
              <w:t>iNAP2 builds on the One Health approach to the implementation of iNAP1.</w:t>
            </w:r>
          </w:p>
        </w:tc>
      </w:tr>
      <w:tr w:rsidR="00D82224" w:rsidRPr="009B561A" w14:paraId="65016A20" w14:textId="77777777" w:rsidTr="0087653A">
        <w:tc>
          <w:tcPr>
            <w:tcW w:w="433" w:type="dxa"/>
          </w:tcPr>
          <w:p w14:paraId="377FB45D"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5</w:t>
            </w:r>
          </w:p>
        </w:tc>
        <w:tc>
          <w:tcPr>
            <w:tcW w:w="3664" w:type="dxa"/>
          </w:tcPr>
          <w:p w14:paraId="393727EE" w14:textId="00492E75" w:rsidR="00D82224" w:rsidRPr="009B561A" w:rsidRDefault="00D82224" w:rsidP="009B561A">
            <w:pPr>
              <w:spacing w:line="276" w:lineRule="auto"/>
              <w:rPr>
                <w:rFonts w:ascii="Calibri" w:hAnsi="Calibri" w:cs="Calibri"/>
                <w:color w:val="000000" w:themeColor="text1"/>
                <w:sz w:val="20"/>
                <w:szCs w:val="20"/>
                <w:vertAlign w:val="superscript"/>
              </w:rPr>
            </w:pPr>
            <w:r w:rsidRPr="009B561A">
              <w:rPr>
                <w:rFonts w:ascii="Calibri" w:hAnsi="Calibri" w:cs="Calibri"/>
                <w:b/>
                <w:bCs/>
                <w:color w:val="000000" w:themeColor="text1"/>
                <w:sz w:val="20"/>
                <w:szCs w:val="20"/>
              </w:rPr>
              <w:t xml:space="preserve">Health </w:t>
            </w:r>
            <w:r w:rsidRPr="002D233A">
              <w:rPr>
                <w:rFonts w:ascii="Calibri" w:hAnsi="Calibri" w:cs="Calibri"/>
                <w:b/>
                <w:bCs/>
                <w:color w:val="000000" w:themeColor="text1"/>
                <w:sz w:val="20"/>
                <w:szCs w:val="20"/>
              </w:rPr>
              <w:t>Protection Surveillance Centre</w:t>
            </w:r>
            <w:r w:rsidRPr="002D233A">
              <w:rPr>
                <w:rFonts w:ascii="Calibri" w:hAnsi="Calibri" w:cs="Calibri"/>
                <w:color w:val="000000" w:themeColor="text1"/>
                <w:sz w:val="20"/>
                <w:szCs w:val="20"/>
              </w:rPr>
              <w:t>: Hospital Antimicrobial Point Prevalence Survey (PPS) in Ireland: 2020</w:t>
            </w:r>
            <w:r w:rsidRPr="002D233A">
              <w:rPr>
                <w:rFonts w:ascii="Calibri" w:hAnsi="Calibri" w:cs="Calibri"/>
                <w:b/>
                <w:bCs/>
                <w:color w:val="000000" w:themeColor="text1"/>
                <w:sz w:val="20"/>
                <w:szCs w:val="20"/>
              </w:rPr>
              <w:t xml:space="preserve"> </w:t>
            </w:r>
            <w:r w:rsidR="008D2F97" w:rsidRPr="002D233A">
              <w:rPr>
                <w:rFonts w:ascii="Calibri" w:hAnsi="Calibri" w:cs="Calibri"/>
                <w:b/>
                <w:bCs/>
                <w:color w:val="000000" w:themeColor="text1"/>
                <w:sz w:val="20"/>
                <w:szCs w:val="20"/>
              </w:rPr>
              <w:fldChar w:fldCharType="begin" w:fldLock="1"/>
            </w:r>
            <w:r w:rsidR="003B47FD" w:rsidRPr="002D233A">
              <w:rPr>
                <w:rFonts w:ascii="Calibri" w:hAnsi="Calibri" w:cs="Calibri"/>
                <w:b/>
                <w:bCs/>
                <w:color w:val="000000" w:themeColor="text1"/>
                <w:sz w:val="20"/>
                <w:szCs w:val="20"/>
              </w:rPr>
              <w:instrText>ADDIN CSL_CITATION {"citationItems":[{"id":"ITEM-1","itemData":{"author":[{"dropping-particle":"","family":"Breslin","given":"Rebecca","non-dropping-particle":"","parse-names":false,"suffix":""},{"dropping-particle":"","family":"Fenton","given":"Sarah","non-dropping-particle":"","parse-names":false,"suffix":""},{"dropping-particle":"","family":"Oza","given":"Ajay","non-dropping-particle":"","parse-names":false,"suffix":""},{"dropping-particle":"","family":"Burns","given":"Karen","non-dropping-particle":"","parse-names":false,"suffix":""},{"dropping-particle":"","family":"Philbin","given":"Marie","non-dropping-particle":"","parse-names":false,"suffix":""}],"id":"ITEM-1","issued":{"date-parts":[["2020"]]},"number-of-pages":"2019","title":"Annual Hospital Antimicrobial Point Prevalence Survey in Ireland : 2019","type":"report"},"uris":["http://www.mendeley.com/documents/?uuid=214c042e-d19a-412c-be41-f11f9f9cbc94"]}],"mendeley":{"formattedCitation":"(42)","plainTextFormattedCitation":"(42)","previouslyFormattedCitation":"(42)"},"properties":{"noteIndex":0},"schema":"https://github.com/citation-style-language/schema/raw/master/csl-citation.json"}</w:instrText>
            </w:r>
            <w:r w:rsidR="008D2F97" w:rsidRPr="002D233A">
              <w:rPr>
                <w:rFonts w:ascii="Calibri" w:hAnsi="Calibri" w:cs="Calibri"/>
                <w:b/>
                <w:bCs/>
                <w:color w:val="000000" w:themeColor="text1"/>
                <w:sz w:val="20"/>
                <w:szCs w:val="20"/>
              </w:rPr>
              <w:fldChar w:fldCharType="separate"/>
            </w:r>
            <w:r w:rsidR="002D233A" w:rsidRPr="002D233A">
              <w:rPr>
                <w:rFonts w:ascii="Calibri" w:hAnsi="Calibri" w:cs="Calibri"/>
                <w:color w:val="000000" w:themeColor="text1"/>
                <w:sz w:val="20"/>
                <w:szCs w:val="20"/>
              </w:rPr>
              <w:t>[</w:t>
            </w:r>
            <w:r w:rsidR="008D2F97" w:rsidRPr="002D233A">
              <w:rPr>
                <w:rFonts w:ascii="Calibri" w:hAnsi="Calibri" w:cs="Calibri"/>
                <w:bCs/>
                <w:noProof/>
                <w:color w:val="000000" w:themeColor="text1"/>
                <w:sz w:val="20"/>
                <w:szCs w:val="20"/>
              </w:rPr>
              <w:t>42</w:t>
            </w:r>
            <w:r w:rsidR="002D233A" w:rsidRPr="002D233A">
              <w:rPr>
                <w:rFonts w:ascii="Calibri" w:hAnsi="Calibri" w:cs="Calibri"/>
                <w:bCs/>
                <w:noProof/>
                <w:color w:val="000000" w:themeColor="text1"/>
                <w:sz w:val="20"/>
                <w:szCs w:val="20"/>
              </w:rPr>
              <w:t xml:space="preserve">] </w:t>
            </w:r>
            <w:r w:rsidR="008D2F97" w:rsidRPr="002D233A">
              <w:rPr>
                <w:rFonts w:ascii="Calibri" w:hAnsi="Calibri" w:cs="Calibri"/>
                <w:b/>
                <w:bCs/>
                <w:color w:val="000000" w:themeColor="text1"/>
                <w:sz w:val="20"/>
                <w:szCs w:val="20"/>
              </w:rPr>
              <w:fldChar w:fldCharType="end"/>
            </w:r>
          </w:p>
          <w:p w14:paraId="1403AEA1" w14:textId="77777777" w:rsidR="00D82224" w:rsidRPr="009B561A" w:rsidRDefault="00D82224" w:rsidP="009B561A">
            <w:pPr>
              <w:spacing w:line="276" w:lineRule="auto"/>
              <w:rPr>
                <w:rFonts w:ascii="Calibri" w:hAnsi="Calibri" w:cs="Calibri"/>
                <w:b/>
                <w:bCs/>
                <w:color w:val="000000" w:themeColor="text1"/>
                <w:sz w:val="20"/>
                <w:szCs w:val="20"/>
              </w:rPr>
            </w:pPr>
          </w:p>
          <w:p w14:paraId="6C4F0FCE" w14:textId="77777777" w:rsidR="00D82224" w:rsidRPr="009B561A" w:rsidRDefault="00D82224" w:rsidP="009B561A">
            <w:pPr>
              <w:spacing w:line="276" w:lineRule="auto"/>
              <w:rPr>
                <w:rFonts w:ascii="Calibri" w:hAnsi="Calibri" w:cs="Calibri"/>
                <w:b/>
                <w:bCs/>
                <w:color w:val="000000" w:themeColor="text1"/>
                <w:sz w:val="20"/>
                <w:szCs w:val="20"/>
              </w:rPr>
            </w:pPr>
          </w:p>
          <w:p w14:paraId="301E5051" w14:textId="77777777" w:rsidR="00D82224" w:rsidRPr="009B561A" w:rsidRDefault="00D82224" w:rsidP="009B561A">
            <w:pPr>
              <w:spacing w:line="276" w:lineRule="auto"/>
              <w:rPr>
                <w:rFonts w:ascii="Calibri" w:hAnsi="Calibri" w:cs="Calibri"/>
                <w:b/>
                <w:bCs/>
                <w:color w:val="000000" w:themeColor="text1"/>
                <w:sz w:val="20"/>
                <w:szCs w:val="20"/>
              </w:rPr>
            </w:pPr>
          </w:p>
          <w:p w14:paraId="15FBFE48" w14:textId="77777777" w:rsidR="00D82224" w:rsidRPr="009B561A" w:rsidRDefault="00D82224" w:rsidP="009B561A">
            <w:pPr>
              <w:spacing w:line="276" w:lineRule="auto"/>
              <w:rPr>
                <w:rFonts w:ascii="Calibri" w:hAnsi="Calibri" w:cs="Calibri"/>
                <w:b/>
                <w:bCs/>
                <w:color w:val="000000" w:themeColor="text1"/>
                <w:sz w:val="20"/>
                <w:szCs w:val="20"/>
              </w:rPr>
            </w:pPr>
          </w:p>
          <w:p w14:paraId="7F56D53D" w14:textId="77777777" w:rsidR="00D82224" w:rsidRPr="009B561A" w:rsidRDefault="00D82224" w:rsidP="009B561A">
            <w:pPr>
              <w:spacing w:line="276" w:lineRule="auto"/>
              <w:rPr>
                <w:rFonts w:ascii="Calibri" w:hAnsi="Calibri" w:cs="Calibri"/>
                <w:b/>
                <w:bCs/>
                <w:color w:val="000000" w:themeColor="text1"/>
                <w:sz w:val="20"/>
                <w:szCs w:val="20"/>
              </w:rPr>
            </w:pPr>
          </w:p>
          <w:p w14:paraId="413F7122" w14:textId="77777777" w:rsidR="00D82224" w:rsidRPr="009B561A" w:rsidRDefault="00D82224" w:rsidP="009B561A">
            <w:pPr>
              <w:spacing w:line="276" w:lineRule="auto"/>
              <w:rPr>
                <w:rFonts w:ascii="Calibri" w:hAnsi="Calibri" w:cs="Calibri"/>
                <w:b/>
                <w:bCs/>
                <w:color w:val="000000" w:themeColor="text1"/>
                <w:sz w:val="20"/>
                <w:szCs w:val="20"/>
              </w:rPr>
            </w:pPr>
          </w:p>
          <w:p w14:paraId="39E3F573" w14:textId="77777777" w:rsidR="00D82224" w:rsidRPr="009B561A" w:rsidRDefault="00D82224" w:rsidP="009B561A">
            <w:pPr>
              <w:spacing w:line="276" w:lineRule="auto"/>
              <w:rPr>
                <w:rFonts w:ascii="Calibri" w:hAnsi="Calibri" w:cs="Calibri"/>
                <w:b/>
                <w:bCs/>
                <w:color w:val="000000" w:themeColor="text1"/>
                <w:sz w:val="20"/>
                <w:szCs w:val="20"/>
              </w:rPr>
            </w:pPr>
          </w:p>
          <w:p w14:paraId="794C1D48" w14:textId="77777777" w:rsidR="00D82224" w:rsidRPr="009B561A" w:rsidRDefault="00D82224" w:rsidP="009B561A">
            <w:pPr>
              <w:spacing w:line="276" w:lineRule="auto"/>
              <w:rPr>
                <w:rFonts w:ascii="Calibri" w:hAnsi="Calibri" w:cs="Calibri"/>
                <w:b/>
                <w:bCs/>
                <w:color w:val="000000" w:themeColor="text1"/>
                <w:sz w:val="20"/>
                <w:szCs w:val="20"/>
              </w:rPr>
            </w:pPr>
          </w:p>
          <w:p w14:paraId="780C518F" w14:textId="77777777" w:rsidR="00D82224" w:rsidRPr="009B561A" w:rsidRDefault="00D82224" w:rsidP="009B561A">
            <w:pPr>
              <w:spacing w:line="276" w:lineRule="auto"/>
              <w:rPr>
                <w:rFonts w:ascii="Calibri" w:hAnsi="Calibri" w:cs="Calibri"/>
                <w:b/>
                <w:bCs/>
                <w:color w:val="000000" w:themeColor="text1"/>
                <w:sz w:val="20"/>
                <w:szCs w:val="20"/>
              </w:rPr>
            </w:pPr>
          </w:p>
          <w:p w14:paraId="0BA1C547" w14:textId="77777777" w:rsidR="00D82224" w:rsidRPr="009B561A" w:rsidRDefault="00D82224" w:rsidP="009B561A">
            <w:pPr>
              <w:spacing w:line="276" w:lineRule="auto"/>
              <w:rPr>
                <w:rFonts w:ascii="Calibri" w:hAnsi="Calibri" w:cs="Calibri"/>
                <w:b/>
                <w:bCs/>
                <w:color w:val="000000" w:themeColor="text1"/>
                <w:sz w:val="20"/>
                <w:szCs w:val="20"/>
              </w:rPr>
            </w:pPr>
          </w:p>
          <w:p w14:paraId="5819DEAD" w14:textId="77777777" w:rsidR="00D82224" w:rsidRPr="009B561A" w:rsidRDefault="00D82224" w:rsidP="009B561A">
            <w:pPr>
              <w:spacing w:line="276" w:lineRule="auto"/>
              <w:rPr>
                <w:rFonts w:ascii="Calibri" w:hAnsi="Calibri" w:cs="Calibri"/>
                <w:b/>
                <w:bCs/>
                <w:color w:val="000000" w:themeColor="text1"/>
                <w:sz w:val="20"/>
                <w:szCs w:val="20"/>
              </w:rPr>
            </w:pPr>
          </w:p>
          <w:p w14:paraId="7380814A" w14:textId="77777777" w:rsidR="00D82224" w:rsidRPr="009B561A" w:rsidRDefault="00D82224" w:rsidP="009B561A">
            <w:pPr>
              <w:spacing w:line="276" w:lineRule="auto"/>
              <w:rPr>
                <w:rFonts w:ascii="Calibri" w:hAnsi="Calibri" w:cs="Calibri"/>
                <w:b/>
                <w:bCs/>
                <w:color w:val="000000" w:themeColor="text1"/>
                <w:sz w:val="20"/>
                <w:szCs w:val="20"/>
              </w:rPr>
            </w:pPr>
          </w:p>
          <w:p w14:paraId="23ECEA0C" w14:textId="77777777" w:rsidR="00D82224" w:rsidRPr="009B561A" w:rsidRDefault="00D82224" w:rsidP="009B561A">
            <w:pPr>
              <w:spacing w:line="276" w:lineRule="auto"/>
              <w:rPr>
                <w:rFonts w:ascii="Calibri" w:hAnsi="Calibri" w:cs="Calibri"/>
                <w:b/>
                <w:bCs/>
                <w:color w:val="000000" w:themeColor="text1"/>
                <w:sz w:val="20"/>
                <w:szCs w:val="20"/>
              </w:rPr>
            </w:pPr>
          </w:p>
          <w:p w14:paraId="52DB9311" w14:textId="77777777" w:rsidR="00D82224" w:rsidRPr="009B561A" w:rsidRDefault="00D82224" w:rsidP="009B561A">
            <w:pPr>
              <w:spacing w:line="276" w:lineRule="auto"/>
              <w:rPr>
                <w:rFonts w:ascii="Calibri" w:hAnsi="Calibri" w:cs="Calibri"/>
                <w:b/>
                <w:bCs/>
                <w:color w:val="000000" w:themeColor="text1"/>
                <w:sz w:val="20"/>
                <w:szCs w:val="20"/>
              </w:rPr>
            </w:pPr>
          </w:p>
          <w:p w14:paraId="4CA5E2AB" w14:textId="77777777" w:rsidR="00D82224" w:rsidRPr="009B561A" w:rsidRDefault="00D82224" w:rsidP="009B561A">
            <w:pPr>
              <w:spacing w:line="276" w:lineRule="auto"/>
              <w:rPr>
                <w:rFonts w:ascii="Calibri" w:hAnsi="Calibri" w:cs="Calibri"/>
                <w:b/>
                <w:bCs/>
                <w:color w:val="000000" w:themeColor="text1"/>
                <w:sz w:val="20"/>
                <w:szCs w:val="20"/>
              </w:rPr>
            </w:pPr>
          </w:p>
          <w:p w14:paraId="12F59EC1" w14:textId="77777777" w:rsidR="00D82224" w:rsidRPr="009B561A" w:rsidRDefault="00D82224" w:rsidP="009B561A">
            <w:pPr>
              <w:spacing w:line="276" w:lineRule="auto"/>
              <w:rPr>
                <w:rFonts w:ascii="Calibri" w:hAnsi="Calibri" w:cs="Calibri"/>
                <w:b/>
                <w:bCs/>
                <w:color w:val="000000" w:themeColor="text1"/>
                <w:sz w:val="20"/>
                <w:szCs w:val="20"/>
              </w:rPr>
            </w:pPr>
          </w:p>
        </w:tc>
        <w:tc>
          <w:tcPr>
            <w:tcW w:w="4262" w:type="dxa"/>
          </w:tcPr>
          <w:p w14:paraId="73D8036A" w14:textId="77777777" w:rsidR="00D82224" w:rsidRPr="009B561A" w:rsidRDefault="00D82224" w:rsidP="009B561A">
            <w:pPr>
              <w:spacing w:line="276" w:lineRule="auto"/>
              <w:rPr>
                <w:rFonts w:ascii="Calibri" w:hAnsi="Calibri" w:cs="Calibri"/>
                <w:b/>
                <w:bCs/>
                <w:color w:val="FF0000"/>
                <w:sz w:val="20"/>
                <w:szCs w:val="20"/>
                <w:highlight w:val="cyan"/>
              </w:rPr>
            </w:pPr>
            <w:r w:rsidRPr="009B561A">
              <w:rPr>
                <w:rFonts w:ascii="Calibri" w:hAnsi="Calibri" w:cs="Calibri"/>
                <w:sz w:val="20"/>
                <w:szCs w:val="20"/>
              </w:rPr>
              <w:t>National analysis of AM PPS data collected from Irish hospitals in 2020 and comparison with prior AM PPS findings in 2019 and 2018</w:t>
            </w:r>
          </w:p>
        </w:tc>
        <w:tc>
          <w:tcPr>
            <w:tcW w:w="5811" w:type="dxa"/>
          </w:tcPr>
          <w:p w14:paraId="4107E747"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 xml:space="preserve">Antimicrobial prescribing surveillance and audit  </w:t>
            </w:r>
          </w:p>
          <w:p w14:paraId="67406CAD" w14:textId="77777777" w:rsidR="00D82224" w:rsidRPr="009B561A" w:rsidRDefault="00D82224" w:rsidP="009B561A">
            <w:pPr>
              <w:spacing w:line="276" w:lineRule="auto"/>
              <w:rPr>
                <w:rFonts w:ascii="Calibri" w:hAnsi="Calibri" w:cs="Calibri"/>
                <w:b/>
                <w:bCs/>
                <w:sz w:val="20"/>
                <w:szCs w:val="20"/>
              </w:rPr>
            </w:pPr>
          </w:p>
          <w:p w14:paraId="2D96198B"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The antimicrobial stewardship team in each hospital should have a system of regular surveillance and audit of antimicrobial use.</w:t>
            </w:r>
          </w:p>
          <w:p w14:paraId="725EA42A" w14:textId="77777777" w:rsidR="00D82224" w:rsidRPr="009B561A" w:rsidRDefault="00D82224" w:rsidP="009B561A">
            <w:pPr>
              <w:spacing w:line="276" w:lineRule="auto"/>
              <w:rPr>
                <w:rFonts w:ascii="Calibri" w:hAnsi="Calibri" w:cs="Calibri"/>
                <w:sz w:val="20"/>
                <w:szCs w:val="20"/>
              </w:rPr>
            </w:pPr>
          </w:p>
          <w:p w14:paraId="33CCC1B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AM prescriptions overall with local guidance in 2020 (85%), with an increase in compliance of restricted AM prescriptions compared with 2019, from 80 to 86% </w:t>
            </w:r>
          </w:p>
          <w:p w14:paraId="51305708"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Continued high compliance of AM prescriptions with a documented indication in 2020 (91%) </w:t>
            </w:r>
          </w:p>
          <w:p w14:paraId="4687A7AC"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 Annual improvements in proportion of prescriptions with documented stop or review date observed from 34% (2018) to 45% (2020) </w:t>
            </w:r>
          </w:p>
          <w:p w14:paraId="5D383C30"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 In PPS 2020, a revised question about appropriateness of AM duration at time of PPS was included, with 89% of prescriptions deemed appropriate. </w:t>
            </w:r>
          </w:p>
          <w:p w14:paraId="5169DAF3"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Surgical Antimicrobial Prophylaxis (SAP) &gt;24 hours duration to 28% in 2020 (from 37% in 2018)</w:t>
            </w:r>
          </w:p>
        </w:tc>
      </w:tr>
      <w:tr w:rsidR="00D82224" w:rsidRPr="009B561A" w14:paraId="078968B1" w14:textId="77777777" w:rsidTr="0087653A">
        <w:tc>
          <w:tcPr>
            <w:tcW w:w="433" w:type="dxa"/>
          </w:tcPr>
          <w:p w14:paraId="02514344"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6</w:t>
            </w:r>
          </w:p>
        </w:tc>
        <w:tc>
          <w:tcPr>
            <w:tcW w:w="3664" w:type="dxa"/>
          </w:tcPr>
          <w:p w14:paraId="47E78ED4" w14:textId="77777777" w:rsidR="00906925" w:rsidRPr="009B561A" w:rsidRDefault="00D82224" w:rsidP="009B561A">
            <w:pPr>
              <w:widowControl w:val="0"/>
              <w:autoSpaceDE w:val="0"/>
              <w:autoSpaceDN w:val="0"/>
              <w:adjustRightInd w:val="0"/>
              <w:spacing w:line="276" w:lineRule="auto"/>
              <w:ind w:left="640" w:hanging="640"/>
              <w:rPr>
                <w:rFonts w:ascii="Calibri" w:hAnsi="Calibri" w:cs="Calibri"/>
                <w:b/>
                <w:bCs/>
                <w:noProof/>
                <w:sz w:val="20"/>
                <w:szCs w:val="20"/>
              </w:rPr>
            </w:pPr>
            <w:r w:rsidRPr="009B561A">
              <w:rPr>
                <w:rFonts w:ascii="Calibri" w:hAnsi="Calibri" w:cs="Calibri"/>
                <w:b/>
                <w:bCs/>
                <w:noProof/>
                <w:sz w:val="20"/>
                <w:szCs w:val="20"/>
              </w:rPr>
              <w:t>AMRIC Oversight Group &amp;</w:t>
            </w:r>
            <w:r w:rsidR="00906925" w:rsidRPr="009B561A">
              <w:rPr>
                <w:rFonts w:ascii="Calibri" w:hAnsi="Calibri" w:cs="Calibri"/>
                <w:b/>
                <w:bCs/>
                <w:noProof/>
                <w:sz w:val="20"/>
                <w:szCs w:val="20"/>
              </w:rPr>
              <w:t xml:space="preserve"> </w:t>
            </w:r>
          </w:p>
          <w:p w14:paraId="78B60AE4" w14:textId="77777777" w:rsidR="00906925" w:rsidRPr="009B561A" w:rsidRDefault="00D82224" w:rsidP="009B561A">
            <w:pPr>
              <w:widowControl w:val="0"/>
              <w:autoSpaceDE w:val="0"/>
              <w:autoSpaceDN w:val="0"/>
              <w:adjustRightInd w:val="0"/>
              <w:spacing w:line="276" w:lineRule="auto"/>
              <w:ind w:left="640" w:hanging="640"/>
              <w:rPr>
                <w:rFonts w:ascii="Calibri" w:hAnsi="Calibri" w:cs="Calibri"/>
                <w:b/>
                <w:bCs/>
                <w:noProof/>
                <w:sz w:val="20"/>
                <w:szCs w:val="20"/>
              </w:rPr>
            </w:pPr>
            <w:r w:rsidRPr="009B561A">
              <w:rPr>
                <w:rFonts w:ascii="Calibri" w:hAnsi="Calibri" w:cs="Calibri"/>
                <w:b/>
                <w:bCs/>
                <w:noProof/>
                <w:sz w:val="20"/>
                <w:szCs w:val="20"/>
              </w:rPr>
              <w:t>Antimicrobial Stewardship Advisory</w:t>
            </w:r>
          </w:p>
          <w:p w14:paraId="2683D9BF" w14:textId="770AE9BE" w:rsidR="00D82224" w:rsidRPr="009B561A" w:rsidRDefault="00D82224" w:rsidP="009B561A">
            <w:pPr>
              <w:widowControl w:val="0"/>
              <w:autoSpaceDE w:val="0"/>
              <w:autoSpaceDN w:val="0"/>
              <w:adjustRightInd w:val="0"/>
              <w:spacing w:line="276" w:lineRule="auto"/>
              <w:ind w:left="640" w:hanging="640"/>
              <w:rPr>
                <w:rFonts w:ascii="Calibri" w:hAnsi="Calibri" w:cs="Calibri"/>
                <w:b/>
                <w:bCs/>
                <w:noProof/>
                <w:sz w:val="20"/>
                <w:szCs w:val="20"/>
              </w:rPr>
            </w:pPr>
            <w:r w:rsidRPr="009B561A">
              <w:rPr>
                <w:rFonts w:ascii="Calibri" w:hAnsi="Calibri" w:cs="Calibri"/>
                <w:b/>
                <w:bCs/>
                <w:noProof/>
                <w:sz w:val="20"/>
                <w:szCs w:val="20"/>
              </w:rPr>
              <w:t xml:space="preserve"> Group. </w:t>
            </w:r>
          </w:p>
          <w:p w14:paraId="2B454B27"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noProof/>
                <w:sz w:val="20"/>
                <w:szCs w:val="20"/>
              </w:rPr>
            </w:pPr>
            <w:r w:rsidRPr="009B561A">
              <w:rPr>
                <w:rFonts w:ascii="Calibri" w:hAnsi="Calibri" w:cs="Calibri"/>
                <w:noProof/>
                <w:sz w:val="20"/>
                <w:szCs w:val="20"/>
              </w:rPr>
              <w:t xml:space="preserve">Summary of PCRS AMRIC GP Green Red </w:t>
            </w:r>
          </w:p>
          <w:p w14:paraId="1C60D00B"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noProof/>
                <w:sz w:val="20"/>
                <w:szCs w:val="20"/>
              </w:rPr>
            </w:pPr>
            <w:r w:rsidRPr="009B561A">
              <w:rPr>
                <w:rFonts w:ascii="Calibri" w:hAnsi="Calibri" w:cs="Calibri"/>
                <w:noProof/>
                <w:sz w:val="20"/>
                <w:szCs w:val="20"/>
              </w:rPr>
              <w:t>Reports 2019/2020 for AMRIC</w:t>
            </w:r>
          </w:p>
          <w:p w14:paraId="4919E44D"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noProof/>
                <w:sz w:val="20"/>
                <w:szCs w:val="20"/>
              </w:rPr>
            </w:pPr>
            <w:r w:rsidRPr="009B561A">
              <w:rPr>
                <w:rFonts w:ascii="Calibri" w:hAnsi="Calibri" w:cs="Calibri"/>
                <w:b/>
                <w:bCs/>
                <w:noProof/>
                <w:sz w:val="20"/>
                <w:szCs w:val="20"/>
              </w:rPr>
              <w:t xml:space="preserve"> </w:t>
            </w:r>
            <w:r w:rsidRPr="009B561A">
              <w:rPr>
                <w:rFonts w:ascii="Calibri" w:hAnsi="Calibri" w:cs="Calibri"/>
                <w:noProof/>
                <w:sz w:val="20"/>
                <w:szCs w:val="20"/>
              </w:rPr>
              <w:t xml:space="preserve">Oversight Group &amp; Antimicrobial </w:t>
            </w:r>
          </w:p>
          <w:p w14:paraId="0158418E" w14:textId="0727F516"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noProof/>
                <w:sz w:val="20"/>
                <w:szCs w:val="20"/>
              </w:rPr>
              <w:t xml:space="preserve">Stewardship Advisory Group Key. Vol. 3. </w:t>
            </w:r>
            <w:r w:rsidRPr="002D233A">
              <w:rPr>
                <w:rFonts w:ascii="Calibri" w:hAnsi="Calibri" w:cs="Calibri"/>
                <w:noProof/>
                <w:sz w:val="20"/>
                <w:szCs w:val="20"/>
              </w:rPr>
              <w:t>2020.</w:t>
            </w:r>
            <w:r w:rsidRPr="002D233A">
              <w:rPr>
                <w:rFonts w:ascii="Calibri" w:hAnsi="Calibri" w:cs="Calibri"/>
                <w:noProof/>
                <w:sz w:val="20"/>
                <w:szCs w:val="20"/>
                <w:vertAlign w:val="superscript"/>
              </w:rPr>
              <w:t xml:space="preserve"> </w:t>
            </w:r>
            <w:r w:rsidR="00906925" w:rsidRPr="002D233A">
              <w:rPr>
                <w:rFonts w:ascii="Calibri" w:hAnsi="Calibri" w:cs="Calibri"/>
                <w:noProof/>
                <w:sz w:val="20"/>
                <w:szCs w:val="20"/>
                <w:vertAlign w:val="superscript"/>
              </w:rPr>
              <w:fldChar w:fldCharType="begin" w:fldLock="1"/>
            </w:r>
            <w:r w:rsidR="00D541EA" w:rsidRPr="002D233A">
              <w:rPr>
                <w:rFonts w:ascii="Calibri" w:hAnsi="Calibri" w:cs="Calibri"/>
                <w:noProof/>
                <w:sz w:val="20"/>
                <w:szCs w:val="20"/>
                <w:vertAlign w:val="superscript"/>
              </w:rPr>
              <w:instrText>ADDIN CSL_CITATION {"citationItems":[{"id":"ITEM-1","itemData":{"ISBN":"2319714519882","ISSN":"17427169","PMID":"2106","author":[{"dropping-particle":"","family":"AMRIC Oversight Group &amp; Antimicrobial Stewardship Advisory Group","given":"","non-dropping-particle":"","parse-names":false,"suffix":""}],"id":"ITEM-1","issue":"1","issued":{"date-parts":[["2020"]]},"number-of-pages":"1-8","title":"Summary of PCRS AMRIC GP Green Red Reports 2019/2020 for AMRIC Oversight Group &amp; Antimicrobial Stewardship Advisory Group Key","type":"report","volume":"3"},"uris":["http://www.mendeley.com/documents/?uuid=1f0eab4d-df78-418e-b086-1ae4d31ade71"]}],"mendeley":{"formattedCitation":"(26)","plainTextFormattedCitation":"(26)","previouslyFormattedCitation":"(26)"},"properties":{"noteIndex":0},"schema":"https://github.com/citation-style-language/schema/raw/master/csl-citation.json"}</w:instrText>
            </w:r>
            <w:r w:rsidR="00906925" w:rsidRPr="002D233A">
              <w:rPr>
                <w:rFonts w:ascii="Calibri" w:hAnsi="Calibri" w:cs="Calibri"/>
                <w:noProof/>
                <w:sz w:val="20"/>
                <w:szCs w:val="20"/>
                <w:vertAlign w:val="superscript"/>
              </w:rPr>
              <w:fldChar w:fldCharType="separate"/>
            </w:r>
            <w:r w:rsidR="002D233A" w:rsidRPr="002D233A">
              <w:rPr>
                <w:rFonts w:ascii="Calibri" w:hAnsi="Calibri" w:cs="Calibri"/>
                <w:noProof/>
                <w:sz w:val="20"/>
                <w:szCs w:val="20"/>
              </w:rPr>
              <w:t>[</w:t>
            </w:r>
            <w:r w:rsidR="00906925" w:rsidRPr="002D233A">
              <w:rPr>
                <w:rFonts w:ascii="Calibri" w:hAnsi="Calibri" w:cs="Calibri"/>
                <w:noProof/>
                <w:sz w:val="20"/>
                <w:szCs w:val="20"/>
              </w:rPr>
              <w:t>26</w:t>
            </w:r>
            <w:r w:rsidR="002D233A" w:rsidRPr="002D233A">
              <w:rPr>
                <w:rFonts w:ascii="Calibri" w:hAnsi="Calibri" w:cs="Calibri"/>
                <w:noProof/>
                <w:sz w:val="20"/>
                <w:szCs w:val="20"/>
              </w:rPr>
              <w:t>]</w:t>
            </w:r>
            <w:r w:rsidR="00906925" w:rsidRPr="002D233A">
              <w:rPr>
                <w:rFonts w:ascii="Calibri" w:hAnsi="Calibri" w:cs="Calibri"/>
                <w:noProof/>
                <w:sz w:val="20"/>
                <w:szCs w:val="20"/>
                <w:vertAlign w:val="superscript"/>
              </w:rPr>
              <w:fldChar w:fldCharType="end"/>
            </w:r>
            <w:r w:rsidR="002D233A" w:rsidRPr="009B561A">
              <w:rPr>
                <w:rFonts w:ascii="Calibri" w:hAnsi="Calibri" w:cs="Calibri"/>
                <w:b/>
                <w:bCs/>
                <w:sz w:val="20"/>
                <w:szCs w:val="20"/>
                <w:vertAlign w:val="superscript"/>
              </w:rPr>
              <w:t xml:space="preserve"> </w:t>
            </w:r>
          </w:p>
          <w:p w14:paraId="31D7A76C"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b/>
                <w:bCs/>
                <w:noProof/>
                <w:sz w:val="20"/>
                <w:szCs w:val="20"/>
                <w:vertAlign w:val="superscript"/>
              </w:rPr>
            </w:pPr>
          </w:p>
          <w:p w14:paraId="393EB4F9"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b/>
                <w:bCs/>
                <w:sz w:val="20"/>
                <w:szCs w:val="20"/>
              </w:rPr>
              <w:t>* Links with Table SRC B</w:t>
            </w:r>
          </w:p>
        </w:tc>
        <w:tc>
          <w:tcPr>
            <w:tcW w:w="4262" w:type="dxa"/>
          </w:tcPr>
          <w:p w14:paraId="35B19886" w14:textId="77777777" w:rsidR="00D82224" w:rsidRPr="009B561A" w:rsidRDefault="00D82224" w:rsidP="009B561A">
            <w:pPr>
              <w:spacing w:line="276" w:lineRule="auto"/>
              <w:rPr>
                <w:rFonts w:ascii="Calibri" w:hAnsi="Calibri" w:cs="Calibri"/>
                <w:sz w:val="20"/>
                <w:szCs w:val="20"/>
                <w:highlight w:val="yellow"/>
              </w:rPr>
            </w:pPr>
          </w:p>
        </w:tc>
        <w:tc>
          <w:tcPr>
            <w:tcW w:w="5811" w:type="dxa"/>
          </w:tcPr>
          <w:p w14:paraId="79352996"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sz w:val="20"/>
                <w:szCs w:val="20"/>
              </w:rPr>
              <w:t>Previously mentioned in Table</w:t>
            </w:r>
            <w:r w:rsidRPr="009B561A">
              <w:rPr>
                <w:rFonts w:ascii="Calibri" w:hAnsi="Calibri" w:cs="Calibri"/>
                <w:b/>
                <w:bCs/>
                <w:sz w:val="20"/>
                <w:szCs w:val="20"/>
              </w:rPr>
              <w:t xml:space="preserve"> </w:t>
            </w:r>
            <w:r w:rsidRPr="009B561A">
              <w:rPr>
                <w:rFonts w:ascii="Calibri" w:hAnsi="Calibri" w:cs="Calibri"/>
                <w:sz w:val="20"/>
                <w:szCs w:val="20"/>
              </w:rPr>
              <w:t>SRC B</w:t>
            </w:r>
          </w:p>
        </w:tc>
      </w:tr>
      <w:tr w:rsidR="00D82224" w:rsidRPr="009B561A" w14:paraId="421C3EA7" w14:textId="77777777" w:rsidTr="0087653A">
        <w:tc>
          <w:tcPr>
            <w:tcW w:w="433" w:type="dxa"/>
          </w:tcPr>
          <w:p w14:paraId="3D81F1E4"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7</w:t>
            </w:r>
          </w:p>
        </w:tc>
        <w:tc>
          <w:tcPr>
            <w:tcW w:w="3664" w:type="dxa"/>
          </w:tcPr>
          <w:p w14:paraId="3D299C62" w14:textId="39A6FB78"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color w:val="000000" w:themeColor="text1"/>
                <w:sz w:val="20"/>
                <w:szCs w:val="20"/>
              </w:rPr>
              <w:t>European Centre for Disease Prevention and Control</w:t>
            </w:r>
            <w:r w:rsidRPr="009B561A">
              <w:rPr>
                <w:rFonts w:ascii="Calibri" w:hAnsi="Calibri" w:cs="Calibri"/>
                <w:color w:val="000000" w:themeColor="text1"/>
                <w:sz w:val="20"/>
                <w:szCs w:val="20"/>
              </w:rPr>
              <w:t>. Final Joint Report in respect of a One Health Country Visit to Ireland from 07 October 2019 to 11 October 2019 to discuss policies relating to Antimicrobial Resistance. (2020</w:t>
            </w:r>
            <w:r w:rsidRPr="00A87B3E">
              <w:rPr>
                <w:rFonts w:ascii="Calibri" w:hAnsi="Calibri" w:cs="Calibri"/>
                <w:color w:val="000000" w:themeColor="text1"/>
                <w:sz w:val="20"/>
                <w:szCs w:val="20"/>
              </w:rPr>
              <w:t>)</w:t>
            </w:r>
            <w:r w:rsidRPr="00A87B3E">
              <w:rPr>
                <w:rFonts w:ascii="Calibri" w:hAnsi="Calibri" w:cs="Calibri"/>
                <w:color w:val="000000" w:themeColor="text1"/>
                <w:sz w:val="20"/>
                <w:szCs w:val="20"/>
                <w:vertAlign w:val="superscript"/>
              </w:rPr>
              <w:t xml:space="preserve"> </w:t>
            </w:r>
            <w:r w:rsidR="007477FF" w:rsidRPr="00A87B3E">
              <w:rPr>
                <w:rFonts w:ascii="Calibri" w:hAnsi="Calibri" w:cs="Calibri"/>
                <w:color w:val="000000" w:themeColor="text1"/>
                <w:sz w:val="20"/>
                <w:szCs w:val="20"/>
                <w:vertAlign w:val="superscript"/>
              </w:rPr>
              <w:fldChar w:fldCharType="begin" w:fldLock="1"/>
            </w:r>
            <w:r w:rsidR="007477FF" w:rsidRPr="00A87B3E">
              <w:rPr>
                <w:rFonts w:ascii="Calibri" w:hAnsi="Calibri" w:cs="Calibri"/>
                <w:color w:val="000000" w:themeColor="text1"/>
                <w:sz w:val="20"/>
                <w:szCs w:val="20"/>
                <w:vertAlign w:val="superscript"/>
              </w:rPr>
              <w:instrText>ADDIN CSL_CITATION {"citationItems":[{"id":"ITEM-1","itemData":{"ISSN":"2015-7561","abstract":"This report describes the outcome of a Food and Veterinary Office (FVO) audit in Botswana carried out between 13 and 20 October 2015, as part of the FVO audit programme for 2015. The objective was to evaluate the effectiveness of surveillance and regionalisation measures for foot-and-mouth (FMD) disease. Overall, the report concludes that: The shortcomings which led to the suspension of authorisation of imports from two regions have been completely solved in one of these regions, while the Competent Authorities are still working on solutions for the other one. The Competent Authorities are actively involved in continuous improvement of their operational standards. In addition to addressing satisfactorily most recommendations issued after the last FVO audit in 2013, they have introduced new systems for identification of cattle and regionalisation for FMD, which have the potential to improve the health control standards and level of guarantees for export of bovine meat to the EU. Loopholes have however been identified: if not tackled promptly, they will undermine the reliability of these systems. The assurance of the maintenance of FMD-free status without vaccination of the authorised territories relies largely on clinical surveillance. Serological surveillance, while not directly required for export of bovine meat to the EU, is in place: it does not bring the additional intended guarantee, as implementation shortcomings and laboratory quality issues prevent from concluding that seropositive results obtained are not a sign of contact with FMD (vaccine or wild) virus. Recommendations are made to the Competent Authorities of Botswana to address the shortcomings described in the report.","author":[{"dropping-particle":"","family":"EUROPEAN COMMISSION DIRECTORATE-GENERAL FOR HEALTH AND FOOD SAFETY","given":"","non-dropping-particle":"","parse-names":false,"suffix":""}],"id":"ITEM-1","issue":"October 2019","issued":{"date-parts":[["2020"]]},"title":"European Centre for Disease Prevention and Control. Final Joint Report in respect of a One Health Country Visit to Ireland from 07 October 2019 to 11 October 2019 to discuss policies relating to Antimicrobial Resistance. (2020).","type":"report"},"uris":["http://www.mendeley.com/documents/?uuid=788e2269-6361-48a2-aebf-bc8c16dca78b"]}],"mendeley":{"formattedCitation":"(11)","plainTextFormattedCitation":"(11)","previouslyFormattedCitation":"(11)"},"properties":{"noteIndex":0},"schema":"https://github.com/citation-style-language/schema/raw/master/csl-citation.json"}</w:instrText>
            </w:r>
            <w:r w:rsidR="007477FF" w:rsidRPr="00A87B3E">
              <w:rPr>
                <w:rFonts w:ascii="Calibri" w:hAnsi="Calibri" w:cs="Calibri"/>
                <w:color w:val="000000" w:themeColor="text1"/>
                <w:sz w:val="20"/>
                <w:szCs w:val="20"/>
                <w:vertAlign w:val="superscript"/>
              </w:rPr>
              <w:fldChar w:fldCharType="separate"/>
            </w:r>
            <w:r w:rsidR="00A87B3E" w:rsidRPr="00A87B3E">
              <w:rPr>
                <w:rFonts w:ascii="Calibri" w:hAnsi="Calibri" w:cs="Calibri"/>
                <w:color w:val="000000" w:themeColor="text1"/>
                <w:sz w:val="20"/>
                <w:szCs w:val="20"/>
              </w:rPr>
              <w:t>[</w:t>
            </w:r>
            <w:r w:rsidR="007477FF" w:rsidRPr="00A87B3E">
              <w:rPr>
                <w:rFonts w:ascii="Calibri" w:hAnsi="Calibri" w:cs="Calibri"/>
                <w:noProof/>
                <w:color w:val="000000" w:themeColor="text1"/>
                <w:sz w:val="20"/>
                <w:szCs w:val="20"/>
              </w:rPr>
              <w:t>11</w:t>
            </w:r>
            <w:r w:rsidR="00A87B3E" w:rsidRPr="00A87B3E">
              <w:rPr>
                <w:rFonts w:ascii="Calibri" w:hAnsi="Calibri" w:cs="Calibri"/>
                <w:noProof/>
                <w:color w:val="000000" w:themeColor="text1"/>
                <w:sz w:val="20"/>
                <w:szCs w:val="20"/>
              </w:rPr>
              <w:t>]</w:t>
            </w:r>
            <w:r w:rsidR="007477FF" w:rsidRPr="00A87B3E">
              <w:rPr>
                <w:rFonts w:ascii="Calibri" w:hAnsi="Calibri" w:cs="Calibri"/>
                <w:color w:val="000000" w:themeColor="text1"/>
                <w:sz w:val="20"/>
                <w:szCs w:val="20"/>
                <w:vertAlign w:val="superscript"/>
              </w:rPr>
              <w:fldChar w:fldCharType="end"/>
            </w:r>
          </w:p>
          <w:p w14:paraId="00612C4E" w14:textId="77777777" w:rsidR="00D82224" w:rsidRPr="009B561A" w:rsidRDefault="00D82224" w:rsidP="009B561A">
            <w:pPr>
              <w:spacing w:line="276" w:lineRule="auto"/>
              <w:rPr>
                <w:rFonts w:ascii="Calibri" w:hAnsi="Calibri" w:cs="Calibri"/>
                <w:b/>
                <w:bCs/>
                <w:color w:val="000000" w:themeColor="text1"/>
                <w:sz w:val="20"/>
                <w:szCs w:val="20"/>
              </w:rPr>
            </w:pPr>
          </w:p>
          <w:p w14:paraId="2AED5181" w14:textId="77777777" w:rsidR="00D82224" w:rsidRPr="009B561A" w:rsidRDefault="00D82224" w:rsidP="009B561A">
            <w:pPr>
              <w:widowControl w:val="0"/>
              <w:autoSpaceDE w:val="0"/>
              <w:autoSpaceDN w:val="0"/>
              <w:adjustRightInd w:val="0"/>
              <w:spacing w:line="276" w:lineRule="auto"/>
              <w:ind w:left="640" w:hanging="640"/>
              <w:rPr>
                <w:rFonts w:ascii="Calibri" w:hAnsi="Calibri" w:cs="Calibri"/>
                <w:b/>
                <w:bCs/>
                <w:noProof/>
                <w:color w:val="000000" w:themeColor="text1"/>
                <w:sz w:val="20"/>
                <w:szCs w:val="20"/>
              </w:rPr>
            </w:pPr>
            <w:r w:rsidRPr="009B561A">
              <w:rPr>
                <w:rFonts w:ascii="Calibri" w:hAnsi="Calibri" w:cs="Calibri"/>
                <w:b/>
                <w:bCs/>
                <w:color w:val="000000" w:themeColor="text1"/>
                <w:sz w:val="20"/>
                <w:szCs w:val="20"/>
              </w:rPr>
              <w:t>* Links with SRC Tables A&amp;D</w:t>
            </w:r>
          </w:p>
        </w:tc>
        <w:tc>
          <w:tcPr>
            <w:tcW w:w="4262" w:type="dxa"/>
          </w:tcPr>
          <w:p w14:paraId="6D5C78EF" w14:textId="77777777" w:rsidR="00D82224" w:rsidRPr="009B561A" w:rsidRDefault="00D82224" w:rsidP="009B561A">
            <w:pPr>
              <w:autoSpaceDE w:val="0"/>
              <w:autoSpaceDN w:val="0"/>
              <w:adjustRightInd w:val="0"/>
              <w:spacing w:line="276" w:lineRule="auto"/>
              <w:rPr>
                <w:rFonts w:ascii="Calibri" w:hAnsi="Calibri" w:cs="Calibri"/>
                <w:sz w:val="20"/>
                <w:szCs w:val="20"/>
              </w:rPr>
            </w:pPr>
            <w:r w:rsidRPr="009B561A">
              <w:rPr>
                <w:rFonts w:ascii="Calibri" w:hAnsi="Calibri" w:cs="Calibri"/>
                <w:sz w:val="20"/>
                <w:szCs w:val="20"/>
              </w:rPr>
              <w:t>The report outlines various considerations which could be helpful in reviewing and implementing a</w:t>
            </w:r>
          </w:p>
          <w:p w14:paraId="0F986476" w14:textId="77777777" w:rsidR="00D82224" w:rsidRPr="009B561A" w:rsidRDefault="00D82224" w:rsidP="009B561A">
            <w:pPr>
              <w:spacing w:line="276" w:lineRule="auto"/>
              <w:rPr>
                <w:rFonts w:ascii="Calibri" w:hAnsi="Calibri" w:cs="Calibri"/>
                <w:b/>
                <w:bCs/>
                <w:color w:val="FF0000"/>
                <w:sz w:val="20"/>
                <w:szCs w:val="20"/>
                <w:highlight w:val="cyan"/>
              </w:rPr>
            </w:pPr>
            <w:r w:rsidRPr="009B561A">
              <w:rPr>
                <w:rFonts w:ascii="Calibri" w:hAnsi="Calibri" w:cs="Calibri"/>
                <w:sz w:val="20"/>
                <w:szCs w:val="20"/>
              </w:rPr>
              <w:t>national, One Health, AMR strategy.</w:t>
            </w:r>
          </w:p>
        </w:tc>
        <w:tc>
          <w:tcPr>
            <w:tcW w:w="5811" w:type="dxa"/>
          </w:tcPr>
          <w:p w14:paraId="6452AB40"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The following statements are relevant to our review</w:t>
            </w:r>
          </w:p>
          <w:p w14:paraId="5280B2C8" w14:textId="77777777" w:rsidR="00D82224" w:rsidRPr="009B561A" w:rsidRDefault="00D82224" w:rsidP="009B561A">
            <w:pPr>
              <w:spacing w:line="276" w:lineRule="auto"/>
              <w:rPr>
                <w:rFonts w:ascii="Calibri" w:hAnsi="Calibri" w:cs="Calibri"/>
                <w:b/>
                <w:bCs/>
                <w:sz w:val="20"/>
                <w:szCs w:val="20"/>
              </w:rPr>
            </w:pPr>
          </w:p>
          <w:p w14:paraId="2E577827"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Access to high quality laboratory service</w:t>
            </w:r>
          </w:p>
          <w:p w14:paraId="6CA92D4F" w14:textId="77777777" w:rsidR="00D82224" w:rsidRPr="009B561A" w:rsidRDefault="00D82224" w:rsidP="009B561A">
            <w:pPr>
              <w:widowControl w:val="0"/>
              <w:autoSpaceDE w:val="0"/>
              <w:autoSpaceDN w:val="0"/>
              <w:adjustRightInd w:val="0"/>
              <w:spacing w:line="276" w:lineRule="auto"/>
              <w:rPr>
                <w:rFonts w:ascii="Calibri" w:hAnsi="Calibri" w:cs="Calibri"/>
                <w:b/>
                <w:bCs/>
                <w:sz w:val="20"/>
                <w:szCs w:val="20"/>
              </w:rPr>
            </w:pPr>
            <w:r w:rsidRPr="009B561A">
              <w:rPr>
                <w:rFonts w:ascii="Calibri" w:hAnsi="Calibri" w:cs="Calibri"/>
                <w:sz w:val="20"/>
                <w:szCs w:val="20"/>
              </w:rPr>
              <w:t>In 2019 ECDC noted the following in</w:t>
            </w:r>
            <w:r w:rsidRPr="009B561A">
              <w:rPr>
                <w:rFonts w:ascii="Calibri" w:hAnsi="Calibri" w:cs="Calibri"/>
                <w:b/>
                <w:bCs/>
                <w:sz w:val="20"/>
                <w:szCs w:val="20"/>
              </w:rPr>
              <w:t xml:space="preserve"> </w:t>
            </w:r>
            <w:r w:rsidRPr="009B561A">
              <w:rPr>
                <w:rFonts w:ascii="Calibri" w:hAnsi="Calibri" w:cs="Calibri"/>
                <w:sz w:val="20"/>
                <w:szCs w:val="20"/>
              </w:rPr>
              <w:t>relation to laboratories in ROI in their report.</w:t>
            </w:r>
          </w:p>
          <w:p w14:paraId="313C11EE" w14:textId="77777777" w:rsidR="00D82224" w:rsidRPr="009B561A" w:rsidRDefault="00D82224" w:rsidP="009B561A">
            <w:pPr>
              <w:widowControl w:val="0"/>
              <w:numPr>
                <w:ilvl w:val="0"/>
                <w:numId w:val="7"/>
              </w:numPr>
              <w:autoSpaceDE w:val="0"/>
              <w:autoSpaceDN w:val="0"/>
              <w:adjustRightInd w:val="0"/>
              <w:spacing w:line="276" w:lineRule="auto"/>
              <w:contextualSpacing/>
              <w:rPr>
                <w:rFonts w:ascii="Calibri" w:hAnsi="Calibri" w:cs="Calibri"/>
                <w:b/>
                <w:bCs/>
                <w:sz w:val="20"/>
                <w:szCs w:val="20"/>
              </w:rPr>
            </w:pPr>
            <w:r w:rsidRPr="009B561A">
              <w:rPr>
                <w:rFonts w:ascii="Calibri" w:hAnsi="Calibri" w:cs="Calibri"/>
                <w:sz w:val="20"/>
                <w:szCs w:val="20"/>
              </w:rPr>
              <w:t>“Laboratory accreditation is not a legal requirement in Ireland; however, a vast majority of laboratories are accredited by the Irish National Accreditation Board (INAB).</w:t>
            </w:r>
            <w:r w:rsidRPr="009B561A">
              <w:rPr>
                <w:rFonts w:ascii="Calibri" w:hAnsi="Calibri" w:cs="Calibri"/>
                <w:b/>
                <w:bCs/>
                <w:sz w:val="20"/>
                <w:szCs w:val="20"/>
              </w:rPr>
              <w:t xml:space="preserve">” </w:t>
            </w:r>
            <w:r w:rsidRPr="009B561A">
              <w:rPr>
                <w:rFonts w:ascii="Calibri" w:hAnsi="Calibri" w:cs="Calibri"/>
                <w:sz w:val="20"/>
                <w:szCs w:val="20"/>
              </w:rPr>
              <w:t>p9</w:t>
            </w:r>
          </w:p>
          <w:p w14:paraId="6888B665" w14:textId="77777777" w:rsidR="00D82224" w:rsidRPr="009B561A" w:rsidRDefault="00D82224" w:rsidP="009B561A">
            <w:pPr>
              <w:widowControl w:val="0"/>
              <w:numPr>
                <w:ilvl w:val="0"/>
                <w:numId w:val="7"/>
              </w:numPr>
              <w:autoSpaceDE w:val="0"/>
              <w:autoSpaceDN w:val="0"/>
              <w:adjustRightInd w:val="0"/>
              <w:spacing w:line="276" w:lineRule="auto"/>
              <w:contextualSpacing/>
              <w:rPr>
                <w:rFonts w:ascii="Calibri" w:hAnsi="Calibri" w:cs="Calibri"/>
                <w:sz w:val="20"/>
                <w:szCs w:val="20"/>
              </w:rPr>
            </w:pPr>
            <w:r w:rsidRPr="009B561A">
              <w:rPr>
                <w:rFonts w:ascii="Calibri" w:hAnsi="Calibri" w:cs="Calibri"/>
                <w:sz w:val="20"/>
                <w:szCs w:val="20"/>
              </w:rPr>
              <w:t>“Related to AMR, these include the National MRSA Reference Laboratory, the National CPE Reference Laboratory (NCPERL), the National Gonococcal Reference Laboratory, the National Mycobacteria Reference Laboratory and the National Meningitis and Sepsis Reference Laboratory.</w:t>
            </w:r>
            <w:r w:rsidRPr="009B561A">
              <w:rPr>
                <w:rFonts w:ascii="Calibri" w:hAnsi="Calibri" w:cs="Calibri"/>
                <w:b/>
                <w:bCs/>
                <w:sz w:val="20"/>
                <w:szCs w:val="20"/>
              </w:rPr>
              <w:t>”</w:t>
            </w:r>
            <w:r w:rsidRPr="009B561A">
              <w:rPr>
                <w:rFonts w:ascii="Calibri" w:hAnsi="Calibri" w:cs="Calibri"/>
                <w:sz w:val="20"/>
                <w:szCs w:val="20"/>
              </w:rPr>
              <w:t xml:space="preserve"> p9</w:t>
            </w:r>
          </w:p>
          <w:p w14:paraId="5FCA1FD9" w14:textId="77777777" w:rsidR="00D82224" w:rsidRPr="009B561A" w:rsidRDefault="00D82224" w:rsidP="009B561A">
            <w:pPr>
              <w:widowControl w:val="0"/>
              <w:numPr>
                <w:ilvl w:val="0"/>
                <w:numId w:val="7"/>
              </w:numPr>
              <w:autoSpaceDE w:val="0"/>
              <w:autoSpaceDN w:val="0"/>
              <w:adjustRightInd w:val="0"/>
              <w:spacing w:line="276" w:lineRule="auto"/>
              <w:contextualSpacing/>
              <w:rPr>
                <w:rFonts w:ascii="Calibri" w:hAnsi="Calibri" w:cs="Calibri"/>
                <w:b/>
                <w:bCs/>
                <w:sz w:val="20"/>
                <w:szCs w:val="20"/>
              </w:rPr>
            </w:pPr>
            <w:r w:rsidRPr="009B561A">
              <w:rPr>
                <w:rFonts w:ascii="Calibri" w:hAnsi="Calibri" w:cs="Calibri"/>
                <w:sz w:val="20"/>
                <w:szCs w:val="20"/>
              </w:rPr>
              <w:t>“The reference laboratory budgets have to be re-negotiated every year inhibiting long-term planning.” p9.</w:t>
            </w:r>
          </w:p>
          <w:p w14:paraId="6834BBE5" w14:textId="77777777" w:rsidR="00D82224" w:rsidRPr="009B561A" w:rsidRDefault="00D82224" w:rsidP="009B561A">
            <w:pPr>
              <w:widowControl w:val="0"/>
              <w:numPr>
                <w:ilvl w:val="0"/>
                <w:numId w:val="7"/>
              </w:numPr>
              <w:autoSpaceDE w:val="0"/>
              <w:autoSpaceDN w:val="0"/>
              <w:adjustRightInd w:val="0"/>
              <w:spacing w:line="276" w:lineRule="auto"/>
              <w:contextualSpacing/>
              <w:rPr>
                <w:rFonts w:ascii="Calibri" w:hAnsi="Calibri" w:cs="Calibri"/>
                <w:b/>
                <w:bCs/>
                <w:sz w:val="20"/>
                <w:szCs w:val="20"/>
              </w:rPr>
            </w:pPr>
            <w:r w:rsidRPr="009B561A">
              <w:rPr>
                <w:rFonts w:ascii="Calibri" w:hAnsi="Calibri" w:cs="Calibri"/>
                <w:sz w:val="20"/>
                <w:szCs w:val="20"/>
              </w:rPr>
              <w:t>“There are no reference laboratory services for other important healthcare-associated pathogens such as vancomycin-resistant Enterococcus spp. (VRE) and C. difficile” p9.</w:t>
            </w:r>
          </w:p>
          <w:p w14:paraId="4A1927E4"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b/>
                <w:bCs/>
                <w:sz w:val="20"/>
                <w:szCs w:val="20"/>
              </w:rPr>
              <w:t xml:space="preserve">“Hospital microbiology laboratories did not prepare a breakdown of AMR statistics for specific departments or </w:t>
            </w:r>
            <w:proofErr w:type="gramStart"/>
            <w:r w:rsidRPr="009B561A">
              <w:rPr>
                <w:rFonts w:ascii="Calibri" w:hAnsi="Calibri" w:cs="Calibri"/>
                <w:b/>
                <w:bCs/>
                <w:sz w:val="20"/>
                <w:szCs w:val="20"/>
              </w:rPr>
              <w:t>units</w:t>
            </w:r>
            <w:proofErr w:type="gramEnd"/>
            <w:r w:rsidRPr="009B561A">
              <w:rPr>
                <w:rFonts w:ascii="Calibri" w:hAnsi="Calibri" w:cs="Calibri"/>
                <w:b/>
                <w:bCs/>
                <w:sz w:val="20"/>
                <w:szCs w:val="20"/>
              </w:rPr>
              <w:t xml:space="preserve"> nor did they regularly provide AMR statistics to prescribers in their hospital” </w:t>
            </w:r>
            <w:r w:rsidRPr="009B561A">
              <w:rPr>
                <w:rFonts w:ascii="Calibri" w:hAnsi="Calibri" w:cs="Calibri"/>
                <w:sz w:val="20"/>
                <w:szCs w:val="20"/>
              </w:rPr>
              <w:t>p11</w:t>
            </w:r>
          </w:p>
        </w:tc>
      </w:tr>
      <w:tr w:rsidR="00D82224" w:rsidRPr="009B561A" w14:paraId="55BAB3CB" w14:textId="77777777" w:rsidTr="0087653A">
        <w:tc>
          <w:tcPr>
            <w:tcW w:w="433" w:type="dxa"/>
          </w:tcPr>
          <w:p w14:paraId="509C6AED"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8</w:t>
            </w:r>
          </w:p>
        </w:tc>
        <w:tc>
          <w:tcPr>
            <w:tcW w:w="3664" w:type="dxa"/>
          </w:tcPr>
          <w:p w14:paraId="1BBEF345" w14:textId="75CC3FAD"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noProof/>
                <w:sz w:val="20"/>
                <w:szCs w:val="20"/>
              </w:rPr>
              <w:t xml:space="preserve">HSE Antimicrobial Resistance and Infection Control Team (AMRIC). </w:t>
            </w:r>
            <w:r w:rsidRPr="009B561A">
              <w:rPr>
                <w:rFonts w:ascii="Calibri" w:hAnsi="Calibri" w:cs="Calibri"/>
                <w:noProof/>
                <w:sz w:val="20"/>
                <w:szCs w:val="20"/>
              </w:rPr>
              <w:t xml:space="preserve">PERFORMANCE ASSURANCE PROCESS FOR KEY PERFORMANCE INDICATORS FOR </w:t>
            </w:r>
            <w:r w:rsidRPr="00A87B3E">
              <w:rPr>
                <w:rFonts w:ascii="Calibri" w:hAnsi="Calibri" w:cs="Calibri"/>
                <w:noProof/>
                <w:sz w:val="20"/>
                <w:szCs w:val="20"/>
              </w:rPr>
              <w:lastRenderedPageBreak/>
              <w:t xml:space="preserve">HCAI AMR IN ACUTE HOSPITALS. 2018 </w:t>
            </w:r>
            <w:r w:rsidR="00B65758" w:rsidRPr="00A87B3E">
              <w:rPr>
                <w:rFonts w:ascii="Calibri" w:hAnsi="Calibri" w:cs="Calibri"/>
                <w:noProof/>
                <w:sz w:val="20"/>
                <w:szCs w:val="20"/>
              </w:rPr>
              <w:fldChar w:fldCharType="begin" w:fldLock="1"/>
            </w:r>
            <w:r w:rsidR="00B65758" w:rsidRPr="00A87B3E">
              <w:rPr>
                <w:rFonts w:ascii="Calibri" w:hAnsi="Calibri" w:cs="Calibri"/>
                <w:noProof/>
                <w:sz w:val="20"/>
                <w:szCs w:val="20"/>
              </w:rPr>
              <w:instrText>ADDIN CSL_CITATION {"citationItems":[{"id":"ITEM-1","itemData":{"id":"ITEM-1","issued":{"date-parts":[["2018"]]},"title":"HSE Antimicrobial Resistance and Infection Control Team (AMRIC). Performance Assurance Process for key Performance Indicators For HCAI AMR in Acute Hospitals. 2018","type":"report"},"uris":["http://www.mendeley.com/documents/?uuid=da444858-acb3-4d45-8606-6f72f6b1a8bf"]}],"mendeley":{"formattedCitation":"(12)","plainTextFormattedCitation":"(12)","previouslyFormattedCitation":"(12)"},"properties":{"noteIndex":0},"schema":"https://github.com/citation-style-language/schema/raw/master/csl-citation.json"}</w:instrText>
            </w:r>
            <w:r w:rsidR="00B65758" w:rsidRPr="00A87B3E">
              <w:rPr>
                <w:rFonts w:ascii="Calibri" w:hAnsi="Calibri" w:cs="Calibri"/>
                <w:noProof/>
                <w:sz w:val="20"/>
                <w:szCs w:val="20"/>
              </w:rPr>
              <w:fldChar w:fldCharType="separate"/>
            </w:r>
            <w:r w:rsidR="00A87B3E" w:rsidRPr="00A87B3E">
              <w:rPr>
                <w:rFonts w:ascii="Calibri" w:hAnsi="Calibri" w:cs="Calibri"/>
                <w:noProof/>
                <w:sz w:val="20"/>
                <w:szCs w:val="20"/>
              </w:rPr>
              <w:t>[</w:t>
            </w:r>
            <w:r w:rsidR="00B65758" w:rsidRPr="00A87B3E">
              <w:rPr>
                <w:rFonts w:ascii="Calibri" w:hAnsi="Calibri" w:cs="Calibri"/>
                <w:noProof/>
                <w:sz w:val="20"/>
                <w:szCs w:val="20"/>
              </w:rPr>
              <w:t>12</w:t>
            </w:r>
            <w:r w:rsidR="00A87B3E" w:rsidRPr="00A87B3E">
              <w:rPr>
                <w:rFonts w:ascii="Calibri" w:hAnsi="Calibri" w:cs="Calibri"/>
                <w:noProof/>
                <w:sz w:val="20"/>
                <w:szCs w:val="20"/>
              </w:rPr>
              <w:t>]</w:t>
            </w:r>
            <w:r w:rsidR="00B65758" w:rsidRPr="00A87B3E">
              <w:rPr>
                <w:rFonts w:ascii="Calibri" w:hAnsi="Calibri" w:cs="Calibri"/>
                <w:noProof/>
                <w:sz w:val="20"/>
                <w:szCs w:val="20"/>
              </w:rPr>
              <w:fldChar w:fldCharType="end"/>
            </w:r>
          </w:p>
          <w:p w14:paraId="07876A7F" w14:textId="77777777" w:rsidR="00D82224" w:rsidRPr="009B561A" w:rsidRDefault="00D82224" w:rsidP="009B561A">
            <w:pPr>
              <w:spacing w:line="276" w:lineRule="auto"/>
              <w:rPr>
                <w:rFonts w:ascii="Calibri" w:hAnsi="Calibri" w:cs="Calibri"/>
                <w:b/>
                <w:bCs/>
                <w:sz w:val="20"/>
                <w:szCs w:val="20"/>
                <w:vertAlign w:val="superscript"/>
              </w:rPr>
            </w:pPr>
          </w:p>
          <w:p w14:paraId="710D481A"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b/>
                <w:bCs/>
                <w:sz w:val="20"/>
                <w:szCs w:val="20"/>
              </w:rPr>
              <w:t>*Links with Tables SRC A, B</w:t>
            </w:r>
            <w:r w:rsidRPr="009B561A">
              <w:rPr>
                <w:rFonts w:ascii="Calibri" w:hAnsi="Calibri" w:cs="Calibri"/>
                <w:b/>
                <w:bCs/>
                <w:color w:val="000000" w:themeColor="text1"/>
                <w:sz w:val="20"/>
                <w:szCs w:val="20"/>
              </w:rPr>
              <w:t>&amp;D</w:t>
            </w:r>
          </w:p>
        </w:tc>
        <w:tc>
          <w:tcPr>
            <w:tcW w:w="4262" w:type="dxa"/>
          </w:tcPr>
          <w:p w14:paraId="2593EF9A" w14:textId="77777777" w:rsidR="00D82224" w:rsidRPr="009B561A" w:rsidRDefault="00D82224" w:rsidP="009B561A">
            <w:pPr>
              <w:spacing w:line="276" w:lineRule="auto"/>
              <w:rPr>
                <w:rFonts w:ascii="Calibri" w:hAnsi="Calibri" w:cs="Calibri"/>
                <w:sz w:val="20"/>
                <w:szCs w:val="20"/>
                <w:highlight w:val="yellow"/>
              </w:rPr>
            </w:pPr>
          </w:p>
        </w:tc>
        <w:tc>
          <w:tcPr>
            <w:tcW w:w="5811" w:type="dxa"/>
          </w:tcPr>
          <w:p w14:paraId="375BBEFD"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sz w:val="20"/>
                <w:szCs w:val="20"/>
              </w:rPr>
              <w:t>Previously mentioned in Table</w:t>
            </w:r>
            <w:r w:rsidRPr="009B561A">
              <w:rPr>
                <w:rFonts w:ascii="Calibri" w:hAnsi="Calibri" w:cs="Calibri"/>
                <w:b/>
                <w:bCs/>
                <w:sz w:val="20"/>
                <w:szCs w:val="20"/>
              </w:rPr>
              <w:t xml:space="preserve"> </w:t>
            </w:r>
            <w:r w:rsidRPr="009B561A">
              <w:rPr>
                <w:rFonts w:ascii="Calibri" w:hAnsi="Calibri" w:cs="Calibri"/>
                <w:sz w:val="20"/>
                <w:szCs w:val="20"/>
              </w:rPr>
              <w:t>SRC A, B&amp;D</w:t>
            </w:r>
          </w:p>
        </w:tc>
      </w:tr>
      <w:tr w:rsidR="00D82224" w:rsidRPr="009B561A" w14:paraId="1A20E39F" w14:textId="77777777" w:rsidTr="0087653A">
        <w:tc>
          <w:tcPr>
            <w:tcW w:w="433" w:type="dxa"/>
          </w:tcPr>
          <w:p w14:paraId="76906250"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9</w:t>
            </w:r>
          </w:p>
        </w:tc>
        <w:tc>
          <w:tcPr>
            <w:tcW w:w="3664" w:type="dxa"/>
          </w:tcPr>
          <w:p w14:paraId="1C1882A9" w14:textId="1A2B2F39" w:rsidR="00D82224" w:rsidRPr="009B561A" w:rsidRDefault="00D82224" w:rsidP="009B561A">
            <w:pPr>
              <w:spacing w:line="276" w:lineRule="auto"/>
              <w:rPr>
                <w:rFonts w:ascii="Calibri" w:hAnsi="Calibri" w:cs="Calibri"/>
                <w:b/>
                <w:bCs/>
                <w:color w:val="000000" w:themeColor="text1"/>
                <w:sz w:val="20"/>
                <w:szCs w:val="20"/>
                <w:vertAlign w:val="superscript"/>
              </w:rPr>
            </w:pPr>
            <w:r w:rsidRPr="009B561A">
              <w:rPr>
                <w:rFonts w:ascii="Calibri" w:hAnsi="Calibri" w:cs="Calibri"/>
                <w:b/>
                <w:bCs/>
                <w:noProof/>
                <w:color w:val="000000" w:themeColor="text1"/>
                <w:kern w:val="2"/>
                <w:sz w:val="20"/>
                <w:szCs w:val="20"/>
                <w14:ligatures w14:val="standardContextual"/>
              </w:rPr>
              <w:t xml:space="preserve">Health Service Executive (HSE) </w:t>
            </w:r>
            <w:r w:rsidRPr="009B561A">
              <w:rPr>
                <w:rFonts w:ascii="Calibri" w:hAnsi="Calibri" w:cs="Calibri"/>
                <w:noProof/>
                <w:color w:val="000000" w:themeColor="text1"/>
                <w:kern w:val="2"/>
                <w:sz w:val="20"/>
                <w:szCs w:val="20"/>
                <w14:ligatures w14:val="standardContextual"/>
              </w:rPr>
              <w:t xml:space="preserve">Quality Improvement Division. Recommendations for Implementation of Key Performance Indicators for Antimicrobial Stewardship in Acute Hospitals in Ireland . 2017 </w:t>
            </w:r>
            <w:r w:rsidR="00B65758" w:rsidRPr="00AA708E">
              <w:rPr>
                <w:rFonts w:ascii="Calibri" w:hAnsi="Calibri" w:cs="Calibri"/>
                <w:noProof/>
                <w:color w:val="000000" w:themeColor="text1"/>
                <w:sz w:val="20"/>
                <w:szCs w:val="20"/>
              </w:rPr>
              <w:fldChar w:fldCharType="begin" w:fldLock="1"/>
            </w:r>
            <w:r w:rsidR="00B65758" w:rsidRPr="00AA708E">
              <w:rPr>
                <w:rFonts w:ascii="Calibri" w:hAnsi="Calibri" w:cs="Calibri"/>
                <w:noProof/>
                <w:color w:val="000000" w:themeColor="text1"/>
                <w:kern w:val="2"/>
                <w:sz w:val="20"/>
                <w:szCs w:val="20"/>
                <w14:ligatures w14:val="standardContextual"/>
              </w:rPr>
              <w:instrText>ADDIN CSL_CITATION {"citationItems":[{"id":"ITEM-1","itemData":{"author":[{"dropping-particle":"","family":"Health Service Executive (HSE) Quality Improvement Division.","given":"","non-dropping-particle":"","parse-names":false,"suffix":""}],"id":"ITEM-1","issued":{"date-parts":[["2017"]]},"title":"Quality Improvement Division. Recommendations for Implementation of Key Performance Indicators for Antimicrobial Stewardship in Acute Hospitals in Ireland . 2017","type":"report"},"uris":["http://www.mendeley.com/documents/?uuid=d5f1767e-8c10-4e8f-916a-3bc4549fad27"]}],"mendeley":{"formattedCitation":"(14)","plainTextFormattedCitation":"(14)","previouslyFormattedCitation":"(14)"},"properties":{"noteIndex":0},"schema":"https://github.com/citation-style-language/schema/raw/master/csl-citation.json"}</w:instrText>
            </w:r>
            <w:r w:rsidR="00B65758" w:rsidRPr="00AA708E">
              <w:rPr>
                <w:rFonts w:ascii="Calibri" w:hAnsi="Calibri" w:cs="Calibri"/>
                <w:noProof/>
                <w:color w:val="000000" w:themeColor="text1"/>
                <w:sz w:val="20"/>
                <w:szCs w:val="20"/>
              </w:rPr>
              <w:fldChar w:fldCharType="separate"/>
            </w:r>
            <w:r w:rsidR="00A87B3E" w:rsidRPr="00AA708E">
              <w:rPr>
                <w:rFonts w:ascii="Calibri" w:hAnsi="Calibri" w:cs="Calibri"/>
                <w:noProof/>
                <w:color w:val="000000" w:themeColor="text1"/>
                <w:sz w:val="20"/>
                <w:szCs w:val="20"/>
              </w:rPr>
              <w:t>[</w:t>
            </w:r>
            <w:r w:rsidR="00B65758" w:rsidRPr="00AA708E">
              <w:rPr>
                <w:rFonts w:ascii="Calibri" w:hAnsi="Calibri" w:cs="Calibri"/>
                <w:noProof/>
                <w:color w:val="000000" w:themeColor="text1"/>
                <w:kern w:val="2"/>
                <w:sz w:val="20"/>
                <w:szCs w:val="20"/>
                <w14:ligatures w14:val="standardContextual"/>
              </w:rPr>
              <w:t>14</w:t>
            </w:r>
            <w:r w:rsidR="00A87B3E" w:rsidRPr="00AA708E">
              <w:rPr>
                <w:rFonts w:ascii="Calibri" w:hAnsi="Calibri" w:cs="Calibri"/>
                <w:noProof/>
                <w:color w:val="000000" w:themeColor="text1"/>
                <w:kern w:val="2"/>
                <w:sz w:val="20"/>
                <w:szCs w:val="20"/>
                <w14:ligatures w14:val="standardContextual"/>
              </w:rPr>
              <w:t>]</w:t>
            </w:r>
            <w:r w:rsidR="00AA708E" w:rsidRPr="00AA708E">
              <w:rPr>
                <w:rFonts w:ascii="Calibri" w:hAnsi="Calibri" w:cs="Calibri"/>
                <w:noProof/>
                <w:color w:val="000000" w:themeColor="text1"/>
                <w:kern w:val="2"/>
                <w:sz w:val="20"/>
                <w:szCs w:val="20"/>
                <w14:ligatures w14:val="standardContextual"/>
              </w:rPr>
              <w:t xml:space="preserve">  </w:t>
            </w:r>
            <w:r w:rsidR="00B65758" w:rsidRPr="00AA708E">
              <w:rPr>
                <w:rFonts w:ascii="Calibri" w:hAnsi="Calibri" w:cs="Calibri"/>
                <w:noProof/>
                <w:color w:val="000000" w:themeColor="text1"/>
                <w:sz w:val="20"/>
                <w:szCs w:val="20"/>
              </w:rPr>
              <w:fldChar w:fldCharType="end"/>
            </w:r>
          </w:p>
          <w:p w14:paraId="735960F0" w14:textId="77777777" w:rsidR="00D82224" w:rsidRPr="009B561A" w:rsidRDefault="00D82224" w:rsidP="009B561A">
            <w:pPr>
              <w:spacing w:line="276" w:lineRule="auto"/>
              <w:rPr>
                <w:rFonts w:ascii="Calibri" w:hAnsi="Calibri" w:cs="Calibri"/>
                <w:b/>
                <w:bCs/>
                <w:color w:val="000000" w:themeColor="text1"/>
                <w:sz w:val="20"/>
                <w:szCs w:val="20"/>
                <w:vertAlign w:val="superscript"/>
              </w:rPr>
            </w:pPr>
          </w:p>
          <w:p w14:paraId="46E8C555"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Links with Tables</w:t>
            </w:r>
            <w:r w:rsidRPr="009B561A">
              <w:rPr>
                <w:rFonts w:ascii="Calibri" w:hAnsi="Calibri" w:cs="Calibri"/>
                <w:b/>
                <w:bCs/>
                <w:sz w:val="20"/>
                <w:szCs w:val="20"/>
              </w:rPr>
              <w:t xml:space="preserve"> SRC</w:t>
            </w:r>
            <w:r w:rsidRPr="009B561A">
              <w:rPr>
                <w:rFonts w:ascii="Calibri" w:hAnsi="Calibri" w:cs="Calibri"/>
                <w:b/>
                <w:bCs/>
                <w:color w:val="000000" w:themeColor="text1"/>
                <w:sz w:val="20"/>
                <w:szCs w:val="20"/>
              </w:rPr>
              <w:t xml:space="preserve"> A&amp;B</w:t>
            </w:r>
          </w:p>
        </w:tc>
        <w:tc>
          <w:tcPr>
            <w:tcW w:w="4262" w:type="dxa"/>
          </w:tcPr>
          <w:p w14:paraId="6AE72851" w14:textId="77777777" w:rsidR="00D82224" w:rsidRPr="009B561A" w:rsidRDefault="00D82224" w:rsidP="009B561A">
            <w:pPr>
              <w:spacing w:line="276" w:lineRule="auto"/>
              <w:rPr>
                <w:rFonts w:ascii="Calibri" w:hAnsi="Calibri" w:cs="Calibri"/>
                <w:sz w:val="20"/>
                <w:szCs w:val="20"/>
                <w:highlight w:val="yellow"/>
              </w:rPr>
            </w:pPr>
          </w:p>
        </w:tc>
        <w:tc>
          <w:tcPr>
            <w:tcW w:w="5811" w:type="dxa"/>
          </w:tcPr>
          <w:p w14:paraId="41028E7B"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sz w:val="20"/>
                <w:szCs w:val="20"/>
              </w:rPr>
              <w:t>Previously mentioned in SRC Table</w:t>
            </w:r>
            <w:r w:rsidRPr="009B561A">
              <w:rPr>
                <w:rFonts w:ascii="Calibri" w:hAnsi="Calibri" w:cs="Calibri"/>
                <w:b/>
                <w:bCs/>
                <w:sz w:val="20"/>
                <w:szCs w:val="20"/>
              </w:rPr>
              <w:t xml:space="preserve"> </w:t>
            </w:r>
            <w:r w:rsidRPr="009B561A">
              <w:rPr>
                <w:rFonts w:ascii="Calibri" w:hAnsi="Calibri" w:cs="Calibri"/>
                <w:sz w:val="20"/>
                <w:szCs w:val="20"/>
              </w:rPr>
              <w:t xml:space="preserve">SRC A </w:t>
            </w:r>
          </w:p>
        </w:tc>
      </w:tr>
      <w:tr w:rsidR="00D82224" w:rsidRPr="009B561A" w14:paraId="0642FE0B" w14:textId="77777777" w:rsidTr="0087653A">
        <w:tc>
          <w:tcPr>
            <w:tcW w:w="433" w:type="dxa"/>
          </w:tcPr>
          <w:p w14:paraId="7AC9038E"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10</w:t>
            </w:r>
          </w:p>
        </w:tc>
        <w:tc>
          <w:tcPr>
            <w:tcW w:w="3664" w:type="dxa"/>
          </w:tcPr>
          <w:p w14:paraId="0C9A52A7" w14:textId="6B4109E7" w:rsidR="00D82224" w:rsidRPr="00AA708E" w:rsidRDefault="00D82224" w:rsidP="009B561A">
            <w:pPr>
              <w:spacing w:line="276" w:lineRule="auto"/>
              <w:rPr>
                <w:rFonts w:ascii="Calibri" w:hAnsi="Calibri" w:cs="Calibri"/>
                <w:b/>
                <w:bCs/>
                <w:color w:val="000000" w:themeColor="text1"/>
                <w:sz w:val="20"/>
                <w:szCs w:val="20"/>
                <w:vertAlign w:val="superscript"/>
              </w:rPr>
            </w:pPr>
            <w:r w:rsidRPr="00AA708E">
              <w:rPr>
                <w:rFonts w:ascii="Calibri" w:hAnsi="Calibri" w:cs="Calibri"/>
                <w:b/>
                <w:bCs/>
                <w:color w:val="000000" w:themeColor="text1"/>
                <w:sz w:val="20"/>
                <w:szCs w:val="20"/>
              </w:rPr>
              <w:t>Health Information and Quality Authority (HIQA) (2018)</w:t>
            </w:r>
            <w:r w:rsidRPr="00AA708E">
              <w:rPr>
                <w:rFonts w:ascii="Calibri" w:hAnsi="Calibri" w:cs="Calibri"/>
                <w:color w:val="000000" w:themeColor="text1"/>
                <w:sz w:val="20"/>
                <w:szCs w:val="20"/>
              </w:rPr>
              <w:t xml:space="preserve"> National Standards for infection prevention and control in community services. Dublin: HIQA. </w:t>
            </w:r>
            <w:r w:rsidR="00B65758" w:rsidRPr="00AA708E">
              <w:rPr>
                <w:rFonts w:ascii="Calibri" w:hAnsi="Calibri" w:cs="Calibri"/>
                <w:color w:val="000000" w:themeColor="text1"/>
                <w:sz w:val="20"/>
                <w:szCs w:val="20"/>
              </w:rPr>
              <w:fldChar w:fldCharType="begin" w:fldLock="1"/>
            </w:r>
            <w:r w:rsidR="00B65758" w:rsidRPr="00AA708E">
              <w:rPr>
                <w:rFonts w:ascii="Calibri" w:hAnsi="Calibri" w:cs="Calibri"/>
                <w:color w:val="000000" w:themeColor="text1"/>
                <w:sz w:val="20"/>
                <w:szCs w:val="20"/>
              </w:rPr>
              <w:instrText>ADDIN CSL_CITATION {"citationItems":[{"id":"ITEM-1","itemData":{"ISBN":"0504523163","author":[{"dropping-particle":"","family":"Health Information and Quality Authority (HIQA)","given":"","non-dropping-particle":"","parse-names":false,"suffix":""}],"id":"ITEM-1","issue":"21","issued":{"date-parts":[["2018"]]},"number-of-pages":"1-9","title":"National Standards for infection prevention and control in community services.","type":"report"},"uris":["http://www.mendeley.com/documents/?uuid=961a001c-6690-4353-a64f-694be2317465"]}],"mendeley":{"formattedCitation":"(13)","plainTextFormattedCitation":"(13)","previouslyFormattedCitation":"(13)"},"properties":{"noteIndex":0},"schema":"https://github.com/citation-style-language/schema/raw/master/csl-citation.json"}</w:instrText>
            </w:r>
            <w:r w:rsidR="00B65758" w:rsidRPr="00AA708E">
              <w:rPr>
                <w:rFonts w:ascii="Calibri" w:hAnsi="Calibri" w:cs="Calibri"/>
                <w:color w:val="000000" w:themeColor="text1"/>
                <w:sz w:val="20"/>
                <w:szCs w:val="20"/>
              </w:rPr>
              <w:fldChar w:fldCharType="separate"/>
            </w:r>
            <w:r w:rsidR="00A87B3E" w:rsidRPr="00AA708E">
              <w:rPr>
                <w:rFonts w:ascii="Calibri" w:hAnsi="Calibri" w:cs="Calibri"/>
                <w:color w:val="000000" w:themeColor="text1"/>
                <w:sz w:val="20"/>
                <w:szCs w:val="20"/>
              </w:rPr>
              <w:t>[</w:t>
            </w:r>
            <w:r w:rsidR="00B65758" w:rsidRPr="00AA708E">
              <w:rPr>
                <w:rFonts w:ascii="Calibri" w:hAnsi="Calibri" w:cs="Calibri"/>
                <w:noProof/>
                <w:color w:val="000000" w:themeColor="text1"/>
                <w:sz w:val="20"/>
                <w:szCs w:val="20"/>
              </w:rPr>
              <w:t>13</w:t>
            </w:r>
            <w:r w:rsidR="00A87B3E" w:rsidRPr="00AA708E">
              <w:rPr>
                <w:rFonts w:ascii="Calibri" w:hAnsi="Calibri" w:cs="Calibri"/>
                <w:noProof/>
                <w:color w:val="000000" w:themeColor="text1"/>
                <w:sz w:val="20"/>
                <w:szCs w:val="20"/>
              </w:rPr>
              <w:t>]</w:t>
            </w:r>
            <w:r w:rsidR="00B65758" w:rsidRPr="00AA708E">
              <w:rPr>
                <w:rFonts w:ascii="Calibri" w:hAnsi="Calibri" w:cs="Calibri"/>
                <w:color w:val="000000" w:themeColor="text1"/>
                <w:sz w:val="20"/>
                <w:szCs w:val="20"/>
              </w:rPr>
              <w:fldChar w:fldCharType="end"/>
            </w:r>
            <w:r w:rsidR="00AA708E" w:rsidRPr="00AA708E">
              <w:rPr>
                <w:rFonts w:ascii="Calibri" w:hAnsi="Calibri" w:cs="Calibri"/>
                <w:b/>
                <w:bCs/>
                <w:color w:val="000000" w:themeColor="text1"/>
                <w:sz w:val="20"/>
                <w:szCs w:val="20"/>
                <w:vertAlign w:val="superscript"/>
              </w:rPr>
              <w:t xml:space="preserve"> </w:t>
            </w:r>
          </w:p>
          <w:p w14:paraId="17619215" w14:textId="77777777" w:rsidR="00D82224" w:rsidRPr="00AA708E" w:rsidRDefault="00D82224" w:rsidP="009B561A">
            <w:pPr>
              <w:spacing w:line="276" w:lineRule="auto"/>
              <w:rPr>
                <w:rFonts w:ascii="Calibri" w:hAnsi="Calibri" w:cs="Calibri"/>
                <w:b/>
                <w:bCs/>
                <w:color w:val="000000" w:themeColor="text1"/>
                <w:sz w:val="20"/>
                <w:szCs w:val="20"/>
              </w:rPr>
            </w:pPr>
            <w:r w:rsidRPr="00AA708E">
              <w:rPr>
                <w:rFonts w:ascii="Calibri" w:hAnsi="Calibri" w:cs="Calibri"/>
                <w:b/>
                <w:bCs/>
                <w:color w:val="000000" w:themeColor="text1"/>
                <w:sz w:val="20"/>
                <w:szCs w:val="20"/>
              </w:rPr>
              <w:t xml:space="preserve">* Links with Tables </w:t>
            </w:r>
            <w:r w:rsidRPr="00AA708E">
              <w:rPr>
                <w:rFonts w:ascii="Calibri" w:hAnsi="Calibri" w:cs="Calibri"/>
                <w:b/>
                <w:bCs/>
                <w:sz w:val="20"/>
                <w:szCs w:val="20"/>
              </w:rPr>
              <w:t>SRC</w:t>
            </w:r>
            <w:r w:rsidRPr="00AA708E">
              <w:rPr>
                <w:rFonts w:ascii="Calibri" w:hAnsi="Calibri" w:cs="Calibri"/>
                <w:b/>
                <w:bCs/>
                <w:color w:val="000000" w:themeColor="text1"/>
                <w:sz w:val="20"/>
                <w:szCs w:val="20"/>
              </w:rPr>
              <w:t xml:space="preserve"> A&amp;D</w:t>
            </w:r>
          </w:p>
        </w:tc>
        <w:tc>
          <w:tcPr>
            <w:tcW w:w="4262" w:type="dxa"/>
          </w:tcPr>
          <w:p w14:paraId="152DF910" w14:textId="77777777" w:rsidR="00D82224" w:rsidRPr="009B561A" w:rsidRDefault="00D82224" w:rsidP="009B561A">
            <w:pPr>
              <w:spacing w:line="276" w:lineRule="auto"/>
              <w:rPr>
                <w:rFonts w:ascii="Calibri" w:hAnsi="Calibri" w:cs="Calibri"/>
                <w:sz w:val="20"/>
                <w:szCs w:val="20"/>
                <w:highlight w:val="yellow"/>
              </w:rPr>
            </w:pPr>
          </w:p>
        </w:tc>
        <w:tc>
          <w:tcPr>
            <w:tcW w:w="5811" w:type="dxa"/>
          </w:tcPr>
          <w:p w14:paraId="1FB88E9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Previously mentioned in Table SRC A</w:t>
            </w:r>
          </w:p>
        </w:tc>
      </w:tr>
      <w:tr w:rsidR="00D82224" w:rsidRPr="009B561A" w14:paraId="7451C50D" w14:textId="77777777" w:rsidTr="0087653A">
        <w:tc>
          <w:tcPr>
            <w:tcW w:w="433" w:type="dxa"/>
          </w:tcPr>
          <w:p w14:paraId="53188E8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11</w:t>
            </w:r>
          </w:p>
        </w:tc>
        <w:tc>
          <w:tcPr>
            <w:tcW w:w="3664" w:type="dxa"/>
          </w:tcPr>
          <w:p w14:paraId="702113DB" w14:textId="2ADD1ED1" w:rsidR="00D82224" w:rsidRPr="00AA708E" w:rsidRDefault="00D82224" w:rsidP="009B561A">
            <w:pPr>
              <w:spacing w:line="276" w:lineRule="auto"/>
              <w:rPr>
                <w:rFonts w:ascii="Calibri" w:hAnsi="Calibri" w:cs="Calibri"/>
                <w:b/>
                <w:bCs/>
                <w:sz w:val="20"/>
                <w:szCs w:val="20"/>
                <w:vertAlign w:val="superscript"/>
              </w:rPr>
            </w:pPr>
            <w:r w:rsidRPr="00AA708E">
              <w:rPr>
                <w:rFonts w:ascii="Calibri" w:hAnsi="Calibri" w:cs="Calibri"/>
                <w:b/>
                <w:bCs/>
                <w:color w:val="000000" w:themeColor="text1"/>
                <w:sz w:val="20"/>
                <w:szCs w:val="20"/>
              </w:rPr>
              <w:t>Health Protection Surveillance Centre</w:t>
            </w:r>
            <w:r w:rsidRPr="00AA708E">
              <w:rPr>
                <w:rFonts w:ascii="Calibri" w:hAnsi="Calibri" w:cs="Calibri"/>
                <w:color w:val="000000" w:themeColor="text1"/>
                <w:sz w:val="20"/>
                <w:szCs w:val="20"/>
              </w:rPr>
              <w:t xml:space="preserve">, Point Prevalence Survey of Hospital Acquired Infections &amp; Antimicrobial Use in European Acute Care Hospitals, May 2017: Intensive Care Unit Report Ireland </w:t>
            </w:r>
            <w:r w:rsidR="003B47FD" w:rsidRPr="00AA708E">
              <w:rPr>
                <w:rFonts w:ascii="Calibri" w:hAnsi="Calibri" w:cs="Calibri"/>
                <w:color w:val="000000" w:themeColor="text1"/>
                <w:sz w:val="20"/>
                <w:szCs w:val="20"/>
              </w:rPr>
              <w:fldChar w:fldCharType="begin" w:fldLock="1"/>
            </w:r>
            <w:r w:rsidR="009C4E60" w:rsidRPr="00AA708E">
              <w:rPr>
                <w:rFonts w:ascii="Calibri" w:hAnsi="Calibri" w:cs="Calibri"/>
                <w:color w:val="000000" w:themeColor="text1"/>
                <w:sz w:val="20"/>
                <w:szCs w:val="20"/>
              </w:rPr>
              <w:instrText>ADDIN CSL_CITATION {"citationItems":[{"id":"ITEM-1","itemData":{"ISSN":"13102818","abstract":"This study aimed to evaluate the metallo-beta-lactamase (MBL) production in Pseudomonas spp. and Acinetobacter baumannii using phenotypic and genotypic methods and to determine the most appropriate phenotypic method. The study included 55 Pseudomonas spp. (53 Pseudomonas aeruginosa, 1 P. fluorescens and 1 P. putida) and 33 A. baumannii isolates which were resistant to imipenem (IMP) and/or meropenem (MEM). Six phenotypic and one genotypic (real-time polymerase chain reaction [RT-PCR]) methods were used. According to the phenotypic tests, the rates of MBL-positive Pseudomonas spp. and A. baumannii were, respectively: 25.5% and 39.4% by the gradient test; 21.8% and 21.2% by the Rosco rapid CARB screen test; 9.1% and 21.2% by the modified Hodge test (MHT); 32.7% and 66.7% by the combined EDTA disk diffusion test; 56.4% and 100% by IMP + EDTA and 49.0% and 72.7% by MEM + EDTA and 9.1% and 3.0% by IMP + dipicolinic acid (DPA) for the Rosco MBL confirm test; 36.4% and 6.1% by IMP + DPA and 54.5% and 6.1% MEM + DPA for the double disk synergy test. MBL genes were detected only in three Pseudomonas spp. (blaIMP in two P. aeruginosa isolates and blaVIM in a P. fluorescens isolate). For Pseudomonas spp., the MBL positivity rate did not significantly differ between the RT-PCR and MHT and between the RT-PCR and Rosco MBL confirm test (with IMP + DPA) (p &gt; 0.10). In conclusion, the Rosco MBL confirm test (with IMP + DPA) phenotypically predicted the MBL positivity most closely to the RT-PCR method for both Pseudomonas spp. and A. baumannii isolates.","author":[{"dropping-particle":"","family":"Health Protection Surveillance Centre (HPSC)","given":"","non-dropping-particle":"","parse-names":false,"suffix":""}],"container-title":"Journal of medical microbiology","id":"ITEM-1","issue":"May 2017","issued":{"date-parts":[["2017"]]},"page":"25-27","title":"Health Protection Surveillance Centre, Point Prevalence Survey of Hospital Acquired Infections &amp; Antimicrobial Use in European Acute Care Hospitals, May 2017: Intensive Care Unit Report Ireland","type":"article-journal","volume":"32"},"uris":["http://www.mendeley.com/documents/?uuid=0aa93a32-affb-4f88-9692-fb88de7e1bdd"]}],"mendeley":{"formattedCitation":"(43)","plainTextFormattedCitation":"(43)","previouslyFormattedCitation":"(43)"},"properties":{"noteIndex":0},"schema":"https://github.com/citation-style-language/schema/raw/master/csl-citation.json"}</w:instrText>
            </w:r>
            <w:r w:rsidR="003B47FD" w:rsidRPr="00AA708E">
              <w:rPr>
                <w:rFonts w:ascii="Calibri" w:hAnsi="Calibri" w:cs="Calibri"/>
                <w:color w:val="000000" w:themeColor="text1"/>
                <w:sz w:val="20"/>
                <w:szCs w:val="20"/>
              </w:rPr>
              <w:fldChar w:fldCharType="separate"/>
            </w:r>
            <w:r w:rsidR="00A87B3E" w:rsidRPr="00AA708E">
              <w:rPr>
                <w:rFonts w:ascii="Calibri" w:hAnsi="Calibri" w:cs="Calibri"/>
                <w:color w:val="000000" w:themeColor="text1"/>
                <w:sz w:val="20"/>
                <w:szCs w:val="20"/>
              </w:rPr>
              <w:t>[</w:t>
            </w:r>
            <w:r w:rsidR="003B47FD" w:rsidRPr="00AA708E">
              <w:rPr>
                <w:rFonts w:ascii="Calibri" w:hAnsi="Calibri" w:cs="Calibri"/>
                <w:noProof/>
                <w:color w:val="000000" w:themeColor="text1"/>
                <w:sz w:val="20"/>
                <w:szCs w:val="20"/>
              </w:rPr>
              <w:t>43</w:t>
            </w:r>
            <w:r w:rsidR="00A87B3E" w:rsidRPr="00AA708E">
              <w:rPr>
                <w:rFonts w:ascii="Calibri" w:hAnsi="Calibri" w:cs="Calibri"/>
                <w:noProof/>
                <w:color w:val="000000" w:themeColor="text1"/>
                <w:sz w:val="20"/>
                <w:szCs w:val="20"/>
              </w:rPr>
              <w:t>]</w:t>
            </w:r>
            <w:r w:rsidR="003B47FD" w:rsidRPr="00AA708E">
              <w:rPr>
                <w:rFonts w:ascii="Calibri" w:hAnsi="Calibri" w:cs="Calibri"/>
                <w:color w:val="000000" w:themeColor="text1"/>
                <w:sz w:val="20"/>
                <w:szCs w:val="20"/>
              </w:rPr>
              <w:fldChar w:fldCharType="end"/>
            </w:r>
            <w:r w:rsidR="00AA708E" w:rsidRPr="00AA708E">
              <w:rPr>
                <w:rFonts w:ascii="Calibri" w:hAnsi="Calibri" w:cs="Calibri"/>
                <w:b/>
                <w:bCs/>
                <w:sz w:val="20"/>
                <w:szCs w:val="20"/>
                <w:vertAlign w:val="superscript"/>
              </w:rPr>
              <w:t xml:space="preserve"> </w:t>
            </w:r>
          </w:p>
          <w:p w14:paraId="40039C97" w14:textId="77777777" w:rsidR="00D82224" w:rsidRPr="00AA708E" w:rsidRDefault="00D82224" w:rsidP="009B561A">
            <w:pPr>
              <w:spacing w:line="276" w:lineRule="auto"/>
              <w:rPr>
                <w:rFonts w:ascii="Calibri" w:hAnsi="Calibri" w:cs="Calibri"/>
                <w:color w:val="000000" w:themeColor="text1"/>
                <w:sz w:val="20"/>
                <w:szCs w:val="20"/>
                <w:vertAlign w:val="superscript"/>
              </w:rPr>
            </w:pPr>
          </w:p>
          <w:p w14:paraId="659B1336" w14:textId="77777777" w:rsidR="00D82224" w:rsidRPr="00AA708E" w:rsidRDefault="00D82224" w:rsidP="009B561A">
            <w:pPr>
              <w:spacing w:line="276" w:lineRule="auto"/>
              <w:rPr>
                <w:rFonts w:ascii="Calibri" w:hAnsi="Calibri" w:cs="Calibri"/>
                <w:b/>
                <w:bCs/>
                <w:color w:val="000000" w:themeColor="text1"/>
                <w:sz w:val="20"/>
                <w:szCs w:val="20"/>
              </w:rPr>
            </w:pPr>
          </w:p>
        </w:tc>
        <w:tc>
          <w:tcPr>
            <w:tcW w:w="4262" w:type="dxa"/>
          </w:tcPr>
          <w:p w14:paraId="093CEDF7"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This report presents the findings of the second point prevalence survey (PPS) of hospital-acquired infections (HAI) and antimicrobial use (AMU) in adult intensive care units (ICUs) in Ireland which was performed in May 2017.</w:t>
            </w:r>
          </w:p>
        </w:tc>
        <w:tc>
          <w:tcPr>
            <w:tcW w:w="5811" w:type="dxa"/>
          </w:tcPr>
          <w:p w14:paraId="0181CD10"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10,333 patients in 60 acute hospitals were included in the PPS. Of those, 196 were ≥16 years old and admitted to 32 adult ICUs in 29 hospitals.</w:t>
            </w:r>
          </w:p>
          <w:p w14:paraId="6BA4985B"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The AMU prevalence in adult ICU patients was 70.4% versus 39.7% for the overall population. </w:t>
            </w:r>
          </w:p>
          <w:p w14:paraId="2475C815"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 There were 263 antimicrobial prescriptions, the majority of which had a documented indication (92%) and were compliant with local guidelines (84%) </w:t>
            </w:r>
          </w:p>
          <w:p w14:paraId="558997BB"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 As for the overall population, most antimicrobials prescribed in ICU were for treatment of infection (80.6%), with a higher proportion of those for treating hospital infection (45%) than the overall population (24%)</w:t>
            </w:r>
          </w:p>
          <w:p w14:paraId="1A8ED36D"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lastRenderedPageBreak/>
              <w:t xml:space="preserve"> Pneumonia was the commonest infection for which treatment antimicrobials were prescribed in ICU (39%), followed by intra-abdominal (15%) and clinical sepsis (10%)</w:t>
            </w:r>
          </w:p>
        </w:tc>
      </w:tr>
      <w:tr w:rsidR="00D82224" w:rsidRPr="009B561A" w14:paraId="750AEE9A" w14:textId="77777777" w:rsidTr="0087653A">
        <w:tc>
          <w:tcPr>
            <w:tcW w:w="433" w:type="dxa"/>
          </w:tcPr>
          <w:p w14:paraId="0001765E"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12</w:t>
            </w:r>
          </w:p>
        </w:tc>
        <w:tc>
          <w:tcPr>
            <w:tcW w:w="3664" w:type="dxa"/>
          </w:tcPr>
          <w:p w14:paraId="5326A454" w14:textId="7444F4FC" w:rsidR="00D82224" w:rsidRPr="00AA708E" w:rsidRDefault="00D82224" w:rsidP="009B561A">
            <w:pPr>
              <w:spacing w:line="276" w:lineRule="auto"/>
              <w:rPr>
                <w:rFonts w:ascii="Calibri" w:hAnsi="Calibri" w:cs="Calibri"/>
                <w:b/>
                <w:bCs/>
                <w:sz w:val="20"/>
                <w:szCs w:val="20"/>
                <w:vertAlign w:val="superscript"/>
              </w:rPr>
            </w:pPr>
            <w:r w:rsidRPr="00AA708E">
              <w:rPr>
                <w:rFonts w:ascii="Calibri" w:hAnsi="Calibri" w:cs="Calibri"/>
                <w:b/>
                <w:bCs/>
                <w:color w:val="000000" w:themeColor="text1"/>
                <w:sz w:val="20"/>
                <w:szCs w:val="20"/>
              </w:rPr>
              <w:t>Health Protection Surveillance Centre</w:t>
            </w:r>
            <w:r w:rsidRPr="00AA708E">
              <w:rPr>
                <w:rFonts w:ascii="Calibri" w:hAnsi="Calibri" w:cs="Calibri"/>
                <w:color w:val="000000" w:themeColor="text1"/>
                <w:sz w:val="20"/>
                <w:szCs w:val="20"/>
              </w:rPr>
              <w:t xml:space="preserve">, Point Prevalence Survey of Hospital Acquired Infections &amp; Antimicrobial Use in European Acute Care Hospitals, May 2017: Summary of the National Report: Ireland. </w:t>
            </w:r>
            <w:r w:rsidR="009C4E60" w:rsidRPr="00AA708E">
              <w:rPr>
                <w:rFonts w:ascii="Calibri" w:hAnsi="Calibri" w:cs="Calibri"/>
                <w:color w:val="000000" w:themeColor="text1"/>
                <w:sz w:val="20"/>
                <w:szCs w:val="20"/>
              </w:rPr>
              <w:fldChar w:fldCharType="begin" w:fldLock="1"/>
            </w:r>
            <w:r w:rsidR="009C4E60" w:rsidRPr="00AA708E">
              <w:rPr>
                <w:rFonts w:ascii="Calibri" w:hAnsi="Calibri" w:cs="Calibri"/>
                <w:color w:val="000000" w:themeColor="text1"/>
                <w:sz w:val="20"/>
                <w:szCs w:val="20"/>
              </w:rPr>
              <w:instrText>ADDIN CSL_CITATION {"citationItems":[{"id":"ITEM-1","itemData":{"id":"ITEM-1","issued":{"date-parts":[["0"]]},"title":"Health Protection Surveillance Centre, Point Prevalence Survey of Hospital Acquired Infections &amp; Antimicrobial Use in European Acute Care Hospitals, May 2017: Summary of the National Report: Ireland.","type":"report"},"uris":["http://www.mendeley.com/documents/?uuid=0055df87-a4ad-47cf-b53c-ab90ad4078bd"]}],"mendeley":{"formattedCitation":"(44)","plainTextFormattedCitation":"(44)","previouslyFormattedCitation":"(44)"},"properties":{"noteIndex":0},"schema":"https://github.com/citation-style-language/schema/raw/master/csl-citation.json"}</w:instrText>
            </w:r>
            <w:r w:rsidR="009C4E60" w:rsidRPr="00AA708E">
              <w:rPr>
                <w:rFonts w:ascii="Calibri" w:hAnsi="Calibri" w:cs="Calibri"/>
                <w:color w:val="000000" w:themeColor="text1"/>
                <w:sz w:val="20"/>
                <w:szCs w:val="20"/>
              </w:rPr>
              <w:fldChar w:fldCharType="separate"/>
            </w:r>
            <w:r w:rsidR="007E19D6" w:rsidRPr="00AA708E">
              <w:rPr>
                <w:rFonts w:ascii="Calibri" w:hAnsi="Calibri" w:cs="Calibri"/>
                <w:noProof/>
                <w:color w:val="000000" w:themeColor="text1"/>
                <w:sz w:val="20"/>
                <w:szCs w:val="20"/>
              </w:rPr>
              <w:t>[</w:t>
            </w:r>
            <w:r w:rsidR="009C4E60" w:rsidRPr="00AA708E">
              <w:rPr>
                <w:rFonts w:ascii="Calibri" w:hAnsi="Calibri" w:cs="Calibri"/>
                <w:noProof/>
                <w:color w:val="000000" w:themeColor="text1"/>
                <w:sz w:val="20"/>
                <w:szCs w:val="20"/>
              </w:rPr>
              <w:t>44</w:t>
            </w:r>
            <w:r w:rsidR="007E19D6" w:rsidRPr="00AA708E">
              <w:rPr>
                <w:rFonts w:ascii="Calibri" w:hAnsi="Calibri" w:cs="Calibri"/>
                <w:noProof/>
                <w:color w:val="000000" w:themeColor="text1"/>
                <w:sz w:val="20"/>
                <w:szCs w:val="20"/>
              </w:rPr>
              <w:t>]</w:t>
            </w:r>
            <w:r w:rsidR="009C4E60" w:rsidRPr="00AA708E">
              <w:rPr>
                <w:rFonts w:ascii="Calibri" w:hAnsi="Calibri" w:cs="Calibri"/>
                <w:color w:val="000000" w:themeColor="text1"/>
                <w:sz w:val="20"/>
                <w:szCs w:val="20"/>
              </w:rPr>
              <w:fldChar w:fldCharType="end"/>
            </w:r>
            <w:r w:rsidR="00AA708E" w:rsidRPr="00AA708E">
              <w:rPr>
                <w:rFonts w:ascii="Calibri" w:hAnsi="Calibri" w:cs="Calibri"/>
                <w:b/>
                <w:bCs/>
                <w:sz w:val="20"/>
                <w:szCs w:val="20"/>
                <w:vertAlign w:val="superscript"/>
              </w:rPr>
              <w:t xml:space="preserve"> </w:t>
            </w:r>
          </w:p>
          <w:p w14:paraId="0C7AFC7E" w14:textId="77777777" w:rsidR="00D82224" w:rsidRPr="00AA708E" w:rsidRDefault="00D82224" w:rsidP="009B561A">
            <w:pPr>
              <w:spacing w:line="276" w:lineRule="auto"/>
              <w:rPr>
                <w:rFonts w:ascii="Calibri" w:hAnsi="Calibri" w:cs="Calibri"/>
                <w:color w:val="000000" w:themeColor="text1"/>
                <w:sz w:val="20"/>
                <w:szCs w:val="20"/>
              </w:rPr>
            </w:pPr>
          </w:p>
          <w:p w14:paraId="6535242B" w14:textId="77777777" w:rsidR="00D82224" w:rsidRPr="00AA708E" w:rsidRDefault="00D82224" w:rsidP="009B561A">
            <w:pPr>
              <w:spacing w:line="276" w:lineRule="auto"/>
              <w:rPr>
                <w:rFonts w:ascii="Calibri" w:hAnsi="Calibri" w:cs="Calibri"/>
                <w:b/>
                <w:bCs/>
                <w:color w:val="000000" w:themeColor="text1"/>
                <w:sz w:val="20"/>
                <w:szCs w:val="20"/>
              </w:rPr>
            </w:pPr>
            <w:r w:rsidRPr="00AA708E">
              <w:rPr>
                <w:rFonts w:ascii="Calibri" w:hAnsi="Calibri" w:cs="Calibri"/>
                <w:color w:val="000000" w:themeColor="text1"/>
                <w:sz w:val="20"/>
                <w:szCs w:val="20"/>
              </w:rPr>
              <w:t xml:space="preserve"> </w:t>
            </w:r>
          </w:p>
        </w:tc>
        <w:tc>
          <w:tcPr>
            <w:tcW w:w="4262" w:type="dxa"/>
          </w:tcPr>
          <w:p w14:paraId="42B980E1"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This report presents the findings of the second point prevalence survey (PPS) of hospital-acquired infections (HAI) and antimicrobial use (AMU) conducted in Ireland and the European Union (EU)/European Economic Area (EEA) using a common protocol</w:t>
            </w:r>
          </w:p>
        </w:tc>
        <w:tc>
          <w:tcPr>
            <w:tcW w:w="5811" w:type="dxa"/>
          </w:tcPr>
          <w:p w14:paraId="619209DC"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In May 2017, 60 acute Irish hospitals (46 public and 14 private) participated in the voluntary European ECDC PPS of HAI and AMU. 10,333 eligible patients</w:t>
            </w:r>
          </w:p>
          <w:p w14:paraId="3A9119C2"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There were 4,105 patients who were prescribed 5,813 antimicrobials. The overall AMU prevalence was 39.7%, an increase from 34% reported in May 2012. The vast majority of AMU occurred in patients aged ≥15 years (94%) At 39.7%, Ireland’s AMU prevalence was higher than that of neighbouring UK countries (Wales 34.2% - England 37.4%) and participating EU countries overall (30.5%)</w:t>
            </w:r>
          </w:p>
          <w:p w14:paraId="6B960356"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The overall AMU prevalence, by hospital type was highest for private (45.4%) and lowest for specialist hospitals (26.5%) The AMU prevalence was highest in adult intensive care units (ICU) (70.4%) and lowest in psychiatry wards (7.8%)</w:t>
            </w:r>
          </w:p>
        </w:tc>
      </w:tr>
      <w:tr w:rsidR="00D82224" w:rsidRPr="009B561A" w14:paraId="1558ADF3" w14:textId="77777777" w:rsidTr="0087653A">
        <w:tc>
          <w:tcPr>
            <w:tcW w:w="433" w:type="dxa"/>
          </w:tcPr>
          <w:p w14:paraId="3F708D98"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13</w:t>
            </w:r>
          </w:p>
        </w:tc>
        <w:tc>
          <w:tcPr>
            <w:tcW w:w="3664" w:type="dxa"/>
          </w:tcPr>
          <w:p w14:paraId="5BF4DF9A" w14:textId="1B362D54" w:rsidR="00D82224" w:rsidRPr="00AA708E" w:rsidRDefault="00D82224" w:rsidP="009B561A">
            <w:pPr>
              <w:spacing w:line="276" w:lineRule="auto"/>
              <w:rPr>
                <w:rFonts w:ascii="Calibri" w:hAnsi="Calibri" w:cs="Calibri"/>
                <w:b/>
                <w:bCs/>
                <w:sz w:val="20"/>
                <w:szCs w:val="20"/>
                <w:vertAlign w:val="superscript"/>
              </w:rPr>
            </w:pPr>
            <w:r w:rsidRPr="00AA708E">
              <w:rPr>
                <w:rFonts w:ascii="Calibri" w:hAnsi="Calibri" w:cs="Calibri"/>
                <w:b/>
                <w:bCs/>
                <w:color w:val="000000" w:themeColor="text1"/>
                <w:sz w:val="20"/>
                <w:szCs w:val="20"/>
              </w:rPr>
              <w:t>Point Prevalence Survey of Healthcare-Associated Infections &amp; Antimicrobial Use in Long-Term Care Facilities (HALT):</w:t>
            </w:r>
            <w:r w:rsidRPr="00AA708E">
              <w:rPr>
                <w:rFonts w:ascii="Calibri" w:hAnsi="Calibri" w:cs="Calibri"/>
                <w:color w:val="000000" w:themeColor="text1"/>
                <w:sz w:val="20"/>
                <w:szCs w:val="20"/>
              </w:rPr>
              <w:t xml:space="preserve"> May 2016 IRELAND: NATIONAL REPORT – MARCH 2017</w:t>
            </w:r>
            <w:r w:rsidRPr="00AA708E">
              <w:rPr>
                <w:rFonts w:ascii="Calibri" w:hAnsi="Calibri" w:cs="Calibri"/>
                <w:b/>
                <w:bCs/>
                <w:sz w:val="20"/>
                <w:szCs w:val="20"/>
              </w:rPr>
              <w:t xml:space="preserve"> </w:t>
            </w:r>
            <w:r w:rsidR="009C4E60" w:rsidRPr="00AA708E">
              <w:rPr>
                <w:rFonts w:ascii="Calibri" w:hAnsi="Calibri" w:cs="Calibri"/>
                <w:b/>
                <w:bCs/>
                <w:sz w:val="20"/>
                <w:szCs w:val="20"/>
              </w:rPr>
              <w:fldChar w:fldCharType="begin" w:fldLock="1"/>
            </w:r>
            <w:r w:rsidR="009C4E60" w:rsidRPr="00AA708E">
              <w:rPr>
                <w:rFonts w:ascii="Calibri" w:hAnsi="Calibri" w:cs="Calibri"/>
                <w:b/>
                <w:bCs/>
                <w:sz w:val="20"/>
                <w:szCs w:val="20"/>
              </w:rPr>
              <w:instrText>ADDIN CSL_CITATION {"citationItems":[{"id":"ITEM-1","itemData":{"id":"ITEM-1","issued":{"date-parts":[["0"]]},"title":"Health Protection Surveillance Centre, Point Prevalence Survey of Healthcare-Associated Infections &amp; Antimicobial use in Long-Term Care Facilities: May 2016 – Ireland National Report: March 2017 HALT","type":"report"},"uris":["http://www.mendeley.com/documents/?uuid=0bfce921-444c-4b2a-9d9e-eee94c846c07"]}],"mendeley":{"formattedCitation":"(45)","plainTextFormattedCitation":"(45)","previouslyFormattedCitation":"(45)"},"properties":{"noteIndex":0},"schema":"https://github.com/citation-style-language/schema/raw/master/csl-citation.json"}</w:instrText>
            </w:r>
            <w:r w:rsidR="009C4E60" w:rsidRPr="00AA708E">
              <w:rPr>
                <w:rFonts w:ascii="Calibri" w:hAnsi="Calibri" w:cs="Calibri"/>
                <w:b/>
                <w:bCs/>
                <w:sz w:val="20"/>
                <w:szCs w:val="20"/>
              </w:rPr>
              <w:fldChar w:fldCharType="separate"/>
            </w:r>
            <w:r w:rsidR="007E19D6" w:rsidRPr="00AA708E">
              <w:rPr>
                <w:rFonts w:ascii="Calibri" w:hAnsi="Calibri" w:cs="Calibri"/>
                <w:bCs/>
                <w:noProof/>
                <w:sz w:val="20"/>
                <w:szCs w:val="20"/>
              </w:rPr>
              <w:t>[</w:t>
            </w:r>
            <w:r w:rsidR="009C4E60" w:rsidRPr="00AA708E">
              <w:rPr>
                <w:rFonts w:ascii="Calibri" w:hAnsi="Calibri" w:cs="Calibri"/>
                <w:bCs/>
                <w:noProof/>
                <w:sz w:val="20"/>
                <w:szCs w:val="20"/>
              </w:rPr>
              <w:t>45</w:t>
            </w:r>
            <w:r w:rsidR="007E19D6" w:rsidRPr="00AA708E">
              <w:rPr>
                <w:rFonts w:ascii="Calibri" w:hAnsi="Calibri" w:cs="Calibri"/>
                <w:bCs/>
                <w:noProof/>
                <w:sz w:val="20"/>
                <w:szCs w:val="20"/>
              </w:rPr>
              <w:t>]</w:t>
            </w:r>
            <w:r w:rsidR="009C4E60" w:rsidRPr="00AA708E">
              <w:rPr>
                <w:rFonts w:ascii="Calibri" w:hAnsi="Calibri" w:cs="Calibri"/>
                <w:b/>
                <w:bCs/>
                <w:sz w:val="20"/>
                <w:szCs w:val="20"/>
              </w:rPr>
              <w:fldChar w:fldCharType="end"/>
            </w:r>
            <w:r w:rsidR="00AA708E" w:rsidRPr="00AA708E">
              <w:rPr>
                <w:rFonts w:ascii="Calibri" w:hAnsi="Calibri" w:cs="Calibri"/>
                <w:b/>
                <w:bCs/>
                <w:sz w:val="20"/>
                <w:szCs w:val="20"/>
                <w:vertAlign w:val="superscript"/>
              </w:rPr>
              <w:t xml:space="preserve"> </w:t>
            </w:r>
          </w:p>
          <w:p w14:paraId="5C32F98D" w14:textId="77777777" w:rsidR="00D82224" w:rsidRPr="00AA708E" w:rsidRDefault="00D82224" w:rsidP="009B561A">
            <w:pPr>
              <w:spacing w:line="276" w:lineRule="auto"/>
              <w:rPr>
                <w:rFonts w:ascii="Calibri" w:hAnsi="Calibri" w:cs="Calibri"/>
                <w:color w:val="000000" w:themeColor="text1"/>
                <w:sz w:val="20"/>
                <w:szCs w:val="20"/>
                <w:vertAlign w:val="superscript"/>
              </w:rPr>
            </w:pPr>
          </w:p>
          <w:p w14:paraId="2A9C7190" w14:textId="77777777" w:rsidR="00D82224" w:rsidRPr="00AA708E" w:rsidRDefault="00D82224" w:rsidP="009B561A">
            <w:pPr>
              <w:spacing w:line="276" w:lineRule="auto"/>
              <w:rPr>
                <w:rFonts w:ascii="Calibri" w:hAnsi="Calibri" w:cs="Calibri"/>
                <w:b/>
                <w:bCs/>
                <w:color w:val="000000" w:themeColor="text1"/>
                <w:sz w:val="20"/>
                <w:szCs w:val="20"/>
              </w:rPr>
            </w:pPr>
          </w:p>
        </w:tc>
        <w:tc>
          <w:tcPr>
            <w:tcW w:w="4262" w:type="dxa"/>
          </w:tcPr>
          <w:p w14:paraId="4EBD64E6"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A European point prevalence survey (PPS) of healthcare-associated infections (HCAI) and antimicrobial use in LTCF. The survey is also known as the HALT survey.</w:t>
            </w:r>
          </w:p>
        </w:tc>
        <w:tc>
          <w:tcPr>
            <w:tcW w:w="5811" w:type="dxa"/>
          </w:tcPr>
          <w:p w14:paraId="52D49F40"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10,000 residents across 224 LTCFs</w:t>
            </w:r>
          </w:p>
          <w:p w14:paraId="41EE2FF8" w14:textId="77777777" w:rsidR="00D82224" w:rsidRPr="009B561A" w:rsidRDefault="00D82224" w:rsidP="009B561A">
            <w:pPr>
              <w:spacing w:line="276" w:lineRule="auto"/>
              <w:rPr>
                <w:rFonts w:ascii="Calibri" w:hAnsi="Calibri" w:cs="Calibri"/>
                <w:color w:val="FF0000"/>
                <w:sz w:val="20"/>
                <w:szCs w:val="20"/>
              </w:rPr>
            </w:pPr>
          </w:p>
          <w:p w14:paraId="69B30F23"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Most antimicrobials were prescribed within the LTCF (83%), overall, 59% of antimicrobials were prescribed to treat infection. However, antimicrobial prophylaxis (prescription of antibiotics to prevent infection) accounted for most prescriptions in intellectually disabled LTCF (54%). Most antibiotic prophylaxis was prescribed to prevent Urinary Tract Infection</w:t>
            </w:r>
            <w:r w:rsidRPr="009B561A">
              <w:rPr>
                <w:rFonts w:ascii="Calibri" w:hAnsi="Calibri" w:cs="Calibri"/>
                <w:color w:val="FF0000"/>
                <w:sz w:val="20"/>
                <w:szCs w:val="20"/>
              </w:rPr>
              <w:t>.</w:t>
            </w:r>
          </w:p>
        </w:tc>
      </w:tr>
      <w:tr w:rsidR="00D82224" w:rsidRPr="009B561A" w14:paraId="75685DEE" w14:textId="77777777" w:rsidTr="0087653A">
        <w:tc>
          <w:tcPr>
            <w:tcW w:w="433" w:type="dxa"/>
          </w:tcPr>
          <w:p w14:paraId="0615FCE7"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14</w:t>
            </w:r>
          </w:p>
        </w:tc>
        <w:tc>
          <w:tcPr>
            <w:tcW w:w="3664" w:type="dxa"/>
          </w:tcPr>
          <w:p w14:paraId="1493D12F" w14:textId="6E6AA3E0" w:rsidR="00D82224" w:rsidRPr="009B561A" w:rsidRDefault="00D82224" w:rsidP="009B561A">
            <w:pPr>
              <w:spacing w:line="276" w:lineRule="auto"/>
              <w:rPr>
                <w:rFonts w:ascii="Calibri" w:hAnsi="Calibri" w:cs="Calibri"/>
                <w:b/>
                <w:bCs/>
                <w:color w:val="000000" w:themeColor="text1"/>
                <w:sz w:val="20"/>
                <w:szCs w:val="20"/>
                <w:vertAlign w:val="superscript"/>
              </w:rPr>
            </w:pPr>
            <w:r w:rsidRPr="009B561A">
              <w:rPr>
                <w:rFonts w:ascii="Calibri" w:hAnsi="Calibri" w:cs="Calibri"/>
                <w:b/>
                <w:bCs/>
                <w:color w:val="000000" w:themeColor="text1"/>
                <w:sz w:val="20"/>
                <w:szCs w:val="20"/>
              </w:rPr>
              <w:t>Department of Health (2017).</w:t>
            </w:r>
            <w:r w:rsidRPr="009B561A">
              <w:rPr>
                <w:rFonts w:ascii="Calibri" w:hAnsi="Calibri" w:cs="Calibri"/>
                <w:color w:val="000000" w:themeColor="text1"/>
                <w:sz w:val="20"/>
                <w:szCs w:val="20"/>
              </w:rPr>
              <w:t xml:space="preserve"> Ireland’s National Action Plan </w:t>
            </w:r>
            <w:r w:rsidRPr="00AA708E">
              <w:rPr>
                <w:rFonts w:ascii="Calibri" w:hAnsi="Calibri" w:cs="Calibri"/>
                <w:color w:val="000000" w:themeColor="text1"/>
                <w:sz w:val="20"/>
                <w:szCs w:val="20"/>
              </w:rPr>
              <w:t>on Antimicrobial Resistance 2017-2020. (</w:t>
            </w:r>
            <w:proofErr w:type="spellStart"/>
            <w:r w:rsidRPr="00AA708E">
              <w:rPr>
                <w:rFonts w:ascii="Calibri" w:hAnsi="Calibri" w:cs="Calibri"/>
                <w:color w:val="000000" w:themeColor="text1"/>
                <w:sz w:val="20"/>
                <w:szCs w:val="20"/>
              </w:rPr>
              <w:t>iNAP</w:t>
            </w:r>
            <w:proofErr w:type="spellEnd"/>
            <w:r w:rsidRPr="00AA708E">
              <w:rPr>
                <w:rFonts w:ascii="Calibri" w:hAnsi="Calibri" w:cs="Calibri"/>
                <w:color w:val="000000" w:themeColor="text1"/>
                <w:sz w:val="20"/>
                <w:szCs w:val="20"/>
              </w:rPr>
              <w:t>)</w:t>
            </w:r>
            <w:r w:rsidRPr="00AA708E">
              <w:rPr>
                <w:rFonts w:ascii="Calibri" w:hAnsi="Calibri" w:cs="Calibri"/>
                <w:color w:val="000000" w:themeColor="text1"/>
                <w:sz w:val="20"/>
                <w:szCs w:val="20"/>
                <w:vertAlign w:val="superscript"/>
              </w:rPr>
              <w:t xml:space="preserve"> </w:t>
            </w:r>
            <w:r w:rsidR="00B65758" w:rsidRPr="00AA708E">
              <w:rPr>
                <w:rFonts w:ascii="Calibri" w:hAnsi="Calibri" w:cs="Calibri"/>
                <w:color w:val="000000" w:themeColor="text1"/>
                <w:sz w:val="20"/>
                <w:szCs w:val="20"/>
                <w:vertAlign w:val="superscript"/>
              </w:rPr>
              <w:fldChar w:fldCharType="begin" w:fldLock="1"/>
            </w:r>
            <w:r w:rsidR="00C94EC7" w:rsidRPr="00AA708E">
              <w:rPr>
                <w:rFonts w:ascii="Calibri" w:hAnsi="Calibri" w:cs="Calibri"/>
                <w:color w:val="000000" w:themeColor="text1"/>
                <w:sz w:val="20"/>
                <w:szCs w:val="20"/>
                <w:vertAlign w:val="superscript"/>
              </w:rPr>
              <w:instrText>ADDIN CSL_CITATION {"citationItems":[{"id":"ITEM-1","itemData":{"id":"ITEM-1","issued":{"date-parts":[["2017"]]},"title":"Department of Health (2017). Ireland’s National Action Plan on Antimicrobial Resistance 2017-2020. (iNAP) Available at http://health.gov.ie/national-patient-safety-office/patient-safety-surveillance/antimicrobialresistance- amr/","type":"report"},"uris":["http://www.mendeley.com/documents/?uuid=ad52018e-cc34-45c4-9921-5eb07a628f95"]}],"mendeley":{"formattedCitation":"(15)","plainTextFormattedCitation":"(15)","previouslyFormattedCitation":"(15)"},"properties":{"noteIndex":0},"schema":"https://github.com/citation-style-language/schema/raw/master/csl-citation.json"}</w:instrText>
            </w:r>
            <w:r w:rsidR="00B65758" w:rsidRPr="00AA708E">
              <w:rPr>
                <w:rFonts w:ascii="Calibri" w:hAnsi="Calibri" w:cs="Calibri"/>
                <w:color w:val="000000" w:themeColor="text1"/>
                <w:sz w:val="20"/>
                <w:szCs w:val="20"/>
                <w:vertAlign w:val="superscript"/>
              </w:rPr>
              <w:fldChar w:fldCharType="separate"/>
            </w:r>
            <w:r w:rsidR="007E19D6" w:rsidRPr="00AA708E">
              <w:rPr>
                <w:rFonts w:ascii="Calibri" w:hAnsi="Calibri" w:cs="Calibri"/>
                <w:noProof/>
                <w:color w:val="000000" w:themeColor="text1"/>
                <w:sz w:val="20"/>
                <w:szCs w:val="20"/>
              </w:rPr>
              <w:t>[</w:t>
            </w:r>
            <w:r w:rsidR="00B65758" w:rsidRPr="00AA708E">
              <w:rPr>
                <w:rFonts w:ascii="Calibri" w:hAnsi="Calibri" w:cs="Calibri"/>
                <w:noProof/>
                <w:color w:val="000000" w:themeColor="text1"/>
                <w:sz w:val="20"/>
                <w:szCs w:val="20"/>
              </w:rPr>
              <w:t>15</w:t>
            </w:r>
            <w:r w:rsidR="007E19D6" w:rsidRPr="00AA708E">
              <w:rPr>
                <w:rFonts w:ascii="Calibri" w:hAnsi="Calibri" w:cs="Calibri"/>
                <w:noProof/>
                <w:color w:val="000000" w:themeColor="text1"/>
                <w:sz w:val="20"/>
                <w:szCs w:val="20"/>
              </w:rPr>
              <w:t>]</w:t>
            </w:r>
            <w:r w:rsidR="00B65758" w:rsidRPr="00AA708E">
              <w:rPr>
                <w:rFonts w:ascii="Calibri" w:hAnsi="Calibri" w:cs="Calibri"/>
                <w:color w:val="000000" w:themeColor="text1"/>
                <w:sz w:val="20"/>
                <w:szCs w:val="20"/>
                <w:vertAlign w:val="superscript"/>
              </w:rPr>
              <w:fldChar w:fldCharType="end"/>
            </w:r>
            <w:r w:rsidR="00AA708E" w:rsidRPr="009B561A">
              <w:rPr>
                <w:rFonts w:ascii="Calibri" w:hAnsi="Calibri" w:cs="Calibri"/>
                <w:b/>
                <w:bCs/>
                <w:color w:val="000000" w:themeColor="text1"/>
                <w:sz w:val="20"/>
                <w:szCs w:val="20"/>
                <w:vertAlign w:val="superscript"/>
              </w:rPr>
              <w:t xml:space="preserve"> </w:t>
            </w:r>
          </w:p>
          <w:p w14:paraId="05CCB272" w14:textId="77777777" w:rsidR="00D82224" w:rsidRPr="009B561A" w:rsidRDefault="00D82224" w:rsidP="009B561A">
            <w:pPr>
              <w:spacing w:line="276" w:lineRule="auto"/>
              <w:rPr>
                <w:rFonts w:ascii="Calibri" w:hAnsi="Calibri" w:cs="Calibri"/>
                <w:color w:val="000000" w:themeColor="text1"/>
                <w:sz w:val="20"/>
                <w:szCs w:val="20"/>
                <w:vertAlign w:val="superscript"/>
              </w:rPr>
            </w:pPr>
          </w:p>
          <w:p w14:paraId="18E68600"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 Links with Tables</w:t>
            </w:r>
            <w:r w:rsidRPr="009B561A">
              <w:rPr>
                <w:rFonts w:ascii="Calibri" w:hAnsi="Calibri" w:cs="Calibri"/>
                <w:b/>
                <w:bCs/>
                <w:sz w:val="20"/>
                <w:szCs w:val="20"/>
              </w:rPr>
              <w:t xml:space="preserve"> SRC</w:t>
            </w:r>
            <w:r w:rsidRPr="009B561A">
              <w:rPr>
                <w:rFonts w:ascii="Calibri" w:hAnsi="Calibri" w:cs="Calibri"/>
                <w:b/>
                <w:bCs/>
                <w:color w:val="000000" w:themeColor="text1"/>
                <w:sz w:val="20"/>
                <w:szCs w:val="20"/>
              </w:rPr>
              <w:t xml:space="preserve"> A&amp;B</w:t>
            </w:r>
          </w:p>
        </w:tc>
        <w:tc>
          <w:tcPr>
            <w:tcW w:w="4262" w:type="dxa"/>
          </w:tcPr>
          <w:p w14:paraId="5EAF6585"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Ireland’s first ‘One Health’ National Action Plan on Antimicrobial Resistance 2017-2020 (</w:t>
            </w:r>
            <w:proofErr w:type="spellStart"/>
            <w:r w:rsidRPr="009B561A">
              <w:rPr>
                <w:rFonts w:ascii="Calibri" w:hAnsi="Calibri" w:cs="Calibri"/>
                <w:sz w:val="20"/>
                <w:szCs w:val="20"/>
              </w:rPr>
              <w:t>iNAP</w:t>
            </w:r>
            <w:proofErr w:type="spellEnd"/>
            <w:r w:rsidRPr="009B561A">
              <w:rPr>
                <w:rFonts w:ascii="Calibri" w:hAnsi="Calibri" w:cs="Calibri"/>
                <w:sz w:val="20"/>
                <w:szCs w:val="20"/>
              </w:rPr>
              <w:t>) aimed at tackling the serious and increasing threat posed by antimicrobial resistance (AMR).</w:t>
            </w:r>
          </w:p>
        </w:tc>
        <w:tc>
          <w:tcPr>
            <w:tcW w:w="5811" w:type="dxa"/>
          </w:tcPr>
          <w:p w14:paraId="09D69003" w14:textId="77777777" w:rsidR="00D82224" w:rsidRPr="009B561A" w:rsidRDefault="00D82224" w:rsidP="009B561A">
            <w:pPr>
              <w:spacing w:line="276" w:lineRule="auto"/>
              <w:rPr>
                <w:rFonts w:ascii="Calibri" w:hAnsi="Calibri" w:cs="Calibri"/>
                <w:sz w:val="20"/>
                <w:szCs w:val="20"/>
                <w:vertAlign w:val="superscript"/>
              </w:rPr>
            </w:pPr>
            <w:r w:rsidRPr="009B561A">
              <w:rPr>
                <w:rFonts w:ascii="Calibri" w:hAnsi="Calibri" w:cs="Calibri"/>
                <w:sz w:val="20"/>
                <w:szCs w:val="20"/>
              </w:rPr>
              <w:t xml:space="preserve">Ireland first national action plan on AMR-in line with the five strategic objectives established in the WHO’s Global Action Plan on AMR (2015) </w:t>
            </w:r>
          </w:p>
          <w:p w14:paraId="075F7DC3"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lastRenderedPageBreak/>
              <w:t>Achievements have included raising awareness about AMR, providing leadership, strengthening governance, building specialist capacity and enhancing surveillance</w:t>
            </w:r>
          </w:p>
        </w:tc>
      </w:tr>
      <w:tr w:rsidR="00D82224" w:rsidRPr="009B561A" w14:paraId="185D564A" w14:textId="77777777" w:rsidTr="0087653A">
        <w:tc>
          <w:tcPr>
            <w:tcW w:w="433" w:type="dxa"/>
          </w:tcPr>
          <w:p w14:paraId="3FE8673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15</w:t>
            </w:r>
          </w:p>
        </w:tc>
        <w:tc>
          <w:tcPr>
            <w:tcW w:w="3664" w:type="dxa"/>
          </w:tcPr>
          <w:p w14:paraId="51CCE7F9" w14:textId="1835D7DE" w:rsidR="00D82224" w:rsidRPr="00327E03" w:rsidRDefault="00D82224" w:rsidP="009B561A">
            <w:pPr>
              <w:spacing w:line="276" w:lineRule="auto"/>
              <w:rPr>
                <w:rFonts w:ascii="Calibri" w:hAnsi="Calibri" w:cs="Calibri"/>
                <w:b/>
                <w:bCs/>
                <w:color w:val="000000" w:themeColor="text1"/>
                <w:sz w:val="20"/>
                <w:szCs w:val="20"/>
              </w:rPr>
            </w:pPr>
            <w:r w:rsidRPr="00327E03">
              <w:rPr>
                <w:rFonts w:ascii="Calibri" w:hAnsi="Calibri" w:cs="Calibri"/>
                <w:b/>
                <w:bCs/>
                <w:color w:val="000000" w:themeColor="text1"/>
                <w:sz w:val="20"/>
                <w:szCs w:val="20"/>
              </w:rPr>
              <w:t>Health Protection Surveillance Centre:</w:t>
            </w:r>
            <w:r w:rsidRPr="00327E03">
              <w:rPr>
                <w:rFonts w:ascii="Calibri" w:hAnsi="Calibri" w:cs="Calibri"/>
                <w:color w:val="000000" w:themeColor="text1"/>
                <w:sz w:val="20"/>
                <w:szCs w:val="20"/>
              </w:rPr>
              <w:t xml:space="preserve"> 9.4 Antimicrobial Resistance (2016) </w:t>
            </w:r>
            <w:r w:rsidR="009C4E60" w:rsidRPr="00327E03">
              <w:rPr>
                <w:rFonts w:ascii="Calibri" w:hAnsi="Calibri" w:cs="Calibri"/>
                <w:color w:val="000000" w:themeColor="text1"/>
                <w:sz w:val="20"/>
                <w:szCs w:val="20"/>
              </w:rPr>
              <w:fldChar w:fldCharType="begin" w:fldLock="1"/>
            </w:r>
            <w:r w:rsidR="009C4E60" w:rsidRPr="00327E03">
              <w:rPr>
                <w:rFonts w:ascii="Calibri" w:hAnsi="Calibri" w:cs="Calibri"/>
                <w:color w:val="000000" w:themeColor="text1"/>
                <w:sz w:val="20"/>
                <w:szCs w:val="20"/>
              </w:rPr>
              <w:instrText>ADDIN CSL_CITATION {"citationItems":[{"id":"ITEM-1","itemData":{"author":[{"dropping-particle":"","family":"Health Protection Surveillance Centre (HPSC)","given":"","non-dropping-particle":"","parse-names":false,"suffix":""}],"id":"ITEM-1","issued":{"date-parts":[["2016"]]},"title":"Annual Epidemiology Report 9.4 Antimicrobial Resistance","type":"report"},"uris":["http://www.mendeley.com/documents/?uuid=65905d34-99d8-42ee-bca5-70b617f95088"]}],"mendeley":{"formattedCitation":"(46)","plainTextFormattedCitation":"(46)","previouslyFormattedCitation":"(46)"},"properties":{"noteIndex":0},"schema":"https://github.com/citation-style-language/schema/raw/master/csl-citation.json"}</w:instrText>
            </w:r>
            <w:r w:rsidR="009C4E60" w:rsidRPr="00327E03">
              <w:rPr>
                <w:rFonts w:ascii="Calibri" w:hAnsi="Calibri" w:cs="Calibri"/>
                <w:color w:val="000000" w:themeColor="text1"/>
                <w:sz w:val="20"/>
                <w:szCs w:val="20"/>
              </w:rPr>
              <w:fldChar w:fldCharType="separate"/>
            </w:r>
            <w:r w:rsidR="00327E03">
              <w:rPr>
                <w:rFonts w:ascii="Calibri" w:hAnsi="Calibri" w:cs="Calibri"/>
                <w:color w:val="000000" w:themeColor="text1"/>
                <w:sz w:val="20"/>
                <w:szCs w:val="20"/>
              </w:rPr>
              <w:t>[</w:t>
            </w:r>
            <w:r w:rsidR="009C4E60" w:rsidRPr="00327E03">
              <w:rPr>
                <w:rFonts w:ascii="Calibri" w:hAnsi="Calibri" w:cs="Calibri"/>
                <w:noProof/>
                <w:color w:val="000000" w:themeColor="text1"/>
                <w:sz w:val="20"/>
                <w:szCs w:val="20"/>
              </w:rPr>
              <w:t>46</w:t>
            </w:r>
            <w:r w:rsidR="00327E03">
              <w:rPr>
                <w:rFonts w:ascii="Calibri" w:hAnsi="Calibri" w:cs="Calibri"/>
                <w:noProof/>
                <w:color w:val="000000" w:themeColor="text1"/>
                <w:sz w:val="20"/>
                <w:szCs w:val="20"/>
              </w:rPr>
              <w:t>]</w:t>
            </w:r>
            <w:r w:rsidR="009C4E60" w:rsidRPr="00327E03">
              <w:rPr>
                <w:rFonts w:ascii="Calibri" w:hAnsi="Calibri" w:cs="Calibri"/>
                <w:color w:val="000000" w:themeColor="text1"/>
                <w:sz w:val="20"/>
                <w:szCs w:val="20"/>
              </w:rPr>
              <w:fldChar w:fldCharType="end"/>
            </w:r>
            <w:r w:rsidR="00327E03" w:rsidRPr="00327E03">
              <w:rPr>
                <w:rFonts w:ascii="Calibri" w:hAnsi="Calibri" w:cs="Calibri"/>
                <w:b/>
                <w:bCs/>
                <w:color w:val="000000" w:themeColor="text1"/>
                <w:sz w:val="20"/>
                <w:szCs w:val="20"/>
              </w:rPr>
              <w:t xml:space="preserve"> </w:t>
            </w:r>
          </w:p>
        </w:tc>
        <w:tc>
          <w:tcPr>
            <w:tcW w:w="4262" w:type="dxa"/>
          </w:tcPr>
          <w:p w14:paraId="3CEC155F"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Summary key pathogens causing blood stream infections</w:t>
            </w:r>
          </w:p>
        </w:tc>
        <w:tc>
          <w:tcPr>
            <w:tcW w:w="5811" w:type="dxa"/>
          </w:tcPr>
          <w:p w14:paraId="47FCB62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Summary seven important bacterial pathogens using the </w:t>
            </w:r>
            <w:proofErr w:type="spellStart"/>
            <w:r w:rsidRPr="009B561A">
              <w:rPr>
                <w:rFonts w:ascii="Calibri" w:hAnsi="Calibri" w:cs="Calibri"/>
                <w:sz w:val="20"/>
                <w:szCs w:val="20"/>
              </w:rPr>
              <w:t>EARSNet</w:t>
            </w:r>
            <w:proofErr w:type="spellEnd"/>
            <w:r w:rsidRPr="009B561A">
              <w:rPr>
                <w:rFonts w:ascii="Calibri" w:hAnsi="Calibri" w:cs="Calibri"/>
                <w:sz w:val="20"/>
                <w:szCs w:val="20"/>
              </w:rPr>
              <w:t xml:space="preserve"> case definition in which Ireland submits to The European Antimicrobial Resistance Surveillance Network </w:t>
            </w:r>
          </w:p>
          <w:p w14:paraId="44E4CB70"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 xml:space="preserve"> </w:t>
            </w:r>
            <w:hyperlink r:id="rId14" w:history="1">
              <w:r w:rsidRPr="009B561A">
                <w:rPr>
                  <w:rFonts w:ascii="Calibri" w:hAnsi="Calibri" w:cs="Calibri"/>
                  <w:sz w:val="20"/>
                  <w:szCs w:val="20"/>
                  <w:u w:val="single"/>
                </w:rPr>
                <w:t>http://www.hpsc.ie</w:t>
              </w:r>
            </w:hyperlink>
            <w:r w:rsidRPr="009B561A">
              <w:rPr>
                <w:rFonts w:ascii="Calibri" w:hAnsi="Calibri" w:cs="Calibri"/>
                <w:sz w:val="20"/>
                <w:szCs w:val="20"/>
              </w:rPr>
              <w:t xml:space="preserve"> for further details of EARS-Net, antimicrobial resistance and enhanced Blood Stream Infections (BSI) surveillance in Ireland</w:t>
            </w:r>
          </w:p>
        </w:tc>
      </w:tr>
      <w:tr w:rsidR="00D82224" w:rsidRPr="009B561A" w14:paraId="4D295B46" w14:textId="77777777" w:rsidTr="0087653A">
        <w:tc>
          <w:tcPr>
            <w:tcW w:w="433" w:type="dxa"/>
          </w:tcPr>
          <w:p w14:paraId="4FC41D1D"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16</w:t>
            </w:r>
          </w:p>
        </w:tc>
        <w:tc>
          <w:tcPr>
            <w:tcW w:w="3664" w:type="dxa"/>
          </w:tcPr>
          <w:p w14:paraId="319DBF46" w14:textId="30195607" w:rsidR="00D82224" w:rsidRPr="00327E03" w:rsidRDefault="00D82224" w:rsidP="009B561A">
            <w:pPr>
              <w:spacing w:line="276" w:lineRule="auto"/>
              <w:rPr>
                <w:rFonts w:ascii="Calibri" w:hAnsi="Calibri" w:cs="Calibri"/>
                <w:color w:val="000000" w:themeColor="text1"/>
                <w:sz w:val="20"/>
                <w:szCs w:val="20"/>
              </w:rPr>
            </w:pPr>
            <w:r w:rsidRPr="00327E03">
              <w:rPr>
                <w:rFonts w:ascii="Calibri" w:hAnsi="Calibri" w:cs="Calibri"/>
                <w:b/>
                <w:bCs/>
                <w:color w:val="000000" w:themeColor="text1"/>
                <w:sz w:val="20"/>
                <w:szCs w:val="20"/>
              </w:rPr>
              <w:t>Health Information and Quality Authority (HIQA) (2016)</w:t>
            </w:r>
            <w:r w:rsidRPr="00327E03">
              <w:rPr>
                <w:rFonts w:ascii="Calibri" w:hAnsi="Calibri" w:cs="Calibri"/>
                <w:color w:val="000000" w:themeColor="text1"/>
                <w:sz w:val="20"/>
                <w:szCs w:val="20"/>
              </w:rPr>
              <w:t xml:space="preserve"> Report of the review of antimicrobial stewardship in public acute hospitals. Dublin: HIQA </w:t>
            </w:r>
            <w:r w:rsidR="0019522E" w:rsidRPr="00327E03">
              <w:rPr>
                <w:rFonts w:ascii="Calibri" w:hAnsi="Calibri" w:cs="Calibri"/>
                <w:color w:val="000000" w:themeColor="text1"/>
                <w:sz w:val="20"/>
                <w:szCs w:val="20"/>
              </w:rPr>
              <w:fldChar w:fldCharType="begin" w:fldLock="1"/>
            </w:r>
            <w:r w:rsidR="002374B9" w:rsidRPr="00327E03">
              <w:rPr>
                <w:rFonts w:ascii="Calibri" w:hAnsi="Calibri" w:cs="Calibri"/>
                <w:color w:val="000000" w:themeColor="text1"/>
                <w:sz w:val="20"/>
                <w:szCs w:val="20"/>
              </w:rPr>
              <w:instrText>ADDIN CSL_CITATION {"citationItems":[{"id":"ITEM-1","itemData":{"author":[{"dropping-particle":"","family":"Health Information and Quality Authority (HIQA)","given":"","non-dropping-particle":"","parse-names":false,"suffix":""}],"id":"ITEM-1","issue":"July","issued":{"date-parts":[["2016"]]},"number-of-pages":"1-164","title":"Report of the review of antimicrobial stewardship in public acute hospitals","type":"report"},"uris":["http://www.mendeley.com/documents/?uuid=379535ac-bbe8-4dab-81c5-0c030362dd7e"]}],"mendeley":{"formattedCitation":"(17)","plainTextFormattedCitation":"(17)","previouslyFormattedCitation":"(17)"},"properties":{"noteIndex":0},"schema":"https://github.com/citation-style-language/schema/raw/master/csl-citation.json"}</w:instrText>
            </w:r>
            <w:r w:rsidR="0019522E" w:rsidRPr="00327E03">
              <w:rPr>
                <w:rFonts w:ascii="Calibri" w:hAnsi="Calibri" w:cs="Calibri"/>
                <w:color w:val="000000" w:themeColor="text1"/>
                <w:sz w:val="20"/>
                <w:szCs w:val="20"/>
              </w:rPr>
              <w:fldChar w:fldCharType="separate"/>
            </w:r>
            <w:r w:rsidR="00327E03" w:rsidRPr="00327E03">
              <w:rPr>
                <w:rFonts w:ascii="Calibri" w:hAnsi="Calibri" w:cs="Calibri"/>
                <w:noProof/>
                <w:color w:val="000000" w:themeColor="text1"/>
                <w:sz w:val="20"/>
                <w:szCs w:val="20"/>
              </w:rPr>
              <w:t>[</w:t>
            </w:r>
            <w:r w:rsidR="0019522E" w:rsidRPr="00327E03">
              <w:rPr>
                <w:rFonts w:ascii="Calibri" w:hAnsi="Calibri" w:cs="Calibri"/>
                <w:noProof/>
                <w:color w:val="000000" w:themeColor="text1"/>
                <w:sz w:val="20"/>
                <w:szCs w:val="20"/>
              </w:rPr>
              <w:t>17</w:t>
            </w:r>
            <w:r w:rsidR="00327E03" w:rsidRPr="00327E03">
              <w:rPr>
                <w:rFonts w:ascii="Calibri" w:hAnsi="Calibri" w:cs="Calibri"/>
                <w:noProof/>
                <w:color w:val="000000" w:themeColor="text1"/>
                <w:sz w:val="20"/>
                <w:szCs w:val="20"/>
              </w:rPr>
              <w:t>]</w:t>
            </w:r>
            <w:r w:rsidR="0019522E" w:rsidRPr="00327E03">
              <w:rPr>
                <w:rFonts w:ascii="Calibri" w:hAnsi="Calibri" w:cs="Calibri"/>
                <w:color w:val="000000" w:themeColor="text1"/>
                <w:sz w:val="20"/>
                <w:szCs w:val="20"/>
              </w:rPr>
              <w:fldChar w:fldCharType="end"/>
            </w:r>
            <w:r w:rsidR="00327E03" w:rsidRPr="00327E03">
              <w:rPr>
                <w:rFonts w:ascii="Calibri" w:hAnsi="Calibri" w:cs="Calibri"/>
                <w:color w:val="000000" w:themeColor="text1"/>
                <w:sz w:val="20"/>
                <w:szCs w:val="20"/>
              </w:rPr>
              <w:t xml:space="preserve"> </w:t>
            </w:r>
          </w:p>
          <w:p w14:paraId="0BBF9CD3" w14:textId="77777777" w:rsidR="00D82224" w:rsidRPr="00327E03" w:rsidRDefault="00D82224" w:rsidP="009B561A">
            <w:pPr>
              <w:spacing w:line="276" w:lineRule="auto"/>
              <w:rPr>
                <w:rFonts w:ascii="Calibri" w:hAnsi="Calibri" w:cs="Calibri"/>
                <w:b/>
                <w:bCs/>
                <w:color w:val="000000" w:themeColor="text1"/>
                <w:sz w:val="20"/>
                <w:szCs w:val="20"/>
                <w:vertAlign w:val="superscript"/>
              </w:rPr>
            </w:pPr>
          </w:p>
          <w:p w14:paraId="50F00D90" w14:textId="77777777" w:rsidR="00D82224" w:rsidRPr="00327E03" w:rsidRDefault="00D82224" w:rsidP="009B561A">
            <w:pPr>
              <w:spacing w:line="276" w:lineRule="auto"/>
              <w:rPr>
                <w:rFonts w:ascii="Calibri" w:hAnsi="Calibri" w:cs="Calibri"/>
                <w:b/>
                <w:bCs/>
                <w:noProof/>
                <w:color w:val="000000" w:themeColor="text1"/>
                <w:sz w:val="20"/>
                <w:szCs w:val="20"/>
              </w:rPr>
            </w:pPr>
            <w:r w:rsidRPr="00327E03">
              <w:rPr>
                <w:rFonts w:ascii="Calibri" w:hAnsi="Calibri" w:cs="Calibri"/>
                <w:b/>
                <w:bCs/>
                <w:color w:val="000000" w:themeColor="text1"/>
                <w:sz w:val="20"/>
                <w:szCs w:val="20"/>
              </w:rPr>
              <w:t>* Links with Tables</w:t>
            </w:r>
            <w:r w:rsidRPr="00327E03">
              <w:rPr>
                <w:rFonts w:ascii="Calibri" w:hAnsi="Calibri" w:cs="Calibri"/>
                <w:b/>
                <w:bCs/>
                <w:sz w:val="20"/>
                <w:szCs w:val="20"/>
              </w:rPr>
              <w:t xml:space="preserve"> SRC</w:t>
            </w:r>
            <w:r w:rsidRPr="00327E03">
              <w:rPr>
                <w:rFonts w:ascii="Calibri" w:hAnsi="Calibri" w:cs="Calibri"/>
                <w:b/>
                <w:bCs/>
                <w:color w:val="000000" w:themeColor="text1"/>
                <w:sz w:val="20"/>
                <w:szCs w:val="20"/>
              </w:rPr>
              <w:t xml:space="preserve"> A&amp;B</w:t>
            </w:r>
          </w:p>
        </w:tc>
        <w:tc>
          <w:tcPr>
            <w:tcW w:w="4262" w:type="dxa"/>
          </w:tcPr>
          <w:p w14:paraId="24452F05"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This report provides an overview of the national provision of antimicrobial stewardship in Irish public acute hospitals</w:t>
            </w:r>
          </w:p>
        </w:tc>
        <w:tc>
          <w:tcPr>
            <w:tcW w:w="5811" w:type="dxa"/>
          </w:tcPr>
          <w:p w14:paraId="0D29A744"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The following statements are relevant to our review:</w:t>
            </w:r>
          </w:p>
          <w:p w14:paraId="12028405" w14:textId="77777777" w:rsidR="00D82224" w:rsidRPr="009B561A" w:rsidRDefault="00D82224" w:rsidP="009B561A">
            <w:pPr>
              <w:spacing w:line="276" w:lineRule="auto"/>
              <w:rPr>
                <w:rFonts w:ascii="Calibri" w:hAnsi="Calibri" w:cs="Calibri"/>
                <w:color w:val="FF0000"/>
                <w:sz w:val="20"/>
                <w:szCs w:val="20"/>
              </w:rPr>
            </w:pPr>
          </w:p>
          <w:p w14:paraId="058F5CA8"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Investment is needed to further develop national surveillance for all significant multidrug resistant organisms, which includes relevant data not currently captured in the national dataset, including non-invasive infection and colonization.</w:t>
            </w:r>
          </w:p>
          <w:p w14:paraId="67E24C48" w14:textId="77777777" w:rsidR="00D82224" w:rsidRPr="009B561A" w:rsidRDefault="00D82224" w:rsidP="009B561A">
            <w:pPr>
              <w:spacing w:line="276" w:lineRule="auto"/>
              <w:rPr>
                <w:rFonts w:ascii="Calibri" w:hAnsi="Calibri" w:cs="Calibri"/>
                <w:sz w:val="20"/>
                <w:szCs w:val="20"/>
              </w:rPr>
            </w:pPr>
          </w:p>
          <w:p w14:paraId="6F954949"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Model 3 hospitals, require further investment and or the sharing of resources across their respective hospital groups to effectively implement these programmes.</w:t>
            </w:r>
          </w:p>
        </w:tc>
      </w:tr>
      <w:tr w:rsidR="00D82224" w:rsidRPr="009B561A" w14:paraId="6CB6FB2F" w14:textId="77777777" w:rsidTr="0087653A">
        <w:tc>
          <w:tcPr>
            <w:tcW w:w="433" w:type="dxa"/>
          </w:tcPr>
          <w:p w14:paraId="469F59AE"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17</w:t>
            </w:r>
          </w:p>
        </w:tc>
        <w:tc>
          <w:tcPr>
            <w:tcW w:w="3664" w:type="dxa"/>
          </w:tcPr>
          <w:p w14:paraId="6A404C76" w14:textId="77777777" w:rsidR="00D82224" w:rsidRPr="00327E03" w:rsidRDefault="00D82224" w:rsidP="009B561A">
            <w:pPr>
              <w:spacing w:line="276" w:lineRule="auto"/>
              <w:rPr>
                <w:rFonts w:ascii="Calibri" w:hAnsi="Calibri" w:cs="Calibri"/>
                <w:color w:val="000000" w:themeColor="text1"/>
                <w:sz w:val="20"/>
                <w:szCs w:val="20"/>
              </w:rPr>
            </w:pPr>
            <w:r w:rsidRPr="00327E03">
              <w:rPr>
                <w:rFonts w:ascii="Calibri" w:hAnsi="Calibri" w:cs="Calibri"/>
                <w:b/>
                <w:bCs/>
                <w:color w:val="000000" w:themeColor="text1"/>
                <w:sz w:val="20"/>
                <w:szCs w:val="20"/>
              </w:rPr>
              <w:t>Health Protection Surveillance Centre</w:t>
            </w:r>
            <w:r w:rsidRPr="00327E03">
              <w:rPr>
                <w:rFonts w:ascii="Calibri" w:hAnsi="Calibri" w:cs="Calibri"/>
                <w:color w:val="000000" w:themeColor="text1"/>
                <w:sz w:val="20"/>
                <w:szCs w:val="20"/>
              </w:rPr>
              <w:t xml:space="preserve">, </w:t>
            </w:r>
          </w:p>
          <w:p w14:paraId="3FC24C6B" w14:textId="19986677" w:rsidR="00D82224" w:rsidRPr="00327E03" w:rsidRDefault="00D82224" w:rsidP="009B561A">
            <w:pPr>
              <w:spacing w:line="276" w:lineRule="auto"/>
              <w:rPr>
                <w:rFonts w:ascii="Calibri" w:hAnsi="Calibri" w:cs="Calibri"/>
                <w:b/>
                <w:bCs/>
                <w:sz w:val="20"/>
                <w:szCs w:val="20"/>
                <w:vertAlign w:val="superscript"/>
              </w:rPr>
            </w:pPr>
            <w:r w:rsidRPr="00327E03">
              <w:rPr>
                <w:rFonts w:ascii="Calibri" w:hAnsi="Calibri" w:cs="Calibri"/>
                <w:color w:val="000000" w:themeColor="text1"/>
                <w:sz w:val="20"/>
                <w:szCs w:val="20"/>
              </w:rPr>
              <w:t>Point Prevalence Survey of Hospital Acquired Infections &amp; Antimicrobial Use in European Acute Care Hospitals: May 2012 – Republic of Ireland Critical Care Report: February 2013</w:t>
            </w:r>
            <w:r w:rsidRPr="00327E03">
              <w:rPr>
                <w:rFonts w:ascii="Calibri" w:hAnsi="Calibri" w:cs="Calibri"/>
                <w:b/>
                <w:bCs/>
                <w:color w:val="000000" w:themeColor="text1"/>
                <w:sz w:val="20"/>
                <w:szCs w:val="20"/>
              </w:rPr>
              <w:t xml:space="preserve"> </w:t>
            </w:r>
            <w:r w:rsidR="009C4E60" w:rsidRPr="00327E03">
              <w:rPr>
                <w:rFonts w:ascii="Calibri" w:hAnsi="Calibri" w:cs="Calibri"/>
                <w:b/>
                <w:bCs/>
                <w:color w:val="000000" w:themeColor="text1"/>
                <w:sz w:val="20"/>
                <w:szCs w:val="20"/>
              </w:rPr>
              <w:fldChar w:fldCharType="begin" w:fldLock="1"/>
            </w:r>
            <w:r w:rsidR="009C4E60" w:rsidRPr="00327E03">
              <w:rPr>
                <w:rFonts w:ascii="Calibri" w:hAnsi="Calibri" w:cs="Calibri"/>
                <w:b/>
                <w:bCs/>
                <w:color w:val="000000" w:themeColor="text1"/>
                <w:sz w:val="20"/>
                <w:szCs w:val="20"/>
              </w:rPr>
              <w:instrText>ADDIN CSL_CITATION {"citationItems":[{"id":"ITEM-1","itemData":{"author":[{"dropping-particle":"","family":"Burns","given":"Karen","non-dropping-particle":"","parse-names":false,"suffix":""},{"dropping-particle":"","family":"Foley","given":"Margaret","non-dropping-particle":"","parse-names":false,"suffix":""},{"dropping-particle":"","family":"Donlon","given":"Sheila","non-dropping-particle":"","parse-names":false,"suffix":""}],"id":"ITEM-1","issue":"November","issued":{"date-parts":[["2012"]]},"number-of-pages":"25-27","title":"Health Protection Surveillance Centre, Point Prevalence Survey of Hospital Acquired Infections &amp; Antimicrobial Use in European Acute Care Hospitals: May 2012 – Republic of Ireland Critical Care Report: February 2013.","type":"report"},"uris":["http://www.mendeley.com/documents/?uuid=7960a49a-81ac-479b-8777-ca78eed301e2"]}],"mendeley":{"formattedCitation":"(47)","plainTextFormattedCitation":"(47)","previouslyFormattedCitation":"(47)"},"properties":{"noteIndex":0},"schema":"https://github.com/citation-style-language/schema/raw/master/csl-citation.json"}</w:instrText>
            </w:r>
            <w:r w:rsidR="009C4E60" w:rsidRPr="00327E03">
              <w:rPr>
                <w:rFonts w:ascii="Calibri" w:hAnsi="Calibri" w:cs="Calibri"/>
                <w:b/>
                <w:bCs/>
                <w:color w:val="000000" w:themeColor="text1"/>
                <w:sz w:val="20"/>
                <w:szCs w:val="20"/>
              </w:rPr>
              <w:fldChar w:fldCharType="separate"/>
            </w:r>
            <w:r w:rsidR="00327E03" w:rsidRPr="00327E03">
              <w:rPr>
                <w:rFonts w:ascii="Calibri" w:hAnsi="Calibri" w:cs="Calibri"/>
                <w:bCs/>
                <w:noProof/>
                <w:color w:val="000000" w:themeColor="text1"/>
                <w:sz w:val="20"/>
                <w:szCs w:val="20"/>
              </w:rPr>
              <w:t>[</w:t>
            </w:r>
            <w:r w:rsidR="009C4E60" w:rsidRPr="00327E03">
              <w:rPr>
                <w:rFonts w:ascii="Calibri" w:hAnsi="Calibri" w:cs="Calibri"/>
                <w:bCs/>
                <w:noProof/>
                <w:color w:val="000000" w:themeColor="text1"/>
                <w:sz w:val="20"/>
                <w:szCs w:val="20"/>
              </w:rPr>
              <w:t>47</w:t>
            </w:r>
            <w:r w:rsidR="00327E03" w:rsidRPr="00327E03">
              <w:rPr>
                <w:rFonts w:ascii="Calibri" w:hAnsi="Calibri" w:cs="Calibri"/>
                <w:bCs/>
                <w:noProof/>
                <w:color w:val="000000" w:themeColor="text1"/>
                <w:sz w:val="20"/>
                <w:szCs w:val="20"/>
              </w:rPr>
              <w:t>]</w:t>
            </w:r>
            <w:r w:rsidR="009C4E60" w:rsidRPr="00327E03">
              <w:rPr>
                <w:rFonts w:ascii="Calibri" w:hAnsi="Calibri" w:cs="Calibri"/>
                <w:b/>
                <w:bCs/>
                <w:color w:val="000000" w:themeColor="text1"/>
                <w:sz w:val="20"/>
                <w:szCs w:val="20"/>
              </w:rPr>
              <w:fldChar w:fldCharType="end"/>
            </w:r>
            <w:r w:rsidR="00327E03" w:rsidRPr="00327E03">
              <w:rPr>
                <w:rFonts w:ascii="Calibri" w:hAnsi="Calibri" w:cs="Calibri"/>
                <w:b/>
                <w:bCs/>
                <w:sz w:val="20"/>
                <w:szCs w:val="20"/>
                <w:vertAlign w:val="superscript"/>
              </w:rPr>
              <w:t xml:space="preserve"> </w:t>
            </w:r>
          </w:p>
        </w:tc>
        <w:tc>
          <w:tcPr>
            <w:tcW w:w="4262" w:type="dxa"/>
          </w:tcPr>
          <w:p w14:paraId="1BFA80E3"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A national point prevalence survey (PPS) was conducted in May 2012 to assess the prevalence of hospital‐acquired infections (HAI) and antimicrobial use in Irish hospitals</w:t>
            </w:r>
          </w:p>
        </w:tc>
        <w:tc>
          <w:tcPr>
            <w:tcW w:w="5811" w:type="dxa"/>
          </w:tcPr>
          <w:p w14:paraId="742F3A09"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Data was collected on 215 patients aged 16 years and older, admitted to 45 critical care units in 33 Irish hospitals.</w:t>
            </w:r>
          </w:p>
          <w:p w14:paraId="52D2669A" w14:textId="77777777" w:rsidR="00D82224" w:rsidRPr="009B561A" w:rsidRDefault="00D82224" w:rsidP="009B561A">
            <w:pPr>
              <w:spacing w:line="276" w:lineRule="auto"/>
              <w:rPr>
                <w:rFonts w:ascii="Calibri" w:hAnsi="Calibri" w:cs="Calibri"/>
                <w:b/>
                <w:bCs/>
                <w:color w:val="FF0000"/>
                <w:sz w:val="20"/>
                <w:szCs w:val="20"/>
              </w:rPr>
            </w:pPr>
            <w:r w:rsidRPr="009B561A">
              <w:rPr>
                <w:rFonts w:ascii="Calibri" w:hAnsi="Calibri" w:cs="Calibri"/>
                <w:sz w:val="20"/>
                <w:szCs w:val="20"/>
              </w:rPr>
              <w:t>The prevalence of antimicrobial use in patients admitted to critical care was over twice that of the overall population (74.4% versus 34.4%).</w:t>
            </w:r>
          </w:p>
        </w:tc>
      </w:tr>
      <w:tr w:rsidR="00D82224" w:rsidRPr="009B561A" w14:paraId="4A275ED3" w14:textId="77777777" w:rsidTr="0087653A">
        <w:tc>
          <w:tcPr>
            <w:tcW w:w="433" w:type="dxa"/>
          </w:tcPr>
          <w:p w14:paraId="42CF20B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18</w:t>
            </w:r>
          </w:p>
        </w:tc>
        <w:tc>
          <w:tcPr>
            <w:tcW w:w="3664" w:type="dxa"/>
          </w:tcPr>
          <w:p w14:paraId="1F2753B8" w14:textId="4EBBA9CE" w:rsidR="00D82224" w:rsidRPr="00327E03" w:rsidRDefault="00D82224" w:rsidP="009B561A">
            <w:pPr>
              <w:spacing w:line="276" w:lineRule="auto"/>
              <w:rPr>
                <w:rFonts w:ascii="Calibri" w:hAnsi="Calibri" w:cs="Calibri"/>
                <w:b/>
                <w:bCs/>
                <w:sz w:val="20"/>
                <w:szCs w:val="20"/>
                <w:vertAlign w:val="superscript"/>
              </w:rPr>
            </w:pPr>
            <w:r w:rsidRPr="00327E03">
              <w:rPr>
                <w:rFonts w:ascii="Calibri" w:hAnsi="Calibri" w:cs="Calibri"/>
                <w:b/>
                <w:bCs/>
                <w:noProof/>
                <w:color w:val="000000" w:themeColor="text1"/>
                <w:sz w:val="20"/>
                <w:szCs w:val="20"/>
              </w:rPr>
              <w:t xml:space="preserve">Health Protection Surveillance Centre (HPSC). </w:t>
            </w:r>
            <w:r w:rsidRPr="00327E03">
              <w:rPr>
                <w:rFonts w:ascii="Calibri" w:hAnsi="Calibri" w:cs="Calibri"/>
                <w:noProof/>
                <w:color w:val="000000" w:themeColor="text1"/>
                <w:sz w:val="20"/>
                <w:szCs w:val="20"/>
              </w:rPr>
              <w:t>Annual Epidemiological Report 2014. Vol. 5. 2014</w:t>
            </w:r>
            <w:r w:rsidR="009C4E60" w:rsidRPr="00327E03">
              <w:rPr>
                <w:rFonts w:ascii="Calibri" w:hAnsi="Calibri" w:cs="Calibri"/>
                <w:noProof/>
                <w:color w:val="000000" w:themeColor="text1"/>
                <w:sz w:val="20"/>
                <w:szCs w:val="20"/>
              </w:rPr>
              <w:t xml:space="preserve"> </w:t>
            </w:r>
            <w:r w:rsidR="009C4E60" w:rsidRPr="00327E03">
              <w:rPr>
                <w:rFonts w:ascii="Calibri" w:hAnsi="Calibri" w:cs="Calibri"/>
                <w:noProof/>
                <w:color w:val="000000" w:themeColor="text1"/>
                <w:sz w:val="20"/>
                <w:szCs w:val="20"/>
              </w:rPr>
              <w:fldChar w:fldCharType="begin" w:fldLock="1"/>
            </w:r>
            <w:r w:rsidR="009C4E60" w:rsidRPr="00327E03">
              <w:rPr>
                <w:rFonts w:ascii="Calibri" w:hAnsi="Calibri" w:cs="Calibri"/>
                <w:noProof/>
                <w:color w:val="000000" w:themeColor="text1"/>
                <w:sz w:val="20"/>
                <w:szCs w:val="20"/>
              </w:rPr>
              <w:instrText>ADDIN CSL_CITATION {"citationItems":[{"id":"ITEM-1","itemData":{"ISBN":"9781119130536","author":[{"dropping-particle":"","family":"Health Protection Surveillance Centre (HPSC)","given":"","non-dropping-particle":"","parse-names":false,"suffix":""}],"id":"ITEM-1","issue":"3","issued":{"date-parts":[["2014"]]},"number-of-pages":"248-253","title":"Annual Epidemiological Report 2014","type":"report","volume":"5"},"uris":["http://www.mendeley.com/documents/?uuid=f1360e09-f99f-437a-ad19-b2a29d7a101d"]}],"mendeley":{"formattedCitation":"(48)","plainTextFormattedCitation":"(48)","previouslyFormattedCitation":"(48)"},"properties":{"noteIndex":0},"schema":"https://github.com/citation-style-language/schema/raw/master/csl-citation.json"}</w:instrText>
            </w:r>
            <w:r w:rsidR="009C4E60" w:rsidRPr="00327E03">
              <w:rPr>
                <w:rFonts w:ascii="Calibri" w:hAnsi="Calibri" w:cs="Calibri"/>
                <w:noProof/>
                <w:color w:val="000000" w:themeColor="text1"/>
                <w:sz w:val="20"/>
                <w:szCs w:val="20"/>
              </w:rPr>
              <w:fldChar w:fldCharType="separate"/>
            </w:r>
            <w:r w:rsidR="00327E03" w:rsidRPr="00327E03">
              <w:rPr>
                <w:rFonts w:ascii="Calibri" w:hAnsi="Calibri" w:cs="Calibri"/>
                <w:noProof/>
                <w:color w:val="000000" w:themeColor="text1"/>
                <w:sz w:val="20"/>
                <w:szCs w:val="20"/>
              </w:rPr>
              <w:t>[</w:t>
            </w:r>
            <w:r w:rsidR="009C4E60" w:rsidRPr="00327E03">
              <w:rPr>
                <w:rFonts w:ascii="Calibri" w:hAnsi="Calibri" w:cs="Calibri"/>
                <w:noProof/>
                <w:color w:val="000000" w:themeColor="text1"/>
                <w:sz w:val="20"/>
                <w:szCs w:val="20"/>
              </w:rPr>
              <w:t>48</w:t>
            </w:r>
            <w:r w:rsidR="00327E03" w:rsidRPr="00327E03">
              <w:rPr>
                <w:rFonts w:ascii="Calibri" w:hAnsi="Calibri" w:cs="Calibri"/>
                <w:noProof/>
                <w:color w:val="000000" w:themeColor="text1"/>
                <w:sz w:val="20"/>
                <w:szCs w:val="20"/>
              </w:rPr>
              <w:t>]</w:t>
            </w:r>
            <w:r w:rsidR="009C4E60" w:rsidRPr="00327E03">
              <w:rPr>
                <w:rFonts w:ascii="Calibri" w:hAnsi="Calibri" w:cs="Calibri"/>
                <w:noProof/>
                <w:color w:val="000000" w:themeColor="text1"/>
                <w:sz w:val="20"/>
                <w:szCs w:val="20"/>
              </w:rPr>
              <w:fldChar w:fldCharType="end"/>
            </w:r>
            <w:r w:rsidR="00327E03" w:rsidRPr="00327E03">
              <w:rPr>
                <w:rFonts w:ascii="Calibri" w:hAnsi="Calibri" w:cs="Calibri"/>
                <w:b/>
                <w:bCs/>
                <w:sz w:val="20"/>
                <w:szCs w:val="20"/>
                <w:vertAlign w:val="superscript"/>
              </w:rPr>
              <w:t xml:space="preserve"> </w:t>
            </w:r>
          </w:p>
          <w:p w14:paraId="42C36CA5" w14:textId="77777777" w:rsidR="00D82224" w:rsidRPr="00327E03" w:rsidRDefault="00D82224" w:rsidP="009B561A">
            <w:pPr>
              <w:spacing w:line="276" w:lineRule="auto"/>
              <w:rPr>
                <w:rFonts w:ascii="Calibri" w:hAnsi="Calibri" w:cs="Calibri"/>
                <w:b/>
                <w:bCs/>
                <w:sz w:val="20"/>
                <w:szCs w:val="20"/>
                <w:vertAlign w:val="superscript"/>
              </w:rPr>
            </w:pPr>
          </w:p>
          <w:p w14:paraId="5E2BD5A0" w14:textId="77777777" w:rsidR="00D82224" w:rsidRPr="00327E03" w:rsidRDefault="00D82224" w:rsidP="009B561A">
            <w:pPr>
              <w:spacing w:line="276" w:lineRule="auto"/>
              <w:rPr>
                <w:rFonts w:ascii="Calibri" w:hAnsi="Calibri" w:cs="Calibri"/>
                <w:b/>
                <w:bCs/>
                <w:noProof/>
                <w:color w:val="000000" w:themeColor="text1"/>
                <w:sz w:val="20"/>
                <w:szCs w:val="20"/>
              </w:rPr>
            </w:pPr>
          </w:p>
        </w:tc>
        <w:tc>
          <w:tcPr>
            <w:tcW w:w="4262" w:type="dxa"/>
          </w:tcPr>
          <w:p w14:paraId="52AF333D" w14:textId="77777777" w:rsidR="00D82224" w:rsidRPr="009B561A" w:rsidRDefault="00D82224" w:rsidP="009B561A">
            <w:pPr>
              <w:spacing w:line="276" w:lineRule="auto"/>
              <w:rPr>
                <w:rFonts w:ascii="Calibri" w:hAnsi="Calibri" w:cs="Calibri"/>
                <w:color w:val="FF0000"/>
                <w:sz w:val="20"/>
                <w:szCs w:val="20"/>
                <w:highlight w:val="cyan"/>
              </w:rPr>
            </w:pPr>
            <w:r w:rsidRPr="009B561A">
              <w:rPr>
                <w:rFonts w:ascii="Calibri" w:hAnsi="Calibri" w:cs="Calibri"/>
                <w:sz w:val="20"/>
                <w:szCs w:val="20"/>
              </w:rPr>
              <w:t>Health Protection Surveillance Centre epidemiological report which provides an analysis of the most important infectious diseases affecting Ireland during 2014</w:t>
            </w:r>
          </w:p>
        </w:tc>
        <w:tc>
          <w:tcPr>
            <w:tcW w:w="5811" w:type="dxa"/>
          </w:tcPr>
          <w:p w14:paraId="264D9C61"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Annual surveillance reports from HPSC showing surveillance trends in AMR.</w:t>
            </w:r>
          </w:p>
          <w:p w14:paraId="0A74FA53"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The overall outpatient antimicrobial consumption in Ireland for 2014 was 23.1 DID, a 3% decrease from the 2013 rate of 23.8 DID. This rate is mid-to-high in comparison with other European countries </w:t>
            </w:r>
          </w:p>
          <w:p w14:paraId="44B407C3" w14:textId="77777777" w:rsidR="00D82224" w:rsidRPr="009B561A" w:rsidRDefault="00D82224" w:rsidP="009B561A">
            <w:pPr>
              <w:spacing w:line="276" w:lineRule="auto"/>
              <w:rPr>
                <w:rFonts w:ascii="Calibri" w:hAnsi="Calibri" w:cs="Calibri"/>
                <w:sz w:val="20"/>
                <w:szCs w:val="20"/>
              </w:rPr>
            </w:pPr>
          </w:p>
          <w:p w14:paraId="499A93DD"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 xml:space="preserve"> The median rate of hospital antimicrobial consumption in Ireland for 2014 was 82.9 DBD (range 36.4 – 128.8 DBD), a 2% decrease from 2013. This rate is mid-range in comparison with other European countries. Forty-three public acute hospitals contributed data in 2014</w:t>
            </w:r>
          </w:p>
        </w:tc>
      </w:tr>
      <w:tr w:rsidR="00D82224" w:rsidRPr="009B561A" w14:paraId="69648D36" w14:textId="77777777" w:rsidTr="0087653A">
        <w:tc>
          <w:tcPr>
            <w:tcW w:w="433" w:type="dxa"/>
          </w:tcPr>
          <w:p w14:paraId="636DA0D0"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lastRenderedPageBreak/>
              <w:t>19</w:t>
            </w:r>
          </w:p>
        </w:tc>
        <w:tc>
          <w:tcPr>
            <w:tcW w:w="3664" w:type="dxa"/>
          </w:tcPr>
          <w:p w14:paraId="7FBF356F" w14:textId="133445AA" w:rsidR="00D82224" w:rsidRPr="00327E03" w:rsidRDefault="00D82224" w:rsidP="009B561A">
            <w:pPr>
              <w:spacing w:line="276" w:lineRule="auto"/>
              <w:rPr>
                <w:rFonts w:ascii="Calibri" w:hAnsi="Calibri" w:cs="Calibri"/>
                <w:b/>
                <w:bCs/>
                <w:color w:val="FF0000"/>
                <w:sz w:val="20"/>
                <w:szCs w:val="20"/>
                <w:vertAlign w:val="superscript"/>
              </w:rPr>
            </w:pPr>
            <w:r w:rsidRPr="00327E03">
              <w:rPr>
                <w:rFonts w:ascii="Calibri" w:hAnsi="Calibri" w:cs="Calibri"/>
                <w:b/>
                <w:bCs/>
                <w:color w:val="000000" w:themeColor="text1"/>
                <w:sz w:val="20"/>
                <w:szCs w:val="20"/>
              </w:rPr>
              <w:t>HEALTH PROTECTION SURVEILLANCE CENTRE</w:t>
            </w:r>
            <w:r w:rsidRPr="00327E03">
              <w:rPr>
                <w:rFonts w:ascii="Calibri" w:hAnsi="Calibri" w:cs="Calibri"/>
                <w:color w:val="000000" w:themeColor="text1"/>
                <w:sz w:val="20"/>
                <w:szCs w:val="20"/>
              </w:rPr>
              <w:t>, POINT PREVALENCE SURVEY OF HEALTHCARE‐ASSOCIATED INFECTIONS &amp; ANTIMICROBIAL USE</w:t>
            </w:r>
            <w:r w:rsidRPr="00327E03">
              <w:rPr>
                <w:rFonts w:ascii="Calibri" w:hAnsi="Calibri" w:cs="Calibri"/>
                <w:b/>
                <w:bCs/>
                <w:color w:val="000000" w:themeColor="text1"/>
                <w:sz w:val="20"/>
                <w:szCs w:val="20"/>
              </w:rPr>
              <w:t xml:space="preserve"> </w:t>
            </w:r>
            <w:r w:rsidRPr="00327E03">
              <w:rPr>
                <w:rFonts w:ascii="Calibri" w:hAnsi="Calibri" w:cs="Calibri"/>
                <w:color w:val="000000" w:themeColor="text1"/>
                <w:sz w:val="20"/>
                <w:szCs w:val="20"/>
              </w:rPr>
              <w:t xml:space="preserve">IN LONG‐TERM CARE FACILITIES: MAY 2013 – REPUBLIC OF IRELAND NATIONAL REPORT: MARCH 2014 </w:t>
            </w:r>
            <w:r w:rsidR="009C4E60" w:rsidRPr="00327E03">
              <w:rPr>
                <w:rFonts w:ascii="Calibri" w:hAnsi="Calibri" w:cs="Calibri"/>
                <w:color w:val="000000" w:themeColor="text1"/>
                <w:sz w:val="20"/>
                <w:szCs w:val="20"/>
              </w:rPr>
              <w:fldChar w:fldCharType="begin" w:fldLock="1"/>
            </w:r>
            <w:r w:rsidR="009C4E60" w:rsidRPr="00327E03">
              <w:rPr>
                <w:rFonts w:ascii="Calibri" w:hAnsi="Calibri" w:cs="Calibri"/>
                <w:color w:val="000000" w:themeColor="text1"/>
                <w:sz w:val="20"/>
                <w:szCs w:val="20"/>
              </w:rPr>
              <w:instrText>ADDIN CSL_CITATION {"citationItems":[{"id":"ITEM-1","itemData":{"author":[{"dropping-particle":"","family":"Health Protection Surveillance Centre (HPSC)","given":"","non-dropping-particle":"","parse-names":false,"suffix":""}],"id":"ITEM-1","issue":"March","issued":{"date-parts":[["2014"]]},"title":"Point Prevalence Survey of Healthcare ‐ Associated Infections &amp; Antimicrobial Use in Long ‐ Term Care Facilities ( HALT ): May 2013","type":"report"},"uris":["http://www.mendeley.com/documents/?uuid=58468107-b75d-48c5-86ca-26a839173823"]}],"mendeley":{"formattedCitation":"(49)","plainTextFormattedCitation":"(49)","previouslyFormattedCitation":"(49)"},"properties":{"noteIndex":0},"schema":"https://github.com/citation-style-language/schema/raw/master/csl-citation.json"}</w:instrText>
            </w:r>
            <w:r w:rsidR="009C4E60" w:rsidRPr="00327E03">
              <w:rPr>
                <w:rFonts w:ascii="Calibri" w:hAnsi="Calibri" w:cs="Calibri"/>
                <w:color w:val="000000" w:themeColor="text1"/>
                <w:sz w:val="20"/>
                <w:szCs w:val="20"/>
              </w:rPr>
              <w:fldChar w:fldCharType="separate"/>
            </w:r>
            <w:r w:rsidR="00327E03" w:rsidRPr="00327E03">
              <w:rPr>
                <w:rFonts w:ascii="Calibri" w:hAnsi="Calibri" w:cs="Calibri"/>
                <w:noProof/>
                <w:color w:val="000000" w:themeColor="text1"/>
                <w:sz w:val="20"/>
                <w:szCs w:val="20"/>
              </w:rPr>
              <w:t>[</w:t>
            </w:r>
            <w:r w:rsidR="009C4E60" w:rsidRPr="00327E03">
              <w:rPr>
                <w:rFonts w:ascii="Calibri" w:hAnsi="Calibri" w:cs="Calibri"/>
                <w:noProof/>
                <w:color w:val="000000" w:themeColor="text1"/>
                <w:sz w:val="20"/>
                <w:szCs w:val="20"/>
              </w:rPr>
              <w:t>49</w:t>
            </w:r>
            <w:r w:rsidR="00327E03" w:rsidRPr="00327E03">
              <w:rPr>
                <w:rFonts w:ascii="Calibri" w:hAnsi="Calibri" w:cs="Calibri"/>
                <w:noProof/>
                <w:color w:val="000000" w:themeColor="text1"/>
                <w:sz w:val="20"/>
                <w:szCs w:val="20"/>
              </w:rPr>
              <w:t>]</w:t>
            </w:r>
            <w:r w:rsidR="009C4E60" w:rsidRPr="00327E03">
              <w:rPr>
                <w:rFonts w:ascii="Calibri" w:hAnsi="Calibri" w:cs="Calibri"/>
                <w:color w:val="000000" w:themeColor="text1"/>
                <w:sz w:val="20"/>
                <w:szCs w:val="20"/>
              </w:rPr>
              <w:fldChar w:fldCharType="end"/>
            </w:r>
            <w:r w:rsidR="00327E03" w:rsidRPr="00327E03">
              <w:rPr>
                <w:rFonts w:ascii="Calibri" w:hAnsi="Calibri" w:cs="Calibri"/>
                <w:b/>
                <w:bCs/>
                <w:color w:val="FF0000"/>
                <w:sz w:val="20"/>
                <w:szCs w:val="20"/>
                <w:vertAlign w:val="superscript"/>
              </w:rPr>
              <w:t xml:space="preserve"> </w:t>
            </w:r>
          </w:p>
          <w:p w14:paraId="6571D66A" w14:textId="77777777" w:rsidR="00D82224" w:rsidRPr="00327E03" w:rsidRDefault="00D82224" w:rsidP="009B561A">
            <w:pPr>
              <w:spacing w:line="276" w:lineRule="auto"/>
              <w:rPr>
                <w:rFonts w:ascii="Calibri" w:hAnsi="Calibri" w:cs="Calibri"/>
                <w:b/>
                <w:bCs/>
                <w:color w:val="000000" w:themeColor="text1"/>
                <w:sz w:val="20"/>
                <w:szCs w:val="20"/>
                <w:vertAlign w:val="superscript"/>
              </w:rPr>
            </w:pPr>
          </w:p>
          <w:p w14:paraId="5B3B7A58" w14:textId="77777777" w:rsidR="00D82224" w:rsidRPr="00327E03" w:rsidRDefault="00D82224" w:rsidP="009B561A">
            <w:pPr>
              <w:spacing w:line="276" w:lineRule="auto"/>
              <w:rPr>
                <w:rFonts w:ascii="Calibri" w:hAnsi="Calibri" w:cs="Calibri"/>
                <w:b/>
                <w:bCs/>
                <w:noProof/>
                <w:color w:val="000000" w:themeColor="text1"/>
                <w:sz w:val="20"/>
                <w:szCs w:val="20"/>
              </w:rPr>
            </w:pPr>
          </w:p>
        </w:tc>
        <w:tc>
          <w:tcPr>
            <w:tcW w:w="4262" w:type="dxa"/>
          </w:tcPr>
          <w:p w14:paraId="13D17A02"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 xml:space="preserve">To calculate the prevalence of healthcare‐associated infections (HCAI) in residents of Irish LTCF   </w:t>
            </w:r>
          </w:p>
          <w:p w14:paraId="664251C0" w14:textId="77777777" w:rsidR="00D82224" w:rsidRPr="009B561A" w:rsidRDefault="00D82224" w:rsidP="009B561A">
            <w:pPr>
              <w:spacing w:line="276" w:lineRule="auto"/>
              <w:rPr>
                <w:rFonts w:ascii="Calibri" w:hAnsi="Calibri" w:cs="Calibri"/>
                <w:b/>
                <w:bCs/>
                <w:color w:val="FF0000"/>
                <w:sz w:val="20"/>
                <w:szCs w:val="20"/>
                <w:highlight w:val="cyan"/>
              </w:rPr>
            </w:pPr>
            <w:r w:rsidRPr="009B561A">
              <w:rPr>
                <w:rFonts w:ascii="Calibri" w:hAnsi="Calibri" w:cs="Calibri"/>
                <w:sz w:val="20"/>
                <w:szCs w:val="20"/>
              </w:rPr>
              <w:t>To calculate the prevalence of and indications for antimicrobial use in Irish LTCF</w:t>
            </w:r>
          </w:p>
        </w:tc>
        <w:tc>
          <w:tcPr>
            <w:tcW w:w="5811" w:type="dxa"/>
          </w:tcPr>
          <w:p w14:paraId="1947275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In May 2013, 9,318 residents in 190 Irish long‐term care facilities (LTCF) were included in a European   point prevalence survey (PPS) of healthcare‐associated infections (HCAI) and antimicrobial use. The survey is also known as the HALT survey.</w:t>
            </w:r>
          </w:p>
          <w:p w14:paraId="59BD005B" w14:textId="77777777" w:rsidR="00D82224" w:rsidRPr="009B561A" w:rsidRDefault="00D82224" w:rsidP="009B561A">
            <w:pPr>
              <w:spacing w:line="276" w:lineRule="auto"/>
              <w:rPr>
                <w:rFonts w:ascii="Calibri" w:hAnsi="Calibri" w:cs="Calibri"/>
                <w:sz w:val="20"/>
                <w:szCs w:val="20"/>
              </w:rPr>
            </w:pPr>
          </w:p>
          <w:p w14:paraId="42C39566" w14:textId="77777777" w:rsidR="00D82224" w:rsidRPr="009B561A" w:rsidRDefault="00D82224" w:rsidP="009B561A">
            <w:pPr>
              <w:spacing w:line="276" w:lineRule="auto"/>
              <w:rPr>
                <w:rFonts w:ascii="Calibri" w:hAnsi="Calibri" w:cs="Calibri"/>
                <w:b/>
                <w:bCs/>
                <w:color w:val="FF0000"/>
                <w:sz w:val="20"/>
                <w:szCs w:val="20"/>
              </w:rPr>
            </w:pPr>
            <w:r w:rsidRPr="009B561A">
              <w:rPr>
                <w:rFonts w:ascii="Calibri" w:hAnsi="Calibri" w:cs="Calibri"/>
                <w:sz w:val="20"/>
                <w:szCs w:val="20"/>
              </w:rPr>
              <w:t>The following statements are relevant to our review:</w:t>
            </w:r>
          </w:p>
          <w:p w14:paraId="64474AEF" w14:textId="77777777" w:rsidR="00D82224" w:rsidRPr="009B561A" w:rsidRDefault="00D82224" w:rsidP="009B561A">
            <w:pPr>
              <w:spacing w:line="276" w:lineRule="auto"/>
              <w:rPr>
                <w:rFonts w:ascii="Calibri" w:hAnsi="Calibri" w:cs="Calibri"/>
                <w:sz w:val="20"/>
                <w:szCs w:val="20"/>
              </w:rPr>
            </w:pPr>
          </w:p>
          <w:p w14:paraId="1E12ADB6"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“The vast majority (95%) reported having no antimicrobial stewardship committee (ASC). Of the nine LTCF with an ASC (5%), none were privately‐owned</w:t>
            </w:r>
            <w:r w:rsidRPr="009B561A">
              <w:rPr>
                <w:rFonts w:ascii="Calibri" w:hAnsi="Calibri" w:cs="Calibri"/>
                <w:color w:val="000000" w:themeColor="text1"/>
                <w:sz w:val="20"/>
                <w:szCs w:val="20"/>
              </w:rPr>
              <w:t>”.</w:t>
            </w:r>
            <w:r w:rsidRPr="009B561A">
              <w:rPr>
                <w:rFonts w:ascii="Calibri" w:hAnsi="Calibri" w:cs="Calibri"/>
                <w:sz w:val="20"/>
                <w:szCs w:val="20"/>
              </w:rPr>
              <w:t xml:space="preserve"> p25</w:t>
            </w:r>
          </w:p>
          <w:p w14:paraId="4D9ECE65"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“Additionally, the vast majority (95%) reported that annual training on antimicrobial prescribing was not provided”.p25</w:t>
            </w:r>
          </w:p>
          <w:p w14:paraId="6060EA22"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“Just under one third (32%) reported having a local antimicrobial prescribing guideline</w:t>
            </w:r>
            <w:r w:rsidRPr="009B561A">
              <w:rPr>
                <w:rFonts w:ascii="Calibri" w:hAnsi="Calibri" w:cs="Calibri"/>
                <w:color w:val="000000" w:themeColor="text1"/>
                <w:sz w:val="20"/>
                <w:szCs w:val="20"/>
              </w:rPr>
              <w:t>”</w:t>
            </w:r>
            <w:r w:rsidRPr="009B561A">
              <w:rPr>
                <w:rFonts w:ascii="Calibri" w:hAnsi="Calibri" w:cs="Calibri"/>
                <w:sz w:val="20"/>
                <w:szCs w:val="20"/>
              </w:rPr>
              <w:t>. p25</w:t>
            </w:r>
          </w:p>
          <w:p w14:paraId="0102F458"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“The vast majority (88%) reported having no restrictions on the types of antimicrobials that could be prescribed for residents</w:t>
            </w:r>
            <w:r w:rsidRPr="009B561A">
              <w:rPr>
                <w:rFonts w:ascii="Calibri" w:hAnsi="Calibri" w:cs="Calibri"/>
                <w:color w:val="000000" w:themeColor="text1"/>
                <w:sz w:val="20"/>
                <w:szCs w:val="20"/>
              </w:rPr>
              <w:t>”</w:t>
            </w:r>
            <w:r w:rsidRPr="009B561A">
              <w:rPr>
                <w:rFonts w:ascii="Calibri" w:hAnsi="Calibri" w:cs="Calibri"/>
                <w:sz w:val="20"/>
                <w:szCs w:val="20"/>
              </w:rPr>
              <w:t>. p25</w:t>
            </w:r>
          </w:p>
        </w:tc>
      </w:tr>
      <w:tr w:rsidR="00D82224" w:rsidRPr="009B561A" w14:paraId="5EDEA6FE" w14:textId="77777777" w:rsidTr="0087653A">
        <w:tc>
          <w:tcPr>
            <w:tcW w:w="433" w:type="dxa"/>
          </w:tcPr>
          <w:p w14:paraId="518A4821"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20</w:t>
            </w:r>
          </w:p>
        </w:tc>
        <w:tc>
          <w:tcPr>
            <w:tcW w:w="3664" w:type="dxa"/>
          </w:tcPr>
          <w:p w14:paraId="40FDF46D" w14:textId="77777777" w:rsidR="00D82224" w:rsidRPr="00327E03" w:rsidRDefault="00D82224" w:rsidP="009B561A">
            <w:pPr>
              <w:widowControl w:val="0"/>
              <w:autoSpaceDE w:val="0"/>
              <w:autoSpaceDN w:val="0"/>
              <w:adjustRightInd w:val="0"/>
              <w:spacing w:line="276" w:lineRule="auto"/>
              <w:ind w:left="640" w:hanging="640"/>
              <w:rPr>
                <w:rFonts w:ascii="Calibri" w:hAnsi="Calibri" w:cs="Calibri"/>
                <w:b/>
                <w:bCs/>
                <w:noProof/>
                <w:sz w:val="20"/>
                <w:szCs w:val="20"/>
              </w:rPr>
            </w:pPr>
            <w:r w:rsidRPr="00327E03">
              <w:rPr>
                <w:rFonts w:ascii="Calibri" w:hAnsi="Calibri" w:cs="Calibri"/>
                <w:b/>
                <w:bCs/>
                <w:noProof/>
                <w:sz w:val="20"/>
                <w:szCs w:val="20"/>
              </w:rPr>
              <w:t xml:space="preserve">Royal College of Physicians of Ireland </w:t>
            </w:r>
          </w:p>
          <w:p w14:paraId="6996DCA7" w14:textId="77777777" w:rsidR="00D82224" w:rsidRPr="00327E03" w:rsidRDefault="00D82224" w:rsidP="009B561A">
            <w:pPr>
              <w:widowControl w:val="0"/>
              <w:autoSpaceDE w:val="0"/>
              <w:autoSpaceDN w:val="0"/>
              <w:adjustRightInd w:val="0"/>
              <w:spacing w:line="276" w:lineRule="auto"/>
              <w:ind w:left="640" w:hanging="640"/>
              <w:rPr>
                <w:rFonts w:ascii="Calibri" w:hAnsi="Calibri" w:cs="Calibri"/>
                <w:b/>
                <w:bCs/>
                <w:noProof/>
                <w:sz w:val="20"/>
                <w:szCs w:val="20"/>
              </w:rPr>
            </w:pPr>
            <w:r w:rsidRPr="00327E03">
              <w:rPr>
                <w:rFonts w:ascii="Calibri" w:hAnsi="Calibri" w:cs="Calibri"/>
                <w:b/>
                <w:bCs/>
                <w:noProof/>
                <w:sz w:val="20"/>
                <w:szCs w:val="20"/>
              </w:rPr>
              <w:t>Hospital Antimicrobial Stewardship</w:t>
            </w:r>
          </w:p>
          <w:p w14:paraId="16230CD9" w14:textId="77777777" w:rsidR="00B41190" w:rsidRPr="00327E03" w:rsidRDefault="00D82224" w:rsidP="009B561A">
            <w:pPr>
              <w:widowControl w:val="0"/>
              <w:autoSpaceDE w:val="0"/>
              <w:autoSpaceDN w:val="0"/>
              <w:adjustRightInd w:val="0"/>
              <w:spacing w:line="276" w:lineRule="auto"/>
              <w:ind w:left="640" w:hanging="640"/>
              <w:rPr>
                <w:rFonts w:ascii="Calibri" w:hAnsi="Calibri" w:cs="Calibri"/>
                <w:noProof/>
                <w:sz w:val="20"/>
                <w:szCs w:val="20"/>
              </w:rPr>
            </w:pPr>
            <w:r w:rsidRPr="00327E03">
              <w:rPr>
                <w:rFonts w:ascii="Calibri" w:hAnsi="Calibri" w:cs="Calibri"/>
                <w:b/>
                <w:bCs/>
                <w:noProof/>
                <w:sz w:val="20"/>
                <w:szCs w:val="20"/>
              </w:rPr>
              <w:t xml:space="preserve"> Working Group</w:t>
            </w:r>
            <w:r w:rsidRPr="00327E03">
              <w:rPr>
                <w:rFonts w:ascii="Calibri" w:hAnsi="Calibri" w:cs="Calibri"/>
                <w:noProof/>
                <w:sz w:val="20"/>
                <w:szCs w:val="20"/>
              </w:rPr>
              <w:t xml:space="preserve">. (2012) Start smart, </w:t>
            </w:r>
          </w:p>
          <w:p w14:paraId="03BF205E" w14:textId="69076D7F" w:rsidR="00D82224" w:rsidRPr="00327E03" w:rsidRDefault="00B41190" w:rsidP="009B561A">
            <w:pPr>
              <w:widowControl w:val="0"/>
              <w:autoSpaceDE w:val="0"/>
              <w:autoSpaceDN w:val="0"/>
              <w:adjustRightInd w:val="0"/>
              <w:spacing w:line="276" w:lineRule="auto"/>
              <w:ind w:left="640" w:hanging="640"/>
              <w:rPr>
                <w:rFonts w:ascii="Calibri" w:hAnsi="Calibri" w:cs="Calibri"/>
                <w:noProof/>
                <w:sz w:val="20"/>
                <w:szCs w:val="20"/>
              </w:rPr>
            </w:pPr>
            <w:r w:rsidRPr="00327E03">
              <w:rPr>
                <w:rFonts w:ascii="Calibri" w:hAnsi="Calibri" w:cs="Calibri"/>
                <w:noProof/>
                <w:sz w:val="20"/>
                <w:szCs w:val="20"/>
              </w:rPr>
              <w:t>T</w:t>
            </w:r>
            <w:r w:rsidR="00D82224" w:rsidRPr="00327E03">
              <w:rPr>
                <w:rFonts w:ascii="Calibri" w:hAnsi="Calibri" w:cs="Calibri"/>
                <w:noProof/>
                <w:sz w:val="20"/>
                <w:szCs w:val="20"/>
              </w:rPr>
              <w:t>hen</w:t>
            </w:r>
            <w:r w:rsidRPr="00327E03">
              <w:rPr>
                <w:rFonts w:ascii="Calibri" w:hAnsi="Calibri" w:cs="Calibri"/>
                <w:noProof/>
                <w:sz w:val="20"/>
                <w:szCs w:val="20"/>
              </w:rPr>
              <w:t xml:space="preserve"> </w:t>
            </w:r>
            <w:r w:rsidR="00D82224" w:rsidRPr="00327E03">
              <w:rPr>
                <w:rFonts w:ascii="Calibri" w:hAnsi="Calibri" w:cs="Calibri"/>
                <w:noProof/>
                <w:sz w:val="20"/>
                <w:szCs w:val="20"/>
              </w:rPr>
              <w:t>focus An antibiotic care bundle for</w:t>
            </w:r>
          </w:p>
          <w:p w14:paraId="564965BA" w14:textId="70502A83" w:rsidR="00D82224" w:rsidRPr="00327E03" w:rsidRDefault="00D82224" w:rsidP="009B561A">
            <w:pPr>
              <w:widowControl w:val="0"/>
              <w:autoSpaceDE w:val="0"/>
              <w:autoSpaceDN w:val="0"/>
              <w:adjustRightInd w:val="0"/>
              <w:spacing w:line="276" w:lineRule="auto"/>
              <w:rPr>
                <w:rFonts w:ascii="Calibri" w:hAnsi="Calibri" w:cs="Calibri"/>
                <w:noProof/>
                <w:sz w:val="20"/>
                <w:szCs w:val="20"/>
              </w:rPr>
            </w:pPr>
            <w:r w:rsidRPr="00327E03">
              <w:rPr>
                <w:rFonts w:ascii="Calibri" w:hAnsi="Calibri" w:cs="Calibri"/>
                <w:noProof/>
                <w:sz w:val="20"/>
                <w:szCs w:val="20"/>
              </w:rPr>
              <w:t xml:space="preserve">hospitals. </w:t>
            </w:r>
            <w:r w:rsidR="00B41190" w:rsidRPr="00327E03">
              <w:rPr>
                <w:rFonts w:ascii="Calibri" w:hAnsi="Calibri" w:cs="Calibri"/>
                <w:noProof/>
                <w:sz w:val="20"/>
                <w:szCs w:val="20"/>
              </w:rPr>
              <w:fldChar w:fldCharType="begin" w:fldLock="1"/>
            </w:r>
            <w:r w:rsidR="00B41190" w:rsidRPr="00327E03">
              <w:rPr>
                <w:rFonts w:ascii="Calibri" w:hAnsi="Calibri" w:cs="Calibri"/>
                <w:noProof/>
                <w:sz w:val="20"/>
                <w:szCs w:val="20"/>
              </w:rPr>
              <w:instrText>ADDIN CSL_CITATION {"citationItems":[{"id":"ITEM-1","itemData":{"author":[{"dropping-particle":"","family":"Royal College of Physicians of Ireland Hospital Antimicrobial Stewardship Working Group","given":"","non-dropping-particle":"","parse-names":false,"suffix":""}],"id":"ITEM-1","issued":{"date-parts":[["2012"]]},"number-of-pages":"2012","title":"Start smart, then focus An antibiotic care bundle for hospitals.","type":"report"},"uris":["http://www.mendeley.com/documents/?uuid=1cb2fb74-9cd5-414f-bfd7-0c025bb05d5b"]}],"mendeley":{"formattedCitation":"(28)","plainTextFormattedCitation":"(28)","previouslyFormattedCitation":"(28)"},"properties":{"noteIndex":0},"schema":"https://github.com/citation-style-language/schema/raw/master/csl-citation.json"}</w:instrText>
            </w:r>
            <w:r w:rsidR="00B41190" w:rsidRPr="00327E03">
              <w:rPr>
                <w:rFonts w:ascii="Calibri" w:hAnsi="Calibri" w:cs="Calibri"/>
                <w:noProof/>
                <w:sz w:val="20"/>
                <w:szCs w:val="20"/>
              </w:rPr>
              <w:fldChar w:fldCharType="separate"/>
            </w:r>
            <w:r w:rsidR="00327E03" w:rsidRPr="00327E03">
              <w:rPr>
                <w:rFonts w:ascii="Calibri" w:hAnsi="Calibri" w:cs="Calibri"/>
                <w:noProof/>
                <w:sz w:val="20"/>
                <w:szCs w:val="20"/>
              </w:rPr>
              <w:t>[</w:t>
            </w:r>
            <w:r w:rsidR="00B41190" w:rsidRPr="00327E03">
              <w:rPr>
                <w:rFonts w:ascii="Calibri" w:hAnsi="Calibri" w:cs="Calibri"/>
                <w:noProof/>
                <w:sz w:val="20"/>
                <w:szCs w:val="20"/>
              </w:rPr>
              <w:t>28</w:t>
            </w:r>
            <w:r w:rsidR="00327E03" w:rsidRPr="00327E03">
              <w:rPr>
                <w:rFonts w:ascii="Calibri" w:hAnsi="Calibri" w:cs="Calibri"/>
                <w:noProof/>
                <w:sz w:val="20"/>
                <w:szCs w:val="20"/>
              </w:rPr>
              <w:t>]</w:t>
            </w:r>
            <w:r w:rsidR="00B41190" w:rsidRPr="00327E03">
              <w:rPr>
                <w:rFonts w:ascii="Calibri" w:hAnsi="Calibri" w:cs="Calibri"/>
                <w:noProof/>
                <w:sz w:val="20"/>
                <w:szCs w:val="20"/>
              </w:rPr>
              <w:fldChar w:fldCharType="end"/>
            </w:r>
            <w:r w:rsidR="00327E03" w:rsidRPr="00327E03">
              <w:rPr>
                <w:rFonts w:ascii="Calibri" w:hAnsi="Calibri" w:cs="Calibri"/>
                <w:noProof/>
                <w:sz w:val="20"/>
                <w:szCs w:val="20"/>
              </w:rPr>
              <w:t xml:space="preserve"> </w:t>
            </w:r>
          </w:p>
          <w:p w14:paraId="58D07785" w14:textId="77777777" w:rsidR="00D82224" w:rsidRPr="00327E03" w:rsidRDefault="00D82224" w:rsidP="009B561A">
            <w:pPr>
              <w:widowControl w:val="0"/>
              <w:autoSpaceDE w:val="0"/>
              <w:autoSpaceDN w:val="0"/>
              <w:adjustRightInd w:val="0"/>
              <w:spacing w:line="276" w:lineRule="auto"/>
              <w:rPr>
                <w:rFonts w:ascii="Calibri" w:hAnsi="Calibri" w:cs="Calibri"/>
                <w:noProof/>
                <w:sz w:val="20"/>
                <w:szCs w:val="20"/>
                <w:vertAlign w:val="superscript"/>
              </w:rPr>
            </w:pPr>
          </w:p>
          <w:p w14:paraId="5086192F" w14:textId="77777777" w:rsidR="00D82224" w:rsidRPr="00327E03" w:rsidRDefault="00D82224" w:rsidP="009B561A">
            <w:pPr>
              <w:spacing w:line="276" w:lineRule="auto"/>
              <w:rPr>
                <w:rFonts w:ascii="Calibri" w:hAnsi="Calibri" w:cs="Calibri"/>
                <w:b/>
                <w:bCs/>
                <w:sz w:val="20"/>
                <w:szCs w:val="20"/>
              </w:rPr>
            </w:pPr>
            <w:r w:rsidRPr="00327E03">
              <w:rPr>
                <w:rFonts w:ascii="Calibri" w:hAnsi="Calibri" w:cs="Calibri"/>
                <w:b/>
                <w:bCs/>
                <w:sz w:val="20"/>
                <w:szCs w:val="20"/>
              </w:rPr>
              <w:t>* Links with Table SRC B</w:t>
            </w:r>
          </w:p>
        </w:tc>
        <w:tc>
          <w:tcPr>
            <w:tcW w:w="4262" w:type="dxa"/>
          </w:tcPr>
          <w:p w14:paraId="4381012E" w14:textId="77777777" w:rsidR="00D82224" w:rsidRPr="009B561A" w:rsidRDefault="00D82224" w:rsidP="009B561A">
            <w:pPr>
              <w:spacing w:line="276" w:lineRule="auto"/>
              <w:rPr>
                <w:rFonts w:ascii="Calibri" w:hAnsi="Calibri" w:cs="Calibri"/>
                <w:sz w:val="20"/>
                <w:szCs w:val="20"/>
              </w:rPr>
            </w:pPr>
          </w:p>
        </w:tc>
        <w:tc>
          <w:tcPr>
            <w:tcW w:w="5811" w:type="dxa"/>
          </w:tcPr>
          <w:p w14:paraId="47172B23" w14:textId="77777777" w:rsidR="00D82224" w:rsidRPr="009B561A" w:rsidRDefault="00D82224" w:rsidP="009B561A">
            <w:pPr>
              <w:spacing w:line="276" w:lineRule="auto"/>
              <w:rPr>
                <w:rFonts w:ascii="Calibri" w:hAnsi="Calibri" w:cs="Calibri"/>
                <w:b/>
                <w:bCs/>
                <w:sz w:val="20"/>
                <w:szCs w:val="20"/>
              </w:rPr>
            </w:pPr>
            <w:r w:rsidRPr="009B561A">
              <w:rPr>
                <w:rFonts w:ascii="Calibri" w:hAnsi="Calibri" w:cs="Calibri"/>
                <w:sz w:val="20"/>
                <w:szCs w:val="20"/>
              </w:rPr>
              <w:t>Previously mentioned in Table SRC B</w:t>
            </w:r>
          </w:p>
        </w:tc>
      </w:tr>
    </w:tbl>
    <w:p w14:paraId="7FE85F13" w14:textId="77777777" w:rsidR="00D82224" w:rsidRPr="009B561A" w:rsidRDefault="00D82224" w:rsidP="009B561A">
      <w:pPr>
        <w:spacing w:before="240" w:line="276" w:lineRule="auto"/>
        <w:rPr>
          <w:rFonts w:ascii="Calibri" w:hAnsi="Calibri" w:cs="Calibri"/>
          <w:b/>
          <w:bCs/>
          <w:sz w:val="20"/>
          <w:szCs w:val="20"/>
        </w:rPr>
      </w:pPr>
    </w:p>
    <w:p w14:paraId="10946925" w14:textId="62A25ECD" w:rsidR="00D82224" w:rsidRPr="00267324" w:rsidRDefault="00D82224" w:rsidP="009B561A">
      <w:pPr>
        <w:spacing w:line="276" w:lineRule="auto"/>
        <w:rPr>
          <w:rFonts w:ascii="Calibri" w:hAnsi="Calibri" w:cs="Calibri"/>
          <w:b/>
          <w:bCs/>
          <w:color w:val="FF0000"/>
          <w:sz w:val="24"/>
          <w:szCs w:val="24"/>
        </w:rPr>
      </w:pPr>
      <w:r w:rsidRPr="005C2D38">
        <w:rPr>
          <w:rFonts w:ascii="Calibri" w:hAnsi="Calibri" w:cs="Calibri"/>
          <w:b/>
          <w:bCs/>
          <w:sz w:val="24"/>
          <w:szCs w:val="24"/>
        </w:rPr>
        <w:lastRenderedPageBreak/>
        <w:t xml:space="preserve">Supplemental File </w:t>
      </w:r>
      <w:r w:rsidR="00D30EFC" w:rsidRPr="005C2D38">
        <w:rPr>
          <w:rFonts w:ascii="Calibri" w:hAnsi="Calibri" w:cs="Calibri"/>
          <w:b/>
          <w:bCs/>
          <w:sz w:val="24"/>
          <w:szCs w:val="24"/>
        </w:rPr>
        <w:t>5</w:t>
      </w:r>
      <w:r w:rsidRPr="005C2D38">
        <w:rPr>
          <w:rFonts w:ascii="Calibri" w:hAnsi="Calibri" w:cs="Calibri"/>
          <w:b/>
          <w:bCs/>
          <w:sz w:val="24"/>
          <w:szCs w:val="24"/>
        </w:rPr>
        <w:t>:</w:t>
      </w:r>
      <w:r w:rsidRPr="000011F7">
        <w:rPr>
          <w:rFonts w:ascii="Calibri" w:hAnsi="Calibri" w:cs="Calibri"/>
          <w:b/>
          <w:bCs/>
          <w:sz w:val="24"/>
          <w:szCs w:val="24"/>
        </w:rPr>
        <w:t xml:space="preserve"> Table </w:t>
      </w:r>
      <w:r w:rsidR="000F08FF" w:rsidRPr="000011F7">
        <w:rPr>
          <w:rFonts w:ascii="Calibri" w:hAnsi="Calibri" w:cs="Calibri"/>
          <w:b/>
          <w:bCs/>
          <w:sz w:val="24"/>
          <w:szCs w:val="24"/>
        </w:rPr>
        <w:t xml:space="preserve">11 </w:t>
      </w:r>
      <w:proofErr w:type="spellStart"/>
      <w:r w:rsidRPr="000011F7">
        <w:rPr>
          <w:rFonts w:ascii="Calibri" w:hAnsi="Calibri" w:cs="Calibri"/>
          <w:b/>
          <w:bCs/>
          <w:sz w:val="24"/>
          <w:szCs w:val="24"/>
        </w:rPr>
        <w:t>i</w:t>
      </w:r>
      <w:proofErr w:type="spellEnd"/>
      <w:r w:rsidRPr="000011F7">
        <w:rPr>
          <w:rFonts w:ascii="Calibri" w:hAnsi="Calibri" w:cs="Calibri"/>
          <w:b/>
          <w:bCs/>
          <w:sz w:val="24"/>
          <w:szCs w:val="24"/>
        </w:rPr>
        <w:t xml:space="preserve"> SARI Recommendation</w:t>
      </w:r>
      <w:r w:rsidRPr="00267324">
        <w:rPr>
          <w:rFonts w:ascii="Calibri" w:hAnsi="Calibri" w:cs="Calibri"/>
          <w:b/>
          <w:bCs/>
          <w:sz w:val="24"/>
          <w:szCs w:val="24"/>
        </w:rPr>
        <w:t xml:space="preserve"> Category (SRC) D Recommendations for Non-Acute Residential Healthcare Institutions (Peer reviewed </w:t>
      </w:r>
      <w:r w:rsidRPr="00574DEA">
        <w:rPr>
          <w:rFonts w:ascii="Calibri" w:hAnsi="Calibri" w:cs="Calibri"/>
          <w:b/>
          <w:bCs/>
          <w:sz w:val="24"/>
          <w:szCs w:val="24"/>
        </w:rPr>
        <w:t>studies n=8)</w:t>
      </w:r>
      <w:r w:rsidR="00B26031" w:rsidRPr="00574DEA">
        <w:rPr>
          <w:rFonts w:ascii="Calibri" w:hAnsi="Calibri" w:cs="Calibri"/>
          <w:b/>
          <w:bCs/>
          <w:sz w:val="24"/>
          <w:szCs w:val="24"/>
        </w:rPr>
        <w:fldChar w:fldCharType="begin" w:fldLock="1"/>
      </w:r>
      <w:r w:rsidR="00B26031" w:rsidRPr="00574DEA">
        <w:rPr>
          <w:rFonts w:ascii="Calibri" w:hAnsi="Calibri" w:cs="Calibri"/>
          <w:b/>
          <w:bCs/>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574DEA">
        <w:rPr>
          <w:rFonts w:ascii="Calibri" w:hAnsi="Calibri" w:cs="Calibri"/>
          <w:b/>
          <w:bCs/>
          <w:sz w:val="24"/>
          <w:szCs w:val="24"/>
        </w:rPr>
        <w:fldChar w:fldCharType="separate"/>
      </w:r>
      <w:r w:rsidR="003723E4" w:rsidRPr="00574DEA">
        <w:rPr>
          <w:rFonts w:ascii="Calibri" w:hAnsi="Calibri" w:cs="Calibri"/>
          <w:bCs/>
          <w:noProof/>
          <w:sz w:val="24"/>
          <w:szCs w:val="24"/>
        </w:rPr>
        <w:t>[</w:t>
      </w:r>
      <w:r w:rsidR="00B26031" w:rsidRPr="00574DEA">
        <w:rPr>
          <w:rFonts w:ascii="Calibri" w:hAnsi="Calibri" w:cs="Calibri"/>
          <w:bCs/>
          <w:noProof/>
          <w:sz w:val="24"/>
          <w:szCs w:val="24"/>
        </w:rPr>
        <w:t>1</w:t>
      </w:r>
      <w:r w:rsidR="003723E4" w:rsidRPr="00574DEA">
        <w:rPr>
          <w:rFonts w:ascii="Calibri" w:hAnsi="Calibri" w:cs="Calibri"/>
          <w:bCs/>
          <w:noProof/>
          <w:sz w:val="24"/>
          <w:szCs w:val="24"/>
        </w:rPr>
        <w:t>]</w:t>
      </w:r>
      <w:r w:rsidR="00B26031" w:rsidRPr="00574DEA">
        <w:rPr>
          <w:rFonts w:ascii="Calibri" w:hAnsi="Calibri" w:cs="Calibri"/>
          <w:b/>
          <w:bCs/>
          <w:sz w:val="24"/>
          <w:szCs w:val="24"/>
        </w:rPr>
        <w:fldChar w:fldCharType="end"/>
      </w:r>
      <w:r w:rsidR="00574DEA" w:rsidRPr="00267324">
        <w:rPr>
          <w:rFonts w:ascii="Calibri" w:hAnsi="Calibri" w:cs="Calibri"/>
          <w:b/>
          <w:bCs/>
          <w:sz w:val="24"/>
          <w:szCs w:val="24"/>
        </w:rPr>
        <w:t xml:space="preserve"> </w:t>
      </w:r>
      <w:r w:rsidRPr="00267324">
        <w:rPr>
          <w:rFonts w:ascii="Calibri" w:hAnsi="Calibri" w:cs="Calibri"/>
          <w:b/>
          <w:bCs/>
          <w:sz w:val="24"/>
          <w:szCs w:val="24"/>
        </w:rPr>
        <w:t xml:space="preserve"> </w:t>
      </w:r>
    </w:p>
    <w:tbl>
      <w:tblPr>
        <w:tblStyle w:val="TableGrid4"/>
        <w:tblW w:w="14170" w:type="dxa"/>
        <w:tblLook w:val="04A0" w:firstRow="1" w:lastRow="0" w:firstColumn="1" w:lastColumn="0" w:noHBand="0" w:noVBand="1"/>
      </w:tblPr>
      <w:tblGrid>
        <w:gridCol w:w="393"/>
        <w:gridCol w:w="2277"/>
        <w:gridCol w:w="2821"/>
        <w:gridCol w:w="2831"/>
        <w:gridCol w:w="5848"/>
      </w:tblGrid>
      <w:tr w:rsidR="00D82224" w:rsidRPr="009B561A" w14:paraId="23B3947C" w14:textId="77777777" w:rsidTr="0087653A">
        <w:trPr>
          <w:cantSplit/>
          <w:tblHeader/>
        </w:trPr>
        <w:tc>
          <w:tcPr>
            <w:tcW w:w="393" w:type="dxa"/>
          </w:tcPr>
          <w:p w14:paraId="2892730E" w14:textId="77777777" w:rsidR="00D82224" w:rsidRPr="009B561A" w:rsidRDefault="00D82224" w:rsidP="009B561A">
            <w:pPr>
              <w:spacing w:line="276" w:lineRule="auto"/>
              <w:jc w:val="center"/>
              <w:rPr>
                <w:rFonts w:ascii="Calibri" w:hAnsi="Calibri" w:cs="Calibri"/>
                <w:color w:val="FF0000"/>
                <w:sz w:val="20"/>
                <w:szCs w:val="20"/>
              </w:rPr>
            </w:pPr>
          </w:p>
        </w:tc>
        <w:tc>
          <w:tcPr>
            <w:tcW w:w="2277" w:type="dxa"/>
          </w:tcPr>
          <w:p w14:paraId="1554A5EC" w14:textId="77777777" w:rsidR="00D82224" w:rsidRPr="009B561A" w:rsidRDefault="00D82224" w:rsidP="009B561A">
            <w:pPr>
              <w:spacing w:line="276" w:lineRule="auto"/>
              <w:jc w:val="center"/>
              <w:rPr>
                <w:rFonts w:ascii="Calibri" w:hAnsi="Calibri" w:cs="Calibri"/>
                <w:b/>
                <w:bCs/>
                <w:color w:val="000000" w:themeColor="text1"/>
                <w:sz w:val="20"/>
                <w:szCs w:val="20"/>
              </w:rPr>
            </w:pPr>
            <w:r w:rsidRPr="009B561A">
              <w:rPr>
                <w:rFonts w:ascii="Calibri" w:hAnsi="Calibri" w:cs="Calibri"/>
                <w:b/>
                <w:bCs/>
                <w:color w:val="000000" w:themeColor="text1"/>
                <w:sz w:val="20"/>
                <w:szCs w:val="20"/>
              </w:rPr>
              <w:t>Author and Year</w:t>
            </w:r>
          </w:p>
        </w:tc>
        <w:tc>
          <w:tcPr>
            <w:tcW w:w="2821" w:type="dxa"/>
          </w:tcPr>
          <w:p w14:paraId="6B6E0D4C" w14:textId="77777777" w:rsidR="00D82224" w:rsidRPr="009B561A" w:rsidRDefault="00D82224" w:rsidP="009B561A">
            <w:pPr>
              <w:spacing w:line="276" w:lineRule="auto"/>
              <w:jc w:val="center"/>
              <w:rPr>
                <w:rFonts w:ascii="Calibri" w:hAnsi="Calibri" w:cs="Calibri"/>
                <w:b/>
                <w:bCs/>
                <w:color w:val="000000" w:themeColor="text1"/>
                <w:sz w:val="20"/>
                <w:szCs w:val="20"/>
              </w:rPr>
            </w:pPr>
            <w:r w:rsidRPr="009B561A">
              <w:rPr>
                <w:rFonts w:ascii="Calibri" w:hAnsi="Calibri" w:cs="Calibri"/>
                <w:b/>
                <w:bCs/>
                <w:color w:val="000000" w:themeColor="text1"/>
                <w:sz w:val="20"/>
                <w:szCs w:val="20"/>
              </w:rPr>
              <w:t>Aims Methods Participants</w:t>
            </w:r>
          </w:p>
        </w:tc>
        <w:tc>
          <w:tcPr>
            <w:tcW w:w="2831" w:type="dxa"/>
          </w:tcPr>
          <w:p w14:paraId="78011025" w14:textId="77777777" w:rsidR="00D82224" w:rsidRPr="009B561A" w:rsidRDefault="00D82224" w:rsidP="009B561A">
            <w:pPr>
              <w:spacing w:line="276" w:lineRule="auto"/>
              <w:jc w:val="center"/>
              <w:rPr>
                <w:rFonts w:ascii="Calibri" w:hAnsi="Calibri" w:cs="Calibri"/>
                <w:b/>
                <w:bCs/>
                <w:color w:val="000000" w:themeColor="text1"/>
                <w:sz w:val="20"/>
                <w:szCs w:val="20"/>
              </w:rPr>
            </w:pPr>
            <w:r w:rsidRPr="009B561A">
              <w:rPr>
                <w:rFonts w:ascii="Calibri" w:hAnsi="Calibri" w:cs="Calibri"/>
                <w:b/>
                <w:bCs/>
                <w:color w:val="000000" w:themeColor="text1"/>
                <w:sz w:val="20"/>
                <w:szCs w:val="20"/>
              </w:rPr>
              <w:t>Results</w:t>
            </w:r>
          </w:p>
        </w:tc>
        <w:tc>
          <w:tcPr>
            <w:tcW w:w="5848" w:type="dxa"/>
          </w:tcPr>
          <w:p w14:paraId="5BD55F3D" w14:textId="77777777" w:rsidR="00D82224" w:rsidRPr="009B561A" w:rsidRDefault="00D82224" w:rsidP="009B561A">
            <w:pPr>
              <w:spacing w:line="276" w:lineRule="auto"/>
              <w:jc w:val="center"/>
              <w:rPr>
                <w:rFonts w:ascii="Calibri" w:hAnsi="Calibri" w:cs="Calibri"/>
                <w:b/>
                <w:bCs/>
                <w:color w:val="FF0000"/>
                <w:sz w:val="20"/>
                <w:szCs w:val="20"/>
              </w:rPr>
            </w:pPr>
            <w:r w:rsidRPr="009B561A">
              <w:rPr>
                <w:rFonts w:ascii="Calibri" w:hAnsi="Calibri" w:cs="Calibri"/>
                <w:b/>
                <w:bCs/>
                <w:sz w:val="20"/>
                <w:szCs w:val="20"/>
              </w:rPr>
              <w:t>Discussion/Conclusions</w:t>
            </w:r>
          </w:p>
        </w:tc>
      </w:tr>
      <w:tr w:rsidR="00D82224" w:rsidRPr="009B561A" w14:paraId="041EEC8E" w14:textId="77777777" w:rsidTr="0087653A">
        <w:tc>
          <w:tcPr>
            <w:tcW w:w="393" w:type="dxa"/>
          </w:tcPr>
          <w:p w14:paraId="3B540D0C"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1</w:t>
            </w:r>
          </w:p>
          <w:p w14:paraId="22856173" w14:textId="77777777" w:rsidR="00D82224" w:rsidRPr="009B561A" w:rsidRDefault="00D82224" w:rsidP="009B561A">
            <w:pPr>
              <w:spacing w:line="276" w:lineRule="auto"/>
              <w:rPr>
                <w:rFonts w:ascii="Calibri" w:hAnsi="Calibri" w:cs="Calibri"/>
                <w:sz w:val="20"/>
                <w:szCs w:val="20"/>
              </w:rPr>
            </w:pPr>
          </w:p>
        </w:tc>
        <w:tc>
          <w:tcPr>
            <w:tcW w:w="2277" w:type="dxa"/>
          </w:tcPr>
          <w:p w14:paraId="71F83551" w14:textId="117D6669"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b/>
                <w:bCs/>
                <w:sz w:val="20"/>
                <w:szCs w:val="20"/>
              </w:rPr>
              <w:t>Burns et al (2015)</w:t>
            </w:r>
            <w:r w:rsidRPr="009B561A">
              <w:rPr>
                <w:rFonts w:ascii="Calibri" w:hAnsi="Calibri" w:cs="Calibri"/>
                <w:b/>
                <w:bCs/>
                <w:sz w:val="20"/>
                <w:szCs w:val="20"/>
                <w:vertAlign w:val="superscript"/>
              </w:rPr>
              <w:t xml:space="preserve"> </w:t>
            </w:r>
            <w:r w:rsidR="00B41190" w:rsidRPr="009B561A">
              <w:rPr>
                <w:rFonts w:ascii="Calibri" w:hAnsi="Calibri" w:cs="Calibri"/>
                <w:b/>
                <w:bCs/>
                <w:sz w:val="20"/>
                <w:szCs w:val="20"/>
                <w:vertAlign w:val="superscript"/>
              </w:rPr>
              <w:fldChar w:fldCharType="begin" w:fldLock="1"/>
            </w:r>
            <w:r w:rsidR="00B41190" w:rsidRPr="009B561A">
              <w:rPr>
                <w:rFonts w:ascii="Calibri" w:hAnsi="Calibri" w:cs="Calibri"/>
                <w:b/>
                <w:bCs/>
                <w:sz w:val="20"/>
                <w:szCs w:val="20"/>
                <w:vertAlign w:val="superscript"/>
              </w:rPr>
              <w:instrText>ADDIN CSL_CITATION {"citationItems":[{"id":"ITEM-1","itemData":{"DOI":"10.1016/j.jhin.2014.12.006","ISSN":"15322939","PMID":"25638357","abstract":"In the context of an ageing European population, point prevalence surveys (PPS) of healthcare-associated infection and antimicrobial use in long-term care facilities (HALT) in Europe were commissioned by the European Centre for Disease Prevention and Control. Sixty-nine Irish long-term care facilities (LTCFs) took part in the first survey in 2010. A series of interventions to raise the profile of infection prevention and control and antimicrobial stewardship in Irish LTCFs followed. HALT was repeated in Ireland in 2011, with 108 participating LTCFs, and again in 2013 as part of the second European HALT survey, with 190 participating LTCFs. The latest Irish HALT report incorporates data from the three PPSs to date, and discusses the findings and the national implementation priorities recommended by the Irish multi-disciplinary steering group. Ireland contributed ~10% of the total resident population in both of the European HALT PPSs. This, and the growing number of participating LTCFs, shows that healthcare professionals in Irish LTCFs are committed to improving the quality and safety of resident care.","author":[{"dropping-particle":"","family":"Burns","given":"K.","non-dropping-particle":"","parse-names":false,"suffix":""},{"dropping-particle":"","family":"Roche","given":"F.","non-dropping-particle":"","parse-names":false,"suffix":""},{"dropping-particle":"","family":"Donlon","given":"S.","non-dropping-particle":"","parse-names":false,"suffix":""}],"container-title":"Journal of Hospital Infection","id":"ITEM-1","issue":"4","issued":{"date-parts":[["2015"]]},"number-of-pages":"276-280","publisher":"W.B. Saunders Ltd","title":"Healthcare-associated infections and antimicrobial use in long-term care facilities: The Irish experience with the HALT surveys","type":"report","volume":"89"},"uris":["http://www.mendeley.com/documents/?uuid=6ac1ca2a-a6a1-3313-983e-c75183350f64"]}],"mendeley":{"formattedCitation":"(29)","plainTextFormattedCitation":"(29)","previouslyFormattedCitation":"(29)"},"properties":{"noteIndex":0},"schema":"https://github.com/citation-style-language/schema/raw/master/csl-citation.json"}</w:instrText>
            </w:r>
            <w:r w:rsidR="00B41190" w:rsidRPr="009B561A">
              <w:rPr>
                <w:rFonts w:ascii="Calibri" w:hAnsi="Calibri" w:cs="Calibri"/>
                <w:b/>
                <w:bCs/>
                <w:sz w:val="20"/>
                <w:szCs w:val="20"/>
                <w:vertAlign w:val="superscript"/>
              </w:rPr>
              <w:fldChar w:fldCharType="separate"/>
            </w:r>
            <w:r w:rsidR="00574DEA">
              <w:rPr>
                <w:rFonts w:ascii="Calibri" w:hAnsi="Calibri" w:cs="Calibri"/>
                <w:bCs/>
                <w:noProof/>
                <w:sz w:val="20"/>
                <w:szCs w:val="20"/>
              </w:rPr>
              <w:t>[</w:t>
            </w:r>
            <w:r w:rsidR="00B41190" w:rsidRPr="009B561A">
              <w:rPr>
                <w:rFonts w:ascii="Calibri" w:hAnsi="Calibri" w:cs="Calibri"/>
                <w:bCs/>
                <w:noProof/>
                <w:sz w:val="20"/>
                <w:szCs w:val="20"/>
              </w:rPr>
              <w:t>29</w:t>
            </w:r>
            <w:r w:rsidR="00574DEA">
              <w:rPr>
                <w:rFonts w:ascii="Calibri" w:hAnsi="Calibri" w:cs="Calibri"/>
                <w:bCs/>
                <w:noProof/>
                <w:sz w:val="20"/>
                <w:szCs w:val="20"/>
              </w:rPr>
              <w:t>]</w:t>
            </w:r>
            <w:r w:rsidR="00B41190" w:rsidRPr="009B561A">
              <w:rPr>
                <w:rFonts w:ascii="Calibri" w:hAnsi="Calibri" w:cs="Calibri"/>
                <w:b/>
                <w:bCs/>
                <w:sz w:val="20"/>
                <w:szCs w:val="20"/>
                <w:vertAlign w:val="superscript"/>
              </w:rPr>
              <w:fldChar w:fldCharType="end"/>
            </w:r>
            <w:r w:rsidR="00574DEA" w:rsidRPr="009B561A">
              <w:rPr>
                <w:rFonts w:ascii="Calibri" w:hAnsi="Calibri" w:cs="Calibri"/>
                <w:b/>
                <w:bCs/>
                <w:sz w:val="20"/>
                <w:szCs w:val="20"/>
                <w:vertAlign w:val="superscript"/>
              </w:rPr>
              <w:t xml:space="preserve"> </w:t>
            </w:r>
          </w:p>
          <w:p w14:paraId="5A225BA3"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Healthcare-associated infections and antimicrobial use in long-term care facilities: the Irish experience with the HALT surveys</w:t>
            </w:r>
          </w:p>
          <w:p w14:paraId="732255C0" w14:textId="77777777" w:rsidR="00D82224" w:rsidRPr="009B561A" w:rsidRDefault="00D82224" w:rsidP="009B561A">
            <w:pPr>
              <w:spacing w:line="276" w:lineRule="auto"/>
              <w:rPr>
                <w:rFonts w:ascii="Calibri" w:hAnsi="Calibri" w:cs="Calibri"/>
                <w:b/>
                <w:bCs/>
                <w:color w:val="FF0000"/>
                <w:sz w:val="20"/>
                <w:szCs w:val="20"/>
                <w:highlight w:val="magenta"/>
              </w:rPr>
            </w:pPr>
            <w:r w:rsidRPr="009B561A">
              <w:rPr>
                <w:rFonts w:ascii="Calibri" w:hAnsi="Calibri" w:cs="Calibri"/>
                <w:b/>
                <w:bCs/>
                <w:sz w:val="20"/>
                <w:szCs w:val="20"/>
              </w:rPr>
              <w:t>*Links with Table SRC C</w:t>
            </w:r>
          </w:p>
        </w:tc>
        <w:tc>
          <w:tcPr>
            <w:tcW w:w="2821" w:type="dxa"/>
          </w:tcPr>
          <w:p w14:paraId="0740A947"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Aims</w:t>
            </w:r>
            <w:r w:rsidRPr="009B561A">
              <w:rPr>
                <w:rFonts w:ascii="Calibri" w:hAnsi="Calibri" w:cs="Calibri"/>
                <w:color w:val="000000" w:themeColor="text1"/>
                <w:sz w:val="20"/>
                <w:szCs w:val="20"/>
              </w:rPr>
              <w:t>: To survey IPC and antimicrobial stewardship resources in Irish LTCFs</w:t>
            </w:r>
          </w:p>
          <w:p w14:paraId="56AACC74"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Methods:</w:t>
            </w:r>
            <w:r w:rsidRPr="009B561A">
              <w:rPr>
                <w:rFonts w:ascii="Calibri" w:hAnsi="Calibri" w:cs="Calibri"/>
                <w:color w:val="000000" w:themeColor="text1"/>
                <w:sz w:val="20"/>
                <w:szCs w:val="20"/>
              </w:rPr>
              <w:t xml:space="preserve"> Survey</w:t>
            </w:r>
          </w:p>
          <w:p w14:paraId="717258CD"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Participants:</w:t>
            </w:r>
            <w:r w:rsidRPr="009B561A">
              <w:rPr>
                <w:rFonts w:ascii="Calibri" w:hAnsi="Calibri" w:cs="Calibri"/>
                <w:color w:val="000000" w:themeColor="text1"/>
                <w:sz w:val="20"/>
                <w:szCs w:val="20"/>
              </w:rPr>
              <w:t xml:space="preserve"> Sixty-nine Long Term Care Facilities (61 in public and 8 in private ownership)</w:t>
            </w:r>
          </w:p>
          <w:p w14:paraId="4AC5A86F"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b/>
                <w:bCs/>
                <w:sz w:val="20"/>
                <w:szCs w:val="20"/>
              </w:rPr>
              <w:t xml:space="preserve">Recruitment: </w:t>
            </w:r>
            <w:r w:rsidRPr="009B561A">
              <w:rPr>
                <w:rFonts w:ascii="Calibri" w:hAnsi="Calibri" w:cs="Calibri"/>
                <w:sz w:val="20"/>
                <w:szCs w:val="20"/>
              </w:rPr>
              <w:t>Email</w:t>
            </w:r>
          </w:p>
          <w:p w14:paraId="1BDB7CD3" w14:textId="77777777" w:rsidR="00D82224" w:rsidRPr="009B561A" w:rsidRDefault="00D82224" w:rsidP="009B561A">
            <w:pPr>
              <w:spacing w:line="276" w:lineRule="auto"/>
              <w:rPr>
                <w:rFonts w:ascii="Calibri" w:hAnsi="Calibri" w:cs="Calibri"/>
                <w:b/>
                <w:bCs/>
                <w:color w:val="FF0000"/>
                <w:sz w:val="20"/>
                <w:szCs w:val="20"/>
                <w:highlight w:val="magenta"/>
              </w:rPr>
            </w:pPr>
          </w:p>
        </w:tc>
        <w:tc>
          <w:tcPr>
            <w:tcW w:w="2831" w:type="dxa"/>
          </w:tcPr>
          <w:p w14:paraId="4E505D9A" w14:textId="77777777" w:rsidR="00D82224" w:rsidRPr="009B561A" w:rsidRDefault="00D82224" w:rsidP="009B561A">
            <w:pPr>
              <w:widowControl w:val="0"/>
              <w:autoSpaceDE w:val="0"/>
              <w:autoSpaceDN w:val="0"/>
              <w:adjustRightInd w:val="0"/>
              <w:spacing w:line="276" w:lineRule="auto"/>
              <w:rPr>
                <w:rFonts w:ascii="Calibri" w:hAnsi="Calibri" w:cs="Calibri"/>
                <w:b/>
                <w:bCs/>
                <w:color w:val="FF0000"/>
                <w:sz w:val="20"/>
                <w:szCs w:val="20"/>
              </w:rPr>
            </w:pPr>
          </w:p>
        </w:tc>
        <w:tc>
          <w:tcPr>
            <w:tcW w:w="5848" w:type="dxa"/>
          </w:tcPr>
          <w:p w14:paraId="7C23CA90"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Previously mentioned in Table</w:t>
            </w:r>
            <w:r w:rsidRPr="009B561A">
              <w:rPr>
                <w:rFonts w:ascii="Calibri" w:hAnsi="Calibri" w:cs="Calibri"/>
                <w:b/>
                <w:bCs/>
                <w:sz w:val="20"/>
                <w:szCs w:val="20"/>
              </w:rPr>
              <w:t xml:space="preserve"> </w:t>
            </w:r>
            <w:r w:rsidRPr="009B561A">
              <w:rPr>
                <w:rFonts w:ascii="Calibri" w:hAnsi="Calibri" w:cs="Calibri"/>
                <w:sz w:val="20"/>
                <w:szCs w:val="20"/>
              </w:rPr>
              <w:t>SRC C</w:t>
            </w:r>
          </w:p>
        </w:tc>
      </w:tr>
      <w:tr w:rsidR="00D82224" w:rsidRPr="009B561A" w14:paraId="5AC7DF04" w14:textId="77777777" w:rsidTr="0087653A">
        <w:tc>
          <w:tcPr>
            <w:tcW w:w="393" w:type="dxa"/>
          </w:tcPr>
          <w:p w14:paraId="3165A8FA"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2</w:t>
            </w:r>
          </w:p>
        </w:tc>
        <w:tc>
          <w:tcPr>
            <w:tcW w:w="2277" w:type="dxa"/>
          </w:tcPr>
          <w:p w14:paraId="24104ACD" w14:textId="0A945568" w:rsidR="00D82224" w:rsidRPr="00574DEA" w:rsidRDefault="00D82224" w:rsidP="009B561A">
            <w:pPr>
              <w:spacing w:line="276" w:lineRule="auto"/>
              <w:rPr>
                <w:rFonts w:ascii="Calibri" w:hAnsi="Calibri" w:cs="Calibri"/>
                <w:b/>
                <w:bCs/>
                <w:sz w:val="20"/>
                <w:szCs w:val="20"/>
                <w:vertAlign w:val="superscript"/>
              </w:rPr>
            </w:pPr>
            <w:r w:rsidRPr="00574DEA">
              <w:rPr>
                <w:rFonts w:ascii="Calibri" w:hAnsi="Calibri" w:cs="Calibri"/>
                <w:b/>
                <w:bCs/>
                <w:sz w:val="20"/>
                <w:szCs w:val="20"/>
              </w:rPr>
              <w:t xml:space="preserve">Donlon et al (2013) </w:t>
            </w:r>
            <w:r w:rsidR="009C4E60" w:rsidRPr="00574DEA">
              <w:rPr>
                <w:rFonts w:ascii="Calibri" w:hAnsi="Calibri" w:cs="Calibri"/>
                <w:b/>
                <w:bCs/>
                <w:sz w:val="20"/>
                <w:szCs w:val="20"/>
              </w:rPr>
              <w:fldChar w:fldCharType="begin" w:fldLock="1"/>
            </w:r>
            <w:r w:rsidR="009C4E60" w:rsidRPr="00574DEA">
              <w:rPr>
                <w:rFonts w:ascii="Calibri" w:hAnsi="Calibri" w:cs="Calibri"/>
                <w:b/>
                <w:bCs/>
                <w:sz w:val="20"/>
                <w:szCs w:val="20"/>
              </w:rPr>
              <w:instrText>ADDIN CSL_CITATION {"citationItems":[{"id":"ITEM-1","itemData":{"DOI":"10.1016/j.ajic.2012.06.010","ISSN":"01966553","PMID":"23149086","abstract":"Background: Information on infection prevention and control (IPC) and antimicrobial stewardship activities in Irish long-term care facilities (LTCFs) is limited. Methods: A survey detailing IPC and antimicrobial stewardship activities, including staffing and bed capacity, was circulated to Irish LTCFs. Results: Sixty-nine LTCFs (61 public, 8 private) were surveyed, 56 (81%) of which had an IPC practitioner. Thirty-five (51%) LTCFs had an IPC committee that met on average 5 times (range, 1-10) during the previous year. LTCFs with IPC practitioners based solely in the facility (n = 17) were more likely to have an IPC committee (P =.027). Antimicrobial guidelines were available in 28% (n = 19) and 16% (n = 11) had an antimicrobial stewardship committee in place. Medical care was provided by general practitioners in 51% (n = 35), by physicians employed by the LTCFs in 35% (n = 24), or by both in 14% (n = 10). Medical care and activities were coordinated in 45% (n = 31) of LTCFs. These LTCFs were more likely to have an IPC committee (P &lt;.001), medical staff training (P &lt;.001), and antimicrobial guidelines (P =.005) in place. Conclusion: There are significant gaps in Irish LTCFs' IPC and antibiotic stewardship programs and governance structures, highlighting the need for specific LTCF national initiatives. © Copyright 2013 by the Association for Professionals in Infection Control and Epidemiology, Inc. Published by Elsevier Inc. All rights reserved.","author":[{"dropping-particle":"","family":"Donlon","given":"Sheila","non-dropping-particle":"","parse-names":false,"suffix":""},{"dropping-particle":"","family":"Roche","given":"Fiona","non-dropping-particle":"","parse-names":false,"suffix":""},{"dropping-particle":"","family":"Byrne","given":"Helen","non-dropping-particle":"","parse-names":false,"suffix":""},{"dropping-particle":"","family":"Dowling","given":"Siobhan","non-dropping-particle":"","parse-names":false,"suffix":""},{"dropping-particle":"","family":"Cotter","given":"Meaghan","non-dropping-particle":"","parse-names":false,"suffix":""},{"dropping-particle":"","family":"Fitzpatrick","given":"Fidelma","non-dropping-particle":"","parse-names":false,"suffix":""}],"container-title":"American Journal of Infection Control","id":"ITEM-1","issue":"6","issued":{"date-parts":[["2013","6"]]},"page":"554-557","title":"A national survey of infection control and antimicrobial stewardship structures in Irish long-term care facilities","type":"article-journal","volume":"41"},"uris":["http://www.mendeley.com/documents/?uuid=f7ced62c-d3e3-301b-b38b-fe8dab31019e"]}],"mendeley":{"formattedCitation":"(50)","plainTextFormattedCitation":"(50)","previouslyFormattedCitation":"(50)"},"properties":{"noteIndex":0},"schema":"https://github.com/citation-style-language/schema/raw/master/csl-citation.json"}</w:instrText>
            </w:r>
            <w:r w:rsidR="009C4E60" w:rsidRPr="00574DEA">
              <w:rPr>
                <w:rFonts w:ascii="Calibri" w:hAnsi="Calibri" w:cs="Calibri"/>
                <w:b/>
                <w:bCs/>
                <w:sz w:val="20"/>
                <w:szCs w:val="20"/>
              </w:rPr>
              <w:fldChar w:fldCharType="separate"/>
            </w:r>
            <w:r w:rsidR="00574DEA" w:rsidRPr="00574DEA">
              <w:rPr>
                <w:rFonts w:ascii="Calibri" w:hAnsi="Calibri" w:cs="Calibri"/>
                <w:bCs/>
                <w:noProof/>
                <w:sz w:val="20"/>
                <w:szCs w:val="20"/>
              </w:rPr>
              <w:t>[</w:t>
            </w:r>
            <w:r w:rsidR="009C4E60" w:rsidRPr="00574DEA">
              <w:rPr>
                <w:rFonts w:ascii="Calibri" w:hAnsi="Calibri" w:cs="Calibri"/>
                <w:bCs/>
                <w:noProof/>
                <w:sz w:val="20"/>
                <w:szCs w:val="20"/>
              </w:rPr>
              <w:t>50</w:t>
            </w:r>
            <w:r w:rsidR="00574DEA" w:rsidRPr="00574DEA">
              <w:rPr>
                <w:rFonts w:ascii="Calibri" w:hAnsi="Calibri" w:cs="Calibri"/>
                <w:bCs/>
                <w:noProof/>
                <w:sz w:val="20"/>
                <w:szCs w:val="20"/>
              </w:rPr>
              <w:t>]</w:t>
            </w:r>
            <w:r w:rsidR="009C4E60" w:rsidRPr="00574DEA">
              <w:rPr>
                <w:rFonts w:ascii="Calibri" w:hAnsi="Calibri" w:cs="Calibri"/>
                <w:b/>
                <w:bCs/>
                <w:sz w:val="20"/>
                <w:szCs w:val="20"/>
              </w:rPr>
              <w:fldChar w:fldCharType="end"/>
            </w:r>
            <w:r w:rsidR="00574DEA" w:rsidRPr="00574DEA">
              <w:rPr>
                <w:rFonts w:ascii="Calibri" w:hAnsi="Calibri" w:cs="Calibri"/>
                <w:b/>
                <w:bCs/>
                <w:sz w:val="20"/>
                <w:szCs w:val="20"/>
                <w:vertAlign w:val="superscript"/>
              </w:rPr>
              <w:t xml:space="preserve"> </w:t>
            </w:r>
          </w:p>
          <w:p w14:paraId="201254FE" w14:textId="77777777" w:rsidR="00D82224" w:rsidRPr="00574DEA" w:rsidRDefault="00D82224" w:rsidP="009B561A">
            <w:pPr>
              <w:spacing w:line="276" w:lineRule="auto"/>
              <w:rPr>
                <w:rFonts w:ascii="Calibri" w:hAnsi="Calibri" w:cs="Calibri"/>
                <w:sz w:val="20"/>
                <w:szCs w:val="20"/>
              </w:rPr>
            </w:pPr>
            <w:r w:rsidRPr="00574DEA">
              <w:rPr>
                <w:rFonts w:ascii="Calibri" w:hAnsi="Calibri" w:cs="Calibri"/>
                <w:sz w:val="20"/>
                <w:szCs w:val="20"/>
              </w:rPr>
              <w:t>A national survey of infection control and antimicrobial stewardship structures in Irish long-term care facilities</w:t>
            </w:r>
          </w:p>
          <w:p w14:paraId="7A5368CA" w14:textId="77777777" w:rsidR="00D82224" w:rsidRPr="00574DEA" w:rsidRDefault="00D82224" w:rsidP="009B561A">
            <w:pPr>
              <w:spacing w:line="276" w:lineRule="auto"/>
              <w:rPr>
                <w:rFonts w:ascii="Calibri" w:hAnsi="Calibri" w:cs="Calibri"/>
                <w:b/>
                <w:bCs/>
                <w:color w:val="000000" w:themeColor="text1"/>
                <w:sz w:val="20"/>
                <w:szCs w:val="20"/>
              </w:rPr>
            </w:pPr>
          </w:p>
        </w:tc>
        <w:tc>
          <w:tcPr>
            <w:tcW w:w="2821" w:type="dxa"/>
          </w:tcPr>
          <w:p w14:paraId="6CE80963" w14:textId="77777777" w:rsidR="00D82224" w:rsidRPr="00574DEA" w:rsidRDefault="00D82224" w:rsidP="009B561A">
            <w:pPr>
              <w:spacing w:line="276" w:lineRule="auto"/>
              <w:rPr>
                <w:rFonts w:ascii="Calibri" w:hAnsi="Calibri" w:cs="Calibri"/>
                <w:b/>
                <w:bCs/>
                <w:color w:val="000000" w:themeColor="text1"/>
                <w:sz w:val="20"/>
                <w:szCs w:val="20"/>
              </w:rPr>
            </w:pPr>
            <w:r w:rsidRPr="00574DEA">
              <w:rPr>
                <w:rFonts w:ascii="Calibri" w:hAnsi="Calibri" w:cs="Calibri"/>
                <w:b/>
                <w:bCs/>
                <w:color w:val="000000" w:themeColor="text1"/>
                <w:sz w:val="20"/>
                <w:szCs w:val="20"/>
              </w:rPr>
              <w:t>Aims</w:t>
            </w:r>
            <w:r w:rsidRPr="00574DEA">
              <w:rPr>
                <w:rFonts w:ascii="Calibri" w:hAnsi="Calibri" w:cs="Calibri"/>
                <w:color w:val="000000" w:themeColor="text1"/>
                <w:sz w:val="20"/>
                <w:szCs w:val="20"/>
              </w:rPr>
              <w:t>: To survey IPC and antimicrobial stewardship resources in Irish LTCFs</w:t>
            </w:r>
          </w:p>
          <w:p w14:paraId="1CBD0C7C" w14:textId="77777777" w:rsidR="00D82224" w:rsidRPr="00574DEA" w:rsidRDefault="00D82224" w:rsidP="009B561A">
            <w:pPr>
              <w:spacing w:line="276" w:lineRule="auto"/>
              <w:rPr>
                <w:rFonts w:ascii="Calibri" w:hAnsi="Calibri" w:cs="Calibri"/>
                <w:b/>
                <w:bCs/>
                <w:color w:val="000000" w:themeColor="text1"/>
                <w:sz w:val="20"/>
                <w:szCs w:val="20"/>
              </w:rPr>
            </w:pPr>
            <w:r w:rsidRPr="00574DEA">
              <w:rPr>
                <w:rFonts w:ascii="Calibri" w:hAnsi="Calibri" w:cs="Calibri"/>
                <w:b/>
                <w:bCs/>
                <w:color w:val="000000" w:themeColor="text1"/>
                <w:sz w:val="20"/>
                <w:szCs w:val="20"/>
              </w:rPr>
              <w:t>Methods:</w:t>
            </w:r>
            <w:r w:rsidRPr="00574DEA">
              <w:rPr>
                <w:rFonts w:ascii="Calibri" w:hAnsi="Calibri" w:cs="Calibri"/>
                <w:color w:val="000000" w:themeColor="text1"/>
                <w:sz w:val="20"/>
                <w:szCs w:val="20"/>
              </w:rPr>
              <w:t xml:space="preserve"> Survey</w:t>
            </w:r>
          </w:p>
          <w:p w14:paraId="1B94ABB8" w14:textId="77777777" w:rsidR="00D82224" w:rsidRPr="00574DEA" w:rsidRDefault="00D82224" w:rsidP="009B561A">
            <w:pPr>
              <w:spacing w:line="276" w:lineRule="auto"/>
              <w:rPr>
                <w:rFonts w:ascii="Calibri" w:hAnsi="Calibri" w:cs="Calibri"/>
                <w:color w:val="000000" w:themeColor="text1"/>
                <w:sz w:val="20"/>
                <w:szCs w:val="20"/>
              </w:rPr>
            </w:pPr>
            <w:r w:rsidRPr="00574DEA">
              <w:rPr>
                <w:rFonts w:ascii="Calibri" w:hAnsi="Calibri" w:cs="Calibri"/>
                <w:b/>
                <w:bCs/>
                <w:color w:val="000000" w:themeColor="text1"/>
                <w:sz w:val="20"/>
                <w:szCs w:val="20"/>
              </w:rPr>
              <w:t>Participants:</w:t>
            </w:r>
            <w:r w:rsidRPr="00574DEA">
              <w:rPr>
                <w:rFonts w:ascii="Calibri" w:hAnsi="Calibri" w:cs="Calibri"/>
                <w:color w:val="000000" w:themeColor="text1"/>
                <w:sz w:val="20"/>
                <w:szCs w:val="20"/>
              </w:rPr>
              <w:t xml:space="preserve"> Sixty-nine Long Term Care Facilities (61 in public and 8 in private ownership)</w:t>
            </w:r>
          </w:p>
          <w:p w14:paraId="318C6DF0" w14:textId="77777777" w:rsidR="00D82224" w:rsidRPr="00574DEA" w:rsidRDefault="00D82224" w:rsidP="009B561A">
            <w:pPr>
              <w:spacing w:line="276" w:lineRule="auto"/>
              <w:rPr>
                <w:rFonts w:ascii="Calibri" w:hAnsi="Calibri" w:cs="Calibri"/>
                <w:sz w:val="20"/>
                <w:szCs w:val="20"/>
              </w:rPr>
            </w:pPr>
            <w:r w:rsidRPr="00574DEA">
              <w:rPr>
                <w:rFonts w:ascii="Calibri" w:hAnsi="Calibri" w:cs="Calibri"/>
                <w:b/>
                <w:bCs/>
                <w:sz w:val="20"/>
                <w:szCs w:val="20"/>
              </w:rPr>
              <w:t xml:space="preserve">Recruitment: </w:t>
            </w:r>
            <w:r w:rsidRPr="00574DEA">
              <w:rPr>
                <w:rFonts w:ascii="Calibri" w:hAnsi="Calibri" w:cs="Calibri"/>
                <w:sz w:val="20"/>
                <w:szCs w:val="20"/>
              </w:rPr>
              <w:t>Email</w:t>
            </w:r>
          </w:p>
          <w:p w14:paraId="73625D96" w14:textId="77777777" w:rsidR="00D82224" w:rsidRPr="00574DEA" w:rsidRDefault="00D82224" w:rsidP="009B561A">
            <w:pPr>
              <w:spacing w:line="276" w:lineRule="auto"/>
              <w:rPr>
                <w:rFonts w:ascii="Calibri" w:hAnsi="Calibri" w:cs="Calibri"/>
                <w:b/>
                <w:bCs/>
                <w:color w:val="FF0000"/>
                <w:sz w:val="20"/>
                <w:szCs w:val="20"/>
              </w:rPr>
            </w:pPr>
          </w:p>
        </w:tc>
        <w:tc>
          <w:tcPr>
            <w:tcW w:w="2831" w:type="dxa"/>
          </w:tcPr>
          <w:p w14:paraId="1FAD35AF" w14:textId="77777777" w:rsidR="00D82224" w:rsidRPr="009B561A" w:rsidRDefault="00D82224" w:rsidP="009B561A">
            <w:pPr>
              <w:widowControl w:val="0"/>
              <w:autoSpaceDE w:val="0"/>
              <w:autoSpaceDN w:val="0"/>
              <w:adjustRightInd w:val="0"/>
              <w:spacing w:line="276" w:lineRule="auto"/>
              <w:rPr>
                <w:rFonts w:ascii="Calibri" w:hAnsi="Calibri" w:cs="Calibri"/>
                <w:b/>
                <w:bCs/>
                <w:color w:val="FF0000"/>
                <w:sz w:val="20"/>
                <w:szCs w:val="20"/>
              </w:rPr>
            </w:pPr>
            <w:r w:rsidRPr="009B561A">
              <w:rPr>
                <w:rFonts w:ascii="Calibri" w:hAnsi="Calibri" w:cs="Calibri"/>
                <w:color w:val="000000" w:themeColor="text1"/>
                <w:sz w:val="20"/>
                <w:szCs w:val="20"/>
              </w:rPr>
              <w:t>Guidelines for appropriate antimicrobial use were available in 28% (n = 19) of LTCFs. Antimicrobial guidelines were more likely to be in use in LTCFs with a coordinating physician (45%) compared with facilities without a coordinating physician (14%) (OR, 5.134; 95% CI, 1.614-18.36; P ¼ .005). Only 16% (n = 11) had an antimicrobial stewardship committee.</w:t>
            </w:r>
          </w:p>
        </w:tc>
        <w:tc>
          <w:tcPr>
            <w:tcW w:w="5848" w:type="dxa"/>
          </w:tcPr>
          <w:p w14:paraId="52F14D85"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First time to survey AMS resources in LTCFs- to inform national patient safety and HCAI prevention programmes.</w:t>
            </w:r>
          </w:p>
          <w:p w14:paraId="0E37C415" w14:textId="77777777" w:rsidR="00D82224" w:rsidRPr="009B561A" w:rsidRDefault="00D82224" w:rsidP="009B561A">
            <w:pPr>
              <w:spacing w:line="276" w:lineRule="auto"/>
              <w:rPr>
                <w:rFonts w:ascii="Calibri" w:hAnsi="Calibri" w:cs="Calibri"/>
                <w:b/>
                <w:bCs/>
                <w:color w:val="000000" w:themeColor="text1"/>
                <w:sz w:val="20"/>
                <w:szCs w:val="20"/>
              </w:rPr>
            </w:pPr>
          </w:p>
          <w:p w14:paraId="0C6A082A"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color w:val="000000" w:themeColor="text1"/>
                <w:sz w:val="20"/>
                <w:szCs w:val="20"/>
              </w:rPr>
              <w:t>There are significant gaps in Irish LTCFs’ IPC and antibiotic stewardship programs and governance structures.</w:t>
            </w:r>
          </w:p>
        </w:tc>
      </w:tr>
      <w:tr w:rsidR="00D82224" w:rsidRPr="009B561A" w14:paraId="06FC4C17" w14:textId="77777777" w:rsidTr="0087653A">
        <w:tc>
          <w:tcPr>
            <w:tcW w:w="393" w:type="dxa"/>
          </w:tcPr>
          <w:p w14:paraId="40C3794A"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3</w:t>
            </w:r>
          </w:p>
        </w:tc>
        <w:tc>
          <w:tcPr>
            <w:tcW w:w="2277" w:type="dxa"/>
          </w:tcPr>
          <w:p w14:paraId="2610E7BF" w14:textId="6960E268" w:rsidR="00D82224" w:rsidRPr="00574DEA" w:rsidRDefault="00D82224" w:rsidP="009B561A">
            <w:pPr>
              <w:spacing w:line="276" w:lineRule="auto"/>
              <w:rPr>
                <w:rFonts w:ascii="Calibri" w:hAnsi="Calibri" w:cs="Calibri"/>
                <w:b/>
                <w:bCs/>
                <w:sz w:val="20"/>
                <w:szCs w:val="20"/>
                <w:vertAlign w:val="superscript"/>
              </w:rPr>
            </w:pPr>
            <w:r w:rsidRPr="00574DEA">
              <w:rPr>
                <w:rFonts w:ascii="Calibri" w:hAnsi="Calibri" w:cs="Calibri"/>
                <w:b/>
                <w:bCs/>
                <w:sz w:val="20"/>
                <w:szCs w:val="20"/>
              </w:rPr>
              <w:t xml:space="preserve">Fleming et al 2014 </w:t>
            </w:r>
            <w:r w:rsidR="009C4E60" w:rsidRPr="00574DEA">
              <w:rPr>
                <w:rFonts w:ascii="Calibri" w:hAnsi="Calibri" w:cs="Calibri"/>
                <w:b/>
                <w:bCs/>
                <w:sz w:val="20"/>
                <w:szCs w:val="20"/>
              </w:rPr>
              <w:fldChar w:fldCharType="begin" w:fldLock="1"/>
            </w:r>
            <w:r w:rsidR="009C4E60" w:rsidRPr="00574DEA">
              <w:rPr>
                <w:rFonts w:ascii="Calibri" w:hAnsi="Calibri" w:cs="Calibri"/>
                <w:b/>
                <w:bCs/>
                <w:sz w:val="20"/>
                <w:szCs w:val="20"/>
              </w:rPr>
              <w:instrText>ADDIN CSL_CITATION {"citationItems":[{"id":"ITEM-1","itemData":{"DOI":"10.1136/bmjopen-2014-006442","ISSN":"20446055","PMID":"25377014","abstract":"Objectives: To explore healthcare professionals' views of antibiotic prescribing in long-term care facilities (LTCFs). To use the findings to recommend intervention strategies for antimicrobial stewardship in LTCFs. Design: Qualitative semistructured interviews were conducted. The data were analysed by thematic content analysis. After the interviews, the emerging findings were mapped to the theoretical domains framework (TDF), and the behaviour change wheel and behaviour change technique (BCT) taxonomy were used to recommend future intervention strategies. Participants: Interviews were conducted with 37 healthcare professionals who work in LTCFs (10 general practitioners, 4 consultants, 14 nurses, 9 pharmacists) between December 2012 and March 2013. Setting: Interviews were conducted in the greater Cork region. Results: The main domains from the TDF which emerged were: 'Knowledge', 'Environmental context and resources', 'Social influences', 'Beliefs about consequences', 'Memory, attention and decision making', with the findings identifying a need for 'Behavioural regulation'. Many participants believed that antibiotic prescribing was satisfactory at their LTCF, despite the lack of surveillance activities. Conclusions: This study, using the TDF and BCT taxonomy, has found that antibiotic prescribing in LTCFs is influenced by many social and contextual factors. The challenges of the setting and patient population, the belief about consequences to the patient, and the lack of implementation of guidelines and knowledge regarding antibiotic prescribing patterns are significant challenges to address. On the basis of the study findings and the application of the TDF and BCT taxonomy, we suggest some practical intervention functions for antimicrobial stewardship in LTCFs.","author":[{"dropping-particle":"","family":"Fleming","given":"Aoife","non-dropping-particle":"","parse-names":false,"suffix":""},{"dropping-particle":"","family":"Bradley","given":"Colin","non-dropping-particle":"","parse-names":false,"suffix":""},{"dropping-particle":"","family":"Cullinan","given":"Shane","non-dropping-particle":"","parse-names":false,"suffix":""},{"dropping-particle":"","family":"Byrne","given":"Stephen","non-dropping-particle":"","parse-names":false,"suffix":""}],"container-title":"BMJ Open","id":"ITEM-1","issue":"11","issued":{"date-parts":[["2014"]]},"page":"1-13","title":"Antibiotic prescribing in long-term care facilities: A qualitative, multidisciplinary investigation","type":"article-journal","volume":"4"},"uris":["http://www.mendeley.com/documents/?uuid=a8554b1a-1c6d-45d1-a49e-a32616a971f1"]}],"mendeley":{"formattedCitation":"(51)","plainTextFormattedCitation":"(51)","previouslyFormattedCitation":"(51)"},"properties":{"noteIndex":0},"schema":"https://github.com/citation-style-language/schema/raw/master/csl-citation.json"}</w:instrText>
            </w:r>
            <w:r w:rsidR="009C4E60" w:rsidRPr="00574DEA">
              <w:rPr>
                <w:rFonts w:ascii="Calibri" w:hAnsi="Calibri" w:cs="Calibri"/>
                <w:b/>
                <w:bCs/>
                <w:sz w:val="20"/>
                <w:szCs w:val="20"/>
              </w:rPr>
              <w:fldChar w:fldCharType="separate"/>
            </w:r>
            <w:r w:rsidR="00574DEA" w:rsidRPr="00574DEA">
              <w:rPr>
                <w:rFonts w:ascii="Calibri" w:hAnsi="Calibri" w:cs="Calibri"/>
                <w:bCs/>
                <w:noProof/>
                <w:sz w:val="20"/>
                <w:szCs w:val="20"/>
              </w:rPr>
              <w:t>[</w:t>
            </w:r>
            <w:r w:rsidR="009C4E60" w:rsidRPr="00574DEA">
              <w:rPr>
                <w:rFonts w:ascii="Calibri" w:hAnsi="Calibri" w:cs="Calibri"/>
                <w:bCs/>
                <w:noProof/>
                <w:sz w:val="20"/>
                <w:szCs w:val="20"/>
              </w:rPr>
              <w:t>51</w:t>
            </w:r>
            <w:r w:rsidR="00574DEA" w:rsidRPr="00574DEA">
              <w:rPr>
                <w:rFonts w:ascii="Calibri" w:hAnsi="Calibri" w:cs="Calibri"/>
                <w:bCs/>
                <w:noProof/>
                <w:sz w:val="20"/>
                <w:szCs w:val="20"/>
              </w:rPr>
              <w:t>]</w:t>
            </w:r>
            <w:r w:rsidR="009C4E60" w:rsidRPr="00574DEA">
              <w:rPr>
                <w:rFonts w:ascii="Calibri" w:hAnsi="Calibri" w:cs="Calibri"/>
                <w:b/>
                <w:bCs/>
                <w:sz w:val="20"/>
                <w:szCs w:val="20"/>
              </w:rPr>
              <w:fldChar w:fldCharType="end"/>
            </w:r>
            <w:r w:rsidR="00574DEA" w:rsidRPr="00574DEA">
              <w:rPr>
                <w:rFonts w:ascii="Calibri" w:hAnsi="Calibri" w:cs="Calibri"/>
                <w:b/>
                <w:bCs/>
                <w:sz w:val="20"/>
                <w:szCs w:val="20"/>
                <w:vertAlign w:val="superscript"/>
              </w:rPr>
              <w:t xml:space="preserve"> </w:t>
            </w:r>
          </w:p>
          <w:p w14:paraId="71975862" w14:textId="77777777" w:rsidR="00D82224" w:rsidRPr="00574DEA" w:rsidRDefault="00D82224" w:rsidP="009B561A">
            <w:pPr>
              <w:spacing w:line="276" w:lineRule="auto"/>
              <w:rPr>
                <w:rFonts w:ascii="Calibri" w:hAnsi="Calibri" w:cs="Calibri"/>
                <w:b/>
                <w:bCs/>
                <w:sz w:val="20"/>
                <w:szCs w:val="20"/>
                <w:vertAlign w:val="superscript"/>
              </w:rPr>
            </w:pPr>
            <w:r w:rsidRPr="00574DEA">
              <w:rPr>
                <w:rFonts w:ascii="Calibri" w:hAnsi="Calibri" w:cs="Calibri"/>
                <w:sz w:val="20"/>
                <w:szCs w:val="20"/>
              </w:rPr>
              <w:t xml:space="preserve">Antibiotic prescribing in long-term care facilities: a qualitative, </w:t>
            </w:r>
            <w:r w:rsidRPr="00574DEA">
              <w:rPr>
                <w:rFonts w:ascii="Calibri" w:hAnsi="Calibri" w:cs="Calibri"/>
                <w:sz w:val="20"/>
                <w:szCs w:val="20"/>
              </w:rPr>
              <w:lastRenderedPageBreak/>
              <w:t>multidisciplinary investigation</w:t>
            </w:r>
            <w:r w:rsidRPr="00574DEA">
              <w:rPr>
                <w:rFonts w:ascii="Calibri" w:hAnsi="Calibri" w:cs="Calibri"/>
                <w:b/>
                <w:bCs/>
                <w:sz w:val="20"/>
                <w:szCs w:val="20"/>
              </w:rPr>
              <w:t xml:space="preserve"> </w:t>
            </w:r>
          </w:p>
          <w:p w14:paraId="5626AB2D" w14:textId="77777777" w:rsidR="00D82224" w:rsidRPr="00574DEA" w:rsidRDefault="00D82224" w:rsidP="009B561A">
            <w:pPr>
              <w:spacing w:line="276" w:lineRule="auto"/>
              <w:rPr>
                <w:rFonts w:ascii="Calibri" w:hAnsi="Calibri" w:cs="Calibri"/>
                <w:color w:val="0070C0"/>
                <w:sz w:val="20"/>
                <w:szCs w:val="20"/>
              </w:rPr>
            </w:pPr>
          </w:p>
          <w:p w14:paraId="2481B5B1" w14:textId="77777777" w:rsidR="00D82224" w:rsidRPr="00574DEA" w:rsidRDefault="00D82224" w:rsidP="009B561A">
            <w:pPr>
              <w:spacing w:line="276" w:lineRule="auto"/>
              <w:rPr>
                <w:rFonts w:ascii="Calibri" w:hAnsi="Calibri" w:cs="Calibri"/>
                <w:b/>
                <w:bCs/>
                <w:color w:val="000000" w:themeColor="text1"/>
                <w:sz w:val="20"/>
                <w:szCs w:val="20"/>
              </w:rPr>
            </w:pPr>
          </w:p>
          <w:p w14:paraId="1F2400B3" w14:textId="77777777" w:rsidR="00D82224" w:rsidRPr="00574DEA" w:rsidRDefault="00D82224" w:rsidP="009B561A">
            <w:pPr>
              <w:spacing w:line="276" w:lineRule="auto"/>
              <w:rPr>
                <w:rFonts w:ascii="Calibri" w:hAnsi="Calibri" w:cs="Calibri"/>
                <w:b/>
                <w:bCs/>
                <w:color w:val="000000" w:themeColor="text1"/>
                <w:sz w:val="20"/>
                <w:szCs w:val="20"/>
              </w:rPr>
            </w:pPr>
          </w:p>
          <w:p w14:paraId="433B8BC0" w14:textId="77777777" w:rsidR="00D82224" w:rsidRPr="00574DEA" w:rsidRDefault="00D82224" w:rsidP="009B561A">
            <w:pPr>
              <w:spacing w:line="276" w:lineRule="auto"/>
              <w:rPr>
                <w:rFonts w:ascii="Calibri" w:hAnsi="Calibri" w:cs="Calibri"/>
                <w:b/>
                <w:bCs/>
                <w:color w:val="000000" w:themeColor="text1"/>
                <w:sz w:val="20"/>
                <w:szCs w:val="20"/>
              </w:rPr>
            </w:pPr>
          </w:p>
          <w:p w14:paraId="5E6D0B7B" w14:textId="77777777" w:rsidR="00D82224" w:rsidRPr="00574DEA" w:rsidRDefault="00D82224" w:rsidP="009B561A">
            <w:pPr>
              <w:spacing w:line="276" w:lineRule="auto"/>
              <w:rPr>
                <w:rFonts w:ascii="Calibri" w:hAnsi="Calibri" w:cs="Calibri"/>
                <w:b/>
                <w:bCs/>
                <w:color w:val="000000" w:themeColor="text1"/>
                <w:sz w:val="20"/>
                <w:szCs w:val="20"/>
              </w:rPr>
            </w:pPr>
          </w:p>
          <w:p w14:paraId="185E5982" w14:textId="77777777" w:rsidR="00D82224" w:rsidRPr="00574DEA" w:rsidRDefault="00D82224" w:rsidP="009B561A">
            <w:pPr>
              <w:spacing w:line="276" w:lineRule="auto"/>
              <w:rPr>
                <w:rFonts w:ascii="Calibri" w:hAnsi="Calibri" w:cs="Calibri"/>
                <w:b/>
                <w:bCs/>
                <w:color w:val="000000" w:themeColor="text1"/>
                <w:sz w:val="20"/>
                <w:szCs w:val="20"/>
              </w:rPr>
            </w:pPr>
          </w:p>
          <w:p w14:paraId="769C924F" w14:textId="77777777" w:rsidR="00D82224" w:rsidRPr="00574DEA" w:rsidRDefault="00D82224" w:rsidP="009B561A">
            <w:pPr>
              <w:spacing w:line="276" w:lineRule="auto"/>
              <w:rPr>
                <w:rFonts w:ascii="Calibri" w:hAnsi="Calibri" w:cs="Calibri"/>
                <w:b/>
                <w:bCs/>
                <w:color w:val="000000" w:themeColor="text1"/>
                <w:sz w:val="20"/>
                <w:szCs w:val="20"/>
              </w:rPr>
            </w:pPr>
          </w:p>
          <w:p w14:paraId="6FA5E8D7" w14:textId="77777777" w:rsidR="00D82224" w:rsidRPr="00574DEA" w:rsidRDefault="00D82224" w:rsidP="009B561A">
            <w:pPr>
              <w:spacing w:line="276" w:lineRule="auto"/>
              <w:rPr>
                <w:rFonts w:ascii="Calibri" w:hAnsi="Calibri" w:cs="Calibri"/>
                <w:b/>
                <w:bCs/>
                <w:color w:val="000000" w:themeColor="text1"/>
                <w:sz w:val="20"/>
                <w:szCs w:val="20"/>
              </w:rPr>
            </w:pPr>
          </w:p>
          <w:p w14:paraId="4AE281F5" w14:textId="77777777" w:rsidR="00D82224" w:rsidRPr="00574DEA" w:rsidRDefault="00D82224" w:rsidP="009B561A">
            <w:pPr>
              <w:spacing w:line="276" w:lineRule="auto"/>
              <w:rPr>
                <w:rFonts w:ascii="Calibri" w:hAnsi="Calibri" w:cs="Calibri"/>
                <w:b/>
                <w:bCs/>
                <w:color w:val="000000" w:themeColor="text1"/>
                <w:sz w:val="20"/>
                <w:szCs w:val="20"/>
              </w:rPr>
            </w:pPr>
          </w:p>
          <w:p w14:paraId="6EA06599" w14:textId="77777777" w:rsidR="00D82224" w:rsidRPr="00574DEA" w:rsidRDefault="00D82224" w:rsidP="009B561A">
            <w:pPr>
              <w:spacing w:line="276" w:lineRule="auto"/>
              <w:rPr>
                <w:rFonts w:ascii="Calibri" w:hAnsi="Calibri" w:cs="Calibri"/>
                <w:b/>
                <w:bCs/>
                <w:color w:val="000000" w:themeColor="text1"/>
                <w:sz w:val="20"/>
                <w:szCs w:val="20"/>
              </w:rPr>
            </w:pPr>
          </w:p>
          <w:p w14:paraId="1A66975E" w14:textId="77777777" w:rsidR="00D82224" w:rsidRPr="00574DEA" w:rsidRDefault="00D82224" w:rsidP="009B561A">
            <w:pPr>
              <w:spacing w:line="276" w:lineRule="auto"/>
              <w:rPr>
                <w:rFonts w:ascii="Calibri" w:hAnsi="Calibri" w:cs="Calibri"/>
                <w:b/>
                <w:bCs/>
                <w:color w:val="000000" w:themeColor="text1"/>
                <w:sz w:val="20"/>
                <w:szCs w:val="20"/>
              </w:rPr>
            </w:pPr>
          </w:p>
          <w:p w14:paraId="6CC9C37E" w14:textId="77777777" w:rsidR="00D82224" w:rsidRPr="00574DEA" w:rsidRDefault="00D82224" w:rsidP="009B561A">
            <w:pPr>
              <w:spacing w:line="276" w:lineRule="auto"/>
              <w:rPr>
                <w:rFonts w:ascii="Calibri" w:hAnsi="Calibri" w:cs="Calibri"/>
                <w:b/>
                <w:bCs/>
                <w:color w:val="000000" w:themeColor="text1"/>
                <w:sz w:val="20"/>
                <w:szCs w:val="20"/>
              </w:rPr>
            </w:pPr>
          </w:p>
        </w:tc>
        <w:tc>
          <w:tcPr>
            <w:tcW w:w="2821" w:type="dxa"/>
          </w:tcPr>
          <w:p w14:paraId="135DAA85" w14:textId="77777777" w:rsidR="00D82224" w:rsidRPr="00574DEA" w:rsidRDefault="00D82224" w:rsidP="009B561A">
            <w:pPr>
              <w:spacing w:line="276" w:lineRule="auto"/>
              <w:rPr>
                <w:rFonts w:ascii="Calibri" w:hAnsi="Calibri" w:cs="Calibri"/>
                <w:b/>
                <w:bCs/>
                <w:color w:val="000000" w:themeColor="text1"/>
                <w:sz w:val="20"/>
                <w:szCs w:val="20"/>
              </w:rPr>
            </w:pPr>
            <w:r w:rsidRPr="00574DEA">
              <w:rPr>
                <w:rFonts w:ascii="Calibri" w:hAnsi="Calibri" w:cs="Calibri"/>
                <w:b/>
                <w:bCs/>
                <w:color w:val="000000" w:themeColor="text1"/>
                <w:sz w:val="20"/>
                <w:szCs w:val="20"/>
              </w:rPr>
              <w:lastRenderedPageBreak/>
              <w:t>Aims:</w:t>
            </w:r>
            <w:r w:rsidRPr="00574DEA">
              <w:rPr>
                <w:rFonts w:ascii="Calibri" w:hAnsi="Calibri" w:cs="Calibri"/>
                <w:color w:val="000000" w:themeColor="text1"/>
                <w:sz w:val="20"/>
                <w:szCs w:val="20"/>
              </w:rPr>
              <w:t xml:space="preserve"> To explore healthcare professionals’ views of antibiotic prescribing in long-term care facilities (LTCFs). To use the findings to recommend </w:t>
            </w:r>
            <w:r w:rsidRPr="00574DEA">
              <w:rPr>
                <w:rFonts w:ascii="Calibri" w:hAnsi="Calibri" w:cs="Calibri"/>
                <w:color w:val="000000" w:themeColor="text1"/>
                <w:sz w:val="20"/>
                <w:szCs w:val="20"/>
              </w:rPr>
              <w:lastRenderedPageBreak/>
              <w:t>intervention strategies for antimicrobial stewardship in LTCFs.</w:t>
            </w:r>
            <w:r w:rsidRPr="00574DEA">
              <w:rPr>
                <w:rFonts w:ascii="Calibri" w:hAnsi="Calibri" w:cs="Calibri"/>
                <w:b/>
                <w:bCs/>
                <w:color w:val="000000" w:themeColor="text1"/>
                <w:sz w:val="20"/>
                <w:szCs w:val="20"/>
              </w:rPr>
              <w:t xml:space="preserve"> </w:t>
            </w:r>
          </w:p>
          <w:p w14:paraId="0B63599B" w14:textId="77777777" w:rsidR="00D82224" w:rsidRPr="00574DEA" w:rsidRDefault="00D82224" w:rsidP="009B561A">
            <w:pPr>
              <w:spacing w:line="276" w:lineRule="auto"/>
              <w:rPr>
                <w:rFonts w:ascii="Calibri" w:hAnsi="Calibri" w:cs="Calibri"/>
                <w:color w:val="000000" w:themeColor="text1"/>
                <w:sz w:val="20"/>
                <w:szCs w:val="20"/>
              </w:rPr>
            </w:pPr>
            <w:r w:rsidRPr="00574DEA">
              <w:rPr>
                <w:rFonts w:ascii="Calibri" w:hAnsi="Calibri" w:cs="Calibri"/>
                <w:b/>
                <w:bCs/>
                <w:color w:val="000000" w:themeColor="text1"/>
                <w:sz w:val="20"/>
                <w:szCs w:val="20"/>
              </w:rPr>
              <w:t>Methods:</w:t>
            </w:r>
            <w:r w:rsidRPr="00574DEA">
              <w:rPr>
                <w:rFonts w:ascii="Calibri" w:hAnsi="Calibri" w:cs="Calibri"/>
                <w:color w:val="000000" w:themeColor="text1"/>
                <w:sz w:val="20"/>
                <w:szCs w:val="20"/>
              </w:rPr>
              <w:t xml:space="preserve"> Semi-structured Interviews</w:t>
            </w:r>
          </w:p>
          <w:p w14:paraId="7D714601" w14:textId="77777777" w:rsidR="00D82224" w:rsidRPr="00574DEA" w:rsidRDefault="00D82224" w:rsidP="009B561A">
            <w:pPr>
              <w:spacing w:line="276" w:lineRule="auto"/>
              <w:rPr>
                <w:rFonts w:ascii="Calibri" w:hAnsi="Calibri" w:cs="Calibri"/>
                <w:color w:val="000000" w:themeColor="text1"/>
                <w:sz w:val="20"/>
                <w:szCs w:val="20"/>
              </w:rPr>
            </w:pPr>
            <w:r w:rsidRPr="00574DEA">
              <w:rPr>
                <w:rFonts w:ascii="Calibri" w:hAnsi="Calibri" w:cs="Calibri"/>
                <w:b/>
                <w:bCs/>
                <w:color w:val="000000" w:themeColor="text1"/>
                <w:sz w:val="20"/>
                <w:szCs w:val="20"/>
              </w:rPr>
              <w:t>Participants:</w:t>
            </w:r>
            <w:r w:rsidRPr="00574DEA">
              <w:rPr>
                <w:rFonts w:ascii="Calibri" w:hAnsi="Calibri" w:cs="Calibri"/>
                <w:color w:val="000000" w:themeColor="text1"/>
                <w:sz w:val="20"/>
                <w:szCs w:val="20"/>
              </w:rPr>
              <w:t xml:space="preserve">  37 healthcare professionals who work in LTCFs (10 general practitioners, 4 consultants, 14 nurses, 9 pharmacists)</w:t>
            </w:r>
          </w:p>
          <w:p w14:paraId="7D978520" w14:textId="77777777" w:rsidR="00D82224" w:rsidRPr="00574DEA" w:rsidRDefault="00D82224" w:rsidP="009B561A">
            <w:pPr>
              <w:spacing w:line="276" w:lineRule="auto"/>
              <w:rPr>
                <w:rFonts w:ascii="Calibri" w:hAnsi="Calibri" w:cs="Calibri"/>
                <w:b/>
                <w:bCs/>
                <w:color w:val="000000" w:themeColor="text1"/>
                <w:sz w:val="20"/>
                <w:szCs w:val="20"/>
              </w:rPr>
            </w:pPr>
            <w:r w:rsidRPr="00574DEA">
              <w:rPr>
                <w:rFonts w:ascii="Calibri" w:hAnsi="Calibri" w:cs="Calibri"/>
                <w:b/>
                <w:bCs/>
                <w:color w:val="000000" w:themeColor="text1"/>
                <w:sz w:val="20"/>
                <w:szCs w:val="20"/>
              </w:rPr>
              <w:t xml:space="preserve">Recruitment: </w:t>
            </w:r>
            <w:r w:rsidRPr="00574DEA">
              <w:rPr>
                <w:rFonts w:ascii="Calibri" w:hAnsi="Calibri" w:cs="Calibri"/>
                <w:color w:val="000000" w:themeColor="text1"/>
                <w:sz w:val="20"/>
                <w:szCs w:val="20"/>
              </w:rPr>
              <w:t>Telephone</w:t>
            </w:r>
          </w:p>
        </w:tc>
        <w:tc>
          <w:tcPr>
            <w:tcW w:w="2831" w:type="dxa"/>
          </w:tcPr>
          <w:p w14:paraId="38DB2B10" w14:textId="77777777" w:rsidR="00D82224" w:rsidRPr="009B561A" w:rsidRDefault="00D82224" w:rsidP="009B561A">
            <w:pPr>
              <w:widowControl w:val="0"/>
              <w:autoSpaceDE w:val="0"/>
              <w:autoSpaceDN w:val="0"/>
              <w:adjustRightInd w:val="0"/>
              <w:spacing w:line="276" w:lineRule="auto"/>
              <w:rPr>
                <w:rFonts w:ascii="Calibri" w:hAnsi="Calibri" w:cs="Calibri"/>
                <w:b/>
                <w:bCs/>
                <w:color w:val="000000" w:themeColor="text1"/>
                <w:sz w:val="20"/>
                <w:szCs w:val="20"/>
              </w:rPr>
            </w:pPr>
            <w:r w:rsidRPr="009B561A">
              <w:rPr>
                <w:rFonts w:ascii="Calibri" w:hAnsi="Calibri" w:cs="Calibri"/>
                <w:color w:val="000000" w:themeColor="text1"/>
                <w:sz w:val="20"/>
                <w:szCs w:val="20"/>
              </w:rPr>
              <w:lastRenderedPageBreak/>
              <w:t>Antibiotic prescribing in LTCFs is strongly influenced by the context of healthcare delivery in LTCFs.</w:t>
            </w:r>
          </w:p>
        </w:tc>
        <w:tc>
          <w:tcPr>
            <w:tcW w:w="5848" w:type="dxa"/>
          </w:tcPr>
          <w:p w14:paraId="4B0FEA31"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Antibiotic prescribing process is complicated in LTCFs and influenced by social, cultural and contextual issues.</w:t>
            </w:r>
          </w:p>
          <w:p w14:paraId="3C982A6D" w14:textId="77777777" w:rsidR="00D82224" w:rsidRPr="009B561A" w:rsidRDefault="00D82224" w:rsidP="009B561A">
            <w:pPr>
              <w:spacing w:line="276" w:lineRule="auto"/>
              <w:rPr>
                <w:rFonts w:ascii="Calibri" w:hAnsi="Calibri" w:cs="Calibri"/>
                <w:color w:val="000000" w:themeColor="text1"/>
                <w:sz w:val="20"/>
                <w:szCs w:val="20"/>
              </w:rPr>
            </w:pPr>
          </w:p>
          <w:p w14:paraId="34A05C28"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Key driver for change and antimicrobial stewardship in LTCFs is motivation.</w:t>
            </w:r>
          </w:p>
        </w:tc>
      </w:tr>
      <w:tr w:rsidR="00D82224" w:rsidRPr="009B561A" w14:paraId="5F89AD47" w14:textId="77777777" w:rsidTr="0087653A">
        <w:tc>
          <w:tcPr>
            <w:tcW w:w="393" w:type="dxa"/>
          </w:tcPr>
          <w:p w14:paraId="17FFD4D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4</w:t>
            </w:r>
          </w:p>
        </w:tc>
        <w:tc>
          <w:tcPr>
            <w:tcW w:w="2277" w:type="dxa"/>
          </w:tcPr>
          <w:p w14:paraId="4C95F934" w14:textId="74047C93" w:rsidR="00D82224" w:rsidRPr="00574DEA" w:rsidRDefault="00D82224" w:rsidP="009B561A">
            <w:pPr>
              <w:spacing w:line="276" w:lineRule="auto"/>
              <w:rPr>
                <w:rFonts w:ascii="Calibri" w:hAnsi="Calibri" w:cs="Calibri"/>
                <w:b/>
                <w:bCs/>
                <w:sz w:val="20"/>
                <w:szCs w:val="20"/>
                <w:vertAlign w:val="superscript"/>
              </w:rPr>
            </w:pPr>
            <w:r w:rsidRPr="00574DEA">
              <w:rPr>
                <w:rFonts w:ascii="Calibri" w:hAnsi="Calibri" w:cs="Calibri"/>
                <w:b/>
                <w:bCs/>
                <w:sz w:val="20"/>
                <w:szCs w:val="20"/>
              </w:rPr>
              <w:t xml:space="preserve">Fleming et al 2014 </w:t>
            </w:r>
            <w:r w:rsidR="009C4E60" w:rsidRPr="00574DEA">
              <w:rPr>
                <w:rFonts w:ascii="Calibri" w:hAnsi="Calibri" w:cs="Calibri"/>
                <w:b/>
                <w:bCs/>
                <w:sz w:val="20"/>
                <w:szCs w:val="20"/>
              </w:rPr>
              <w:fldChar w:fldCharType="begin" w:fldLock="1"/>
            </w:r>
            <w:r w:rsidR="009C4E60" w:rsidRPr="00574DEA">
              <w:rPr>
                <w:rFonts w:ascii="Calibri" w:hAnsi="Calibri" w:cs="Calibri"/>
                <w:b/>
                <w:bCs/>
                <w:sz w:val="20"/>
                <w:szCs w:val="20"/>
              </w:rPr>
              <w:instrText>ADDIN CSL_CITATION {"citationItems":[{"id":"ITEM-1","itemData":{"DOI":"10.1093/eurpub/ckw138","ISSN":"1464360X","PMID":"27777243","abstract":"Background: Antimicrobial resistance in long-term care facilities (LTCFs) poses a risk to elderly residents. The aim of this observational study was to investigate recent patterns of antimicrobial susceptibility in urine samples submitted to the Microbiology Laboratory at Cork University Hospital (CUH) from LTCFs in the greater Cork region. The antimicrobial susceptibilities of LTCF and General Practitioner (GP) urine samples sent to CUH, for patients aged over 65 years of age, were compared. Methods: A retrospective analysis of the antimicrobial susceptibilities of urine samples submitted to the microbiology laboratory at CUH in quarter one of 2011-2014 was conducted. LTCF and GP urine sample susceptibilities, for patients over 65 years of age, were compared using Chi square statistics. Results: Overall, the LTCF urine samples were less susceptible than GP urine samples to the antimicrobials recommended in the national urinary tract infection guidelines; trimethoprim, nitrofurantoin, cephalexin, co-amoxiclav, ciprofloxacin and amoxicillin (P &lt; 0.001). Important trends in antimicrobial susceptibility over the time period were noted. A significant reduction in susceptibility to co-amoxiclav was found between Q1 2011 and Q1 2014 in both settings (GP P = 0.013, LTCF P = 0.005). Conclusion: This study provides important information which will contribute to the revision of antimicrobial prescribing guidelines in the future. This study highlights the need for continuous surveillance of antimicrobial susceptibility trends in LTCFs. Antimicrobial stewardship strategies are urgently required to address antimicrobial resistance and appropriate antimicrobial prescribing in the LTCF setting.","author":[{"dropping-particle":"","family":"Fleming","given":"Aoife","non-dropping-particle":"","parse-names":false,"suffix":""},{"dropping-particle":"","family":"Barry","given":"Louise","non-dropping-particle":"","parse-names":false,"suffix":""},{"dropping-particle":"","family":"Byrne","given":"Stephen","non-dropping-particle":"","parse-names":false,"suffix":""},{"dropping-particle":"","family":"Prentice","given":"Michael","non-dropping-particle":"","parse-names":false,"suffix":""}],"container-title":"European Journal of Public Health","id":"ITEM-1","issue":"2","issued":{"date-parts":[["2017","4","1"]]},"page":"307-312","publisher":"Oxford University Press","title":"Antimicrobial susceptibility of long term care facility and general practice urine samples in patients 65 years and older: An observational study","type":"article-journal","volume":"27"},"uris":["http://www.mendeley.com/documents/?uuid=82acd040-0940-3804-9a41-3e8e25797bac"]}],"mendeley":{"formattedCitation":"(52)","plainTextFormattedCitation":"(52)","previouslyFormattedCitation":"(52)"},"properties":{"noteIndex":0},"schema":"https://github.com/citation-style-language/schema/raw/master/csl-citation.json"}</w:instrText>
            </w:r>
            <w:r w:rsidR="009C4E60" w:rsidRPr="00574DEA">
              <w:rPr>
                <w:rFonts w:ascii="Calibri" w:hAnsi="Calibri" w:cs="Calibri"/>
                <w:b/>
                <w:bCs/>
                <w:sz w:val="20"/>
                <w:szCs w:val="20"/>
              </w:rPr>
              <w:fldChar w:fldCharType="separate"/>
            </w:r>
            <w:r w:rsidR="00574DEA" w:rsidRPr="00574DEA">
              <w:rPr>
                <w:rFonts w:ascii="Calibri" w:hAnsi="Calibri" w:cs="Calibri"/>
                <w:bCs/>
                <w:noProof/>
                <w:sz w:val="20"/>
                <w:szCs w:val="20"/>
              </w:rPr>
              <w:t>[</w:t>
            </w:r>
            <w:r w:rsidR="009C4E60" w:rsidRPr="00574DEA">
              <w:rPr>
                <w:rFonts w:ascii="Calibri" w:hAnsi="Calibri" w:cs="Calibri"/>
                <w:bCs/>
                <w:noProof/>
                <w:sz w:val="20"/>
                <w:szCs w:val="20"/>
              </w:rPr>
              <w:t>52</w:t>
            </w:r>
            <w:r w:rsidR="00574DEA" w:rsidRPr="00574DEA">
              <w:rPr>
                <w:rFonts w:ascii="Calibri" w:hAnsi="Calibri" w:cs="Calibri"/>
                <w:bCs/>
                <w:noProof/>
                <w:sz w:val="20"/>
                <w:szCs w:val="20"/>
              </w:rPr>
              <w:t>]</w:t>
            </w:r>
            <w:r w:rsidR="009C4E60" w:rsidRPr="00574DEA">
              <w:rPr>
                <w:rFonts w:ascii="Calibri" w:hAnsi="Calibri" w:cs="Calibri"/>
                <w:b/>
                <w:bCs/>
                <w:sz w:val="20"/>
                <w:szCs w:val="20"/>
              </w:rPr>
              <w:fldChar w:fldCharType="end"/>
            </w:r>
            <w:r w:rsidR="00574DEA" w:rsidRPr="00574DEA">
              <w:rPr>
                <w:rFonts w:ascii="Calibri" w:hAnsi="Calibri" w:cs="Calibri"/>
                <w:b/>
                <w:bCs/>
                <w:sz w:val="20"/>
                <w:szCs w:val="20"/>
                <w:vertAlign w:val="superscript"/>
              </w:rPr>
              <w:t xml:space="preserve"> </w:t>
            </w:r>
          </w:p>
          <w:p w14:paraId="30860E58" w14:textId="77777777" w:rsidR="00D82224" w:rsidRPr="00574DEA" w:rsidRDefault="00D82224" w:rsidP="009B561A">
            <w:pPr>
              <w:spacing w:line="276" w:lineRule="auto"/>
              <w:rPr>
                <w:rFonts w:ascii="Calibri" w:hAnsi="Calibri" w:cs="Calibri"/>
                <w:sz w:val="20"/>
                <w:szCs w:val="20"/>
              </w:rPr>
            </w:pPr>
            <w:r w:rsidRPr="00574DEA">
              <w:rPr>
                <w:rFonts w:ascii="Calibri" w:hAnsi="Calibri" w:cs="Calibri"/>
                <w:sz w:val="20"/>
                <w:szCs w:val="20"/>
              </w:rPr>
              <w:t xml:space="preserve">Antimicrobial susceptibility of </w:t>
            </w:r>
            <w:proofErr w:type="gramStart"/>
            <w:r w:rsidRPr="00574DEA">
              <w:rPr>
                <w:rFonts w:ascii="Calibri" w:hAnsi="Calibri" w:cs="Calibri"/>
                <w:sz w:val="20"/>
                <w:szCs w:val="20"/>
              </w:rPr>
              <w:t>long term</w:t>
            </w:r>
            <w:proofErr w:type="gramEnd"/>
            <w:r w:rsidRPr="00574DEA">
              <w:rPr>
                <w:rFonts w:ascii="Calibri" w:hAnsi="Calibri" w:cs="Calibri"/>
                <w:sz w:val="20"/>
                <w:szCs w:val="20"/>
              </w:rPr>
              <w:t xml:space="preserve"> care facility and general practice urine samples in patients 65 years and older: an observational study</w:t>
            </w:r>
          </w:p>
        </w:tc>
        <w:tc>
          <w:tcPr>
            <w:tcW w:w="2821" w:type="dxa"/>
          </w:tcPr>
          <w:p w14:paraId="21E10044" w14:textId="77777777" w:rsidR="00D82224" w:rsidRPr="00574DEA" w:rsidRDefault="00D82224" w:rsidP="009B561A">
            <w:pPr>
              <w:spacing w:line="276" w:lineRule="auto"/>
              <w:rPr>
                <w:rFonts w:ascii="Calibri" w:hAnsi="Calibri" w:cs="Calibri"/>
                <w:b/>
                <w:bCs/>
                <w:color w:val="FF0000"/>
                <w:sz w:val="20"/>
                <w:szCs w:val="20"/>
              </w:rPr>
            </w:pPr>
          </w:p>
        </w:tc>
        <w:tc>
          <w:tcPr>
            <w:tcW w:w="2831" w:type="dxa"/>
          </w:tcPr>
          <w:p w14:paraId="4FD3F051" w14:textId="77777777" w:rsidR="00D82224" w:rsidRPr="009B561A" w:rsidRDefault="00D82224" w:rsidP="009B561A">
            <w:pPr>
              <w:widowControl w:val="0"/>
              <w:autoSpaceDE w:val="0"/>
              <w:autoSpaceDN w:val="0"/>
              <w:adjustRightInd w:val="0"/>
              <w:spacing w:line="276" w:lineRule="auto"/>
              <w:rPr>
                <w:rFonts w:ascii="Calibri" w:hAnsi="Calibri" w:cs="Calibri"/>
                <w:b/>
                <w:bCs/>
                <w:color w:val="FF0000"/>
                <w:sz w:val="20"/>
                <w:szCs w:val="20"/>
              </w:rPr>
            </w:pPr>
          </w:p>
        </w:tc>
        <w:tc>
          <w:tcPr>
            <w:tcW w:w="5848" w:type="dxa"/>
            <w:shd w:val="clear" w:color="auto" w:fill="auto"/>
          </w:tcPr>
          <w:p w14:paraId="10B7356F"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Previously mentioned in Table SRC C</w:t>
            </w:r>
          </w:p>
        </w:tc>
      </w:tr>
      <w:tr w:rsidR="00D82224" w:rsidRPr="009B561A" w14:paraId="4269F12F" w14:textId="77777777" w:rsidTr="0087653A">
        <w:tc>
          <w:tcPr>
            <w:tcW w:w="393" w:type="dxa"/>
          </w:tcPr>
          <w:p w14:paraId="3FC96159"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5</w:t>
            </w:r>
          </w:p>
        </w:tc>
        <w:tc>
          <w:tcPr>
            <w:tcW w:w="2277" w:type="dxa"/>
          </w:tcPr>
          <w:p w14:paraId="2BA86408" w14:textId="316D77A6" w:rsidR="00D82224" w:rsidRPr="00574DEA" w:rsidRDefault="00D82224" w:rsidP="009B561A">
            <w:pPr>
              <w:spacing w:line="276" w:lineRule="auto"/>
              <w:rPr>
                <w:rFonts w:ascii="Calibri" w:hAnsi="Calibri" w:cs="Calibri"/>
                <w:b/>
                <w:bCs/>
                <w:sz w:val="20"/>
                <w:szCs w:val="20"/>
                <w:vertAlign w:val="superscript"/>
              </w:rPr>
            </w:pPr>
            <w:proofErr w:type="spellStart"/>
            <w:r w:rsidRPr="00574DEA">
              <w:rPr>
                <w:rFonts w:ascii="Calibri" w:hAnsi="Calibri" w:cs="Calibri"/>
                <w:b/>
                <w:bCs/>
                <w:sz w:val="20"/>
                <w:szCs w:val="20"/>
              </w:rPr>
              <w:t>Ricchizzi</w:t>
            </w:r>
            <w:proofErr w:type="spellEnd"/>
            <w:r w:rsidRPr="00574DEA">
              <w:rPr>
                <w:rFonts w:ascii="Calibri" w:hAnsi="Calibri" w:cs="Calibri"/>
                <w:b/>
                <w:bCs/>
                <w:sz w:val="20"/>
                <w:szCs w:val="20"/>
              </w:rPr>
              <w:t xml:space="preserve"> et al. (2018) </w:t>
            </w:r>
            <w:r w:rsidR="009C4E60" w:rsidRPr="00574DEA">
              <w:rPr>
                <w:rFonts w:ascii="Calibri" w:hAnsi="Calibri" w:cs="Calibri"/>
                <w:b/>
                <w:bCs/>
                <w:sz w:val="20"/>
                <w:szCs w:val="20"/>
              </w:rPr>
              <w:fldChar w:fldCharType="begin" w:fldLock="1"/>
            </w:r>
            <w:r w:rsidR="009C4E60" w:rsidRPr="00574DEA">
              <w:rPr>
                <w:rFonts w:ascii="Calibri" w:hAnsi="Calibri" w:cs="Calibri"/>
                <w:b/>
                <w:bCs/>
                <w:sz w:val="20"/>
                <w:szCs w:val="20"/>
              </w:rPr>
              <w:instrText>ADDIN CSL_CITATION {"citationItems":[{"id":"ITEM-1","itemData":{"DOI":"10.2807/1560-7917.ES.2018.23.46.1800394","ISSN":"15607917","PMID":"30458913","abstract":"Antimicrobials are commonly prescribed and contribute to the development of antimicrobial resistance in long-term care facilities (LTCFs). In 2010, the European Centre for Disease Prevention and Control initiated point prevalence surveys (PPS) of healthcare-associated infections and antimicrobial use in European LTCFs, performed by external contractors as the Healthcare-Associated infections in Long-Term care facilities (HALT) projects. Here, we investigated prevalence and characteristics of antimicrobial use and antimicrobial stewardship indicators in European LTCFs in 2016–17. Twenty-four European Union/European Economic Area (EU/EEA) countries, the former Yugoslav Republic of Macedonia and Serbia participated in the third PPS in European LTCFs. Overall, 4.9% (95% confidence interval: 4.8–5.1) of LTCF residents in the EU/ EEA participating countries received at least one antimicrobial. The most commonly reported Anatomical Therapeutic Chemical (ATC) groups were beta-lactam antibacterials/penicillins (J01C), other antibacterials (J01X) (e.g. glycopeptide antibacterials, polymyxins), quinolones (J01M), sulfonamides and trimethoprim (J01E), and other beta-lactams (J01D). Urinary tract infections and respiratory tract infections were the main indications for antimicrobial prescription. This PPS provides updated and detailed information on antimicrobial use in LTCFs across the EU/EEA that can be used to identify targets for future interventions, follow-up of these interventions and promote prudent use of antimicrobials in European LTCFs.","author":[{"dropping-particle":"","family":"Ricchizzi","given":"Enrico","non-dropping-particle":"","parse-names":false,"suffix":""},{"dropping-particle":"","family":"Latour","given":"Katrien","non-dropping-particle":"","parse-names":false,"suffix":""},{"dropping-particle":"","family":"Kärki","given":"Tommi","non-dropping-particle":"","parse-names":false,"suffix":""},{"dropping-particle":"","family":"Buttazzi","given":"Rossella","non-dropping-particle":"","parse-names":false,"suffix":""},{"dropping-particle":"","family":"Jans","given":"Béatrice","non-dropping-particle":"","parse-names":false,"suffix":""},{"dropping-particle":"","family":"Moro","given":"Maria Luisa","non-dropping-particle":"","parse-names":false,"suffix":""},{"dropping-particle":"","family":"Nakitanda","given":"Olivia Aya","non-dropping-particle":"","parse-names":false,"suffix":""},{"dropping-particle":"","family":"Plachouras","given":"Diamantis","non-dropping-particle":"","parse-names":false,"suffix":""},{"dropping-particle":"","family":"Monnet","given":"Dominique L.","non-dropping-particle":"","parse-names":false,"suffix":""},{"dropping-particle":"","family":"Suetens","given":"Carl","non-dropping-particle":"","parse-names":false,"suffix":""},{"dropping-particle":"","family":"Kinross","given":"Pete","non-dropping-particle":"","parse-names":false,"suffix":""},{"dropping-particle":"","family":"Lusignani","given":"Luigi Segagni","non-dropping-particle":"","parse-names":false,"suffix":""},{"dropping-particle":"","family":"Strauss","given":"Reinhild","non-dropping-particle":"","parse-names":false,"suffix":""},{"dropping-particle":"","family":"Hedlová","given":"Dana","non-dropping-particle":"","parse-names":false,"suffix":""},{"dropping-particle":"","family":"Jindrák","given":"Vlastimil","non-dropping-particle":"","parse-names":false,"suffix":""},{"dropping-particle":"","family":"Bošnjak","given":"Zrinka","non-dropping-particle":"","parse-names":false,"suffix":""},{"dropping-particle":"","family":"Budimir","given":"Ana","non-dropping-particle":"","parse-names":false,"suffix":""},{"dropping-particle":"","family":"Gabriel","given":"Elena","non-dropping-particle":"","parse-names":false,"suffix":""},{"dropping-particle":"","family":"Jensen","given":"Christian Stab","non-dropping-particle":"","parse-names":false,"suffix":""},{"dropping-particle":"","family":"Lyytikäinen","given":"Outi","non-dropping-particle":"","parse-names":false,"suffix":""},{"dropping-particle":"","family":"Sarvikivi","given":"Emmi","non-dropping-particle":"","parse-names":false,"suffix":""},{"dropping-particle":"","family":"Savey","given":"Anne","non-dropping-particle":"","parse-names":false,"suffix":""},{"dropping-particle":"","family":"Daniau","given":"Côme","non-dropping-particle":"","parse-names":false,"suffix":""},{"dropping-particle":"","family":"Schmidt","given":"Nicole","non-dropping-particle":"","parse-names":false,"suffix":""},{"dropping-particle":"","family":"Ruscher","given":"Claudia","non-dropping-particle":"","parse-names":false,"suffix":""},{"dropping-particle":"","family":"Adami","given":"Maria Evangelia","non-dropping-particle":"","parse-names":false,"suffix":""},{"dropping-particle":"","family":"Panagiotakis","given":"Symeon H.","non-dropping-particle":"","parse-names":false,"suffix":""},{"dropping-particle":"","family":"Veress","given":"István","non-dropping-particle":"","parse-names":false,"suffix":""},{"dropping-particle":"","family":"Burns","given":"Karen","non-dropping-particle":"","parse-names":false,"suffix":""},{"dropping-particle":"","family":"Murphy","given":"Helen","non-dropping-particle":"","parse-names":false,"suffix":""},{"dropping-particle":"","family":"Zotti","given":"Carla M.","non-dropping-particle":"","parse-names":false,"suffix":""},{"dropping-particle":"","family":"Furmenti","given":"Maria Francesca","non-dropping-particle":"","parse-names":false,"suffix":""},{"dropping-particle":"","family":"Avelytė","given":"Justina","non-dropping-particle":"","parse-names":false,"suffix":""},{"dropping-particle":"","family":"Weydert","given":"Murielle","non-dropping-particle":"","parse-names":false,"suffix":""},{"dropping-particle":"","family":"Basovska","given":"Branka Petrovska","non-dropping-particle":"","parse-names":false,"suffix":""},{"dropping-particle":"","family":"Kochinski","given":"Dragan","non-dropping-particle":"","parse-names":false,"suffix":""},{"dropping-particle":"","family":"Borg","given":"Michael A.","non-dropping-particle":"","parse-names":false,"suffix":""},{"dropping-particle":"","family":"Bonanno","given":"Mark","non-dropping-particle":"","parse-names":false,"suffix":""},{"dropping-particle":"","family":"Verhoef","given":"Linda","non-dropping-particle":"","parse-names":false,"suffix":""},{"dropping-particle":"","family":"Halonen","given":"Kati","non-dropping-particle":"","parse-names":false,"suffix":""},{"dropping-particle":"","family":"Eriksen","given":"Hanne M.","non-dropping-particle":"","parse-names":false,"suffix":""},{"dropping-particle":"","family":"Bentele","given":"Horst","non-dropping-particle":"","parse-names":false,"suffix":""},{"dropping-particle":"","family":"Wojkowska-Mach","given":"Jadwiga","non-dropping-particle":"","parse-names":false,"suffix":""},{"dropping-particle":"","family":"Mazińska","given":"Beata","non-dropping-particle":"","parse-names":false,"suffix":""},{"dropping-particle":"","family":"Pacheco","given":"Pedro","non-dropping-particle":"","parse-names":false,"suffix":""},{"dropping-particle":"","family":"Valente","given":"Margarida","non-dropping-particle":"","parse-names":false,"suffix":""},{"dropping-particle":"","family":"Markovic-Denic","given":"Ljiljana","non-dropping-particle":"","parse-names":false,"suffix":""},{"dropping-particle":"","family":"Krtinic","given":"Gordana","non-dropping-particle":"","parse-names":false,"suffix":""},{"dropping-particle":"","family":"Garabášová","given":"Mária Kopilec","non-dropping-particle":"","parse-names":false,"suffix":""},{"dropping-particle":"","family":"Štefkovičová","given":"Mária","non-dropping-particle":"","parse-names":false,"suffix":""},{"dropping-particle":"","family":"Caceres","given":"Enric Limon","non-dropping-particle":"","parse-names":false,"suffix":""},{"dropping-particle":"","family":"Castillo","given":"Maria José Torijano","non-dropping-particle":"","parse-names":false,"suffix":""},{"dropping-particle":"","family":"Söderblom","given":"Tomas","non-dropping-particle":"","parse-names":false,"suffix":""},{"dropping-particle":"","family":"Hellman","given":"Jenny","non-dropping-particle":"","parse-names":false,"suffix":""},{"dropping-particle":"","family":"Sartaj","given":"Muhammad","non-dropping-particle":"","parse-names":false,"suffix":""},{"dropping-particle":"","family":"Crockford","given":"Tony","non-dropping-particle":"","parse-names":false,"suffix":""},{"dropping-particle":"","family":"Cairns","given":"Shona","non-dropping-particle":"","parse-names":false,"suffix":""},{"dropping-particle":"","family":"Gibbons","given":"Cheryl","non-dropping-particle":"","parse-names":false,"suffix":""},{"dropping-particle":"","family":"Harrison","given":"Wendy","non-dropping-particle":"","parse-names":false,"suffix":""},{"dropping-particle":"","family":"Jeffrey","given":"Christine","non-dropping-particle":"","parse-names":false,"suffix":""}],"container-title":"Eurosurveillance","id":"ITEM-1","issue":"46","issued":{"date-parts":[["2018"]]},"publisher":"European Centre for Disease Control and Prevention (ECDC)","title":"Antimicrobial use in european long-term care facilities: Results from the third point prevalence survey of healthcare-associated infections and antimicrobial use, 2016 to 2017","type":"article-journal","volume":"23"},"uris":["http://www.mendeley.com/documents/?uuid=c60f0af9-7a27-442d-9af4-bacc1cf132f0"]}],"mendeley":{"formattedCitation":"(53)","plainTextFormattedCitation":"(53)","previouslyFormattedCitation":"(53)"},"properties":{"noteIndex":0},"schema":"https://github.com/citation-style-language/schema/raw/master/csl-citation.json"}</w:instrText>
            </w:r>
            <w:r w:rsidR="009C4E60" w:rsidRPr="00574DEA">
              <w:rPr>
                <w:rFonts w:ascii="Calibri" w:hAnsi="Calibri" w:cs="Calibri"/>
                <w:b/>
                <w:bCs/>
                <w:sz w:val="20"/>
                <w:szCs w:val="20"/>
              </w:rPr>
              <w:fldChar w:fldCharType="separate"/>
            </w:r>
            <w:r w:rsidR="00574DEA" w:rsidRPr="00574DEA">
              <w:rPr>
                <w:rFonts w:ascii="Calibri" w:hAnsi="Calibri" w:cs="Calibri"/>
                <w:bCs/>
                <w:noProof/>
                <w:sz w:val="20"/>
                <w:szCs w:val="20"/>
              </w:rPr>
              <w:t>[</w:t>
            </w:r>
            <w:r w:rsidR="009C4E60" w:rsidRPr="00574DEA">
              <w:rPr>
                <w:rFonts w:ascii="Calibri" w:hAnsi="Calibri" w:cs="Calibri"/>
                <w:bCs/>
                <w:noProof/>
                <w:sz w:val="20"/>
                <w:szCs w:val="20"/>
              </w:rPr>
              <w:t>53</w:t>
            </w:r>
            <w:r w:rsidR="00574DEA" w:rsidRPr="00574DEA">
              <w:rPr>
                <w:rFonts w:ascii="Calibri" w:hAnsi="Calibri" w:cs="Calibri"/>
                <w:bCs/>
                <w:noProof/>
                <w:sz w:val="20"/>
                <w:szCs w:val="20"/>
              </w:rPr>
              <w:t>]</w:t>
            </w:r>
            <w:r w:rsidR="009C4E60" w:rsidRPr="00574DEA">
              <w:rPr>
                <w:rFonts w:ascii="Calibri" w:hAnsi="Calibri" w:cs="Calibri"/>
                <w:b/>
                <w:bCs/>
                <w:sz w:val="20"/>
                <w:szCs w:val="20"/>
              </w:rPr>
              <w:fldChar w:fldCharType="end"/>
            </w:r>
            <w:r w:rsidR="00574DEA" w:rsidRPr="00574DEA">
              <w:rPr>
                <w:rFonts w:ascii="Calibri" w:hAnsi="Calibri" w:cs="Calibri"/>
                <w:b/>
                <w:bCs/>
                <w:sz w:val="20"/>
                <w:szCs w:val="20"/>
                <w:vertAlign w:val="superscript"/>
              </w:rPr>
              <w:t xml:space="preserve"> </w:t>
            </w:r>
          </w:p>
          <w:p w14:paraId="7612526E" w14:textId="77777777" w:rsidR="00D82224" w:rsidRPr="00574DEA" w:rsidRDefault="00D82224" w:rsidP="009B561A">
            <w:pPr>
              <w:spacing w:line="276" w:lineRule="auto"/>
              <w:rPr>
                <w:rFonts w:ascii="Calibri" w:hAnsi="Calibri" w:cs="Calibri"/>
                <w:b/>
                <w:bCs/>
                <w:color w:val="FF0000"/>
                <w:sz w:val="20"/>
                <w:szCs w:val="20"/>
              </w:rPr>
            </w:pPr>
            <w:r w:rsidRPr="00574DEA">
              <w:rPr>
                <w:rFonts w:ascii="Calibri" w:hAnsi="Calibri" w:cs="Calibri"/>
                <w:sz w:val="20"/>
                <w:szCs w:val="20"/>
              </w:rPr>
              <w:t xml:space="preserve">Antimicrobial use in European long-term care facilities: results from the third point prevalence survey of healthcare-associated </w:t>
            </w:r>
            <w:r w:rsidRPr="00574DEA">
              <w:rPr>
                <w:rFonts w:ascii="Calibri" w:hAnsi="Calibri" w:cs="Calibri"/>
                <w:sz w:val="20"/>
                <w:szCs w:val="20"/>
              </w:rPr>
              <w:lastRenderedPageBreak/>
              <w:t>infections and antimicrobial use, 2016 to 2017</w:t>
            </w:r>
          </w:p>
        </w:tc>
        <w:tc>
          <w:tcPr>
            <w:tcW w:w="2821" w:type="dxa"/>
          </w:tcPr>
          <w:p w14:paraId="37F149C3" w14:textId="77777777" w:rsidR="00D82224" w:rsidRPr="00574DEA" w:rsidRDefault="00D82224" w:rsidP="009B561A">
            <w:pPr>
              <w:spacing w:line="276" w:lineRule="auto"/>
              <w:rPr>
                <w:rFonts w:ascii="Calibri" w:hAnsi="Calibri" w:cs="Calibri"/>
                <w:b/>
                <w:bCs/>
                <w:color w:val="000000" w:themeColor="text1"/>
                <w:sz w:val="20"/>
                <w:szCs w:val="20"/>
              </w:rPr>
            </w:pPr>
            <w:r w:rsidRPr="00574DEA">
              <w:rPr>
                <w:rFonts w:ascii="Calibri" w:hAnsi="Calibri" w:cs="Calibri"/>
                <w:b/>
                <w:bCs/>
                <w:color w:val="000000" w:themeColor="text1"/>
                <w:sz w:val="20"/>
                <w:szCs w:val="20"/>
              </w:rPr>
              <w:lastRenderedPageBreak/>
              <w:t>Aims:</w:t>
            </w:r>
            <w:r w:rsidRPr="00574DEA">
              <w:rPr>
                <w:rFonts w:ascii="Calibri" w:hAnsi="Calibri" w:cs="Calibri"/>
                <w:color w:val="000000" w:themeColor="text1"/>
                <w:sz w:val="20"/>
                <w:szCs w:val="20"/>
              </w:rPr>
              <w:t xml:space="preserve"> To investigate prevalence and characteristics of antimicrobial use and antimicrobial stewardship indicators in European LTCFs in 2016–17.</w:t>
            </w:r>
            <w:r w:rsidRPr="00574DEA">
              <w:rPr>
                <w:rFonts w:ascii="Calibri" w:hAnsi="Calibri" w:cs="Calibri"/>
                <w:b/>
                <w:bCs/>
                <w:color w:val="000000" w:themeColor="text1"/>
                <w:sz w:val="20"/>
                <w:szCs w:val="20"/>
              </w:rPr>
              <w:t xml:space="preserve"> </w:t>
            </w:r>
          </w:p>
          <w:p w14:paraId="3EA784CC" w14:textId="77777777" w:rsidR="00D82224" w:rsidRPr="00574DEA" w:rsidRDefault="00D82224" w:rsidP="009B561A">
            <w:pPr>
              <w:spacing w:line="276" w:lineRule="auto"/>
              <w:rPr>
                <w:rFonts w:ascii="Calibri" w:hAnsi="Calibri" w:cs="Calibri"/>
                <w:b/>
                <w:bCs/>
                <w:color w:val="000000" w:themeColor="text1"/>
                <w:sz w:val="20"/>
                <w:szCs w:val="20"/>
              </w:rPr>
            </w:pPr>
            <w:r w:rsidRPr="00574DEA">
              <w:rPr>
                <w:rFonts w:ascii="Calibri" w:hAnsi="Calibri" w:cs="Calibri"/>
                <w:b/>
                <w:bCs/>
                <w:color w:val="000000" w:themeColor="text1"/>
                <w:sz w:val="20"/>
                <w:szCs w:val="20"/>
              </w:rPr>
              <w:t xml:space="preserve">Methods: </w:t>
            </w:r>
            <w:r w:rsidRPr="00574DEA">
              <w:rPr>
                <w:rFonts w:ascii="Calibri" w:hAnsi="Calibri" w:cs="Calibri"/>
                <w:color w:val="000000" w:themeColor="text1"/>
                <w:sz w:val="20"/>
                <w:szCs w:val="20"/>
              </w:rPr>
              <w:t>Point prevalence survey</w:t>
            </w:r>
          </w:p>
          <w:p w14:paraId="3B9E6079" w14:textId="77777777" w:rsidR="00D82224" w:rsidRPr="00574DEA" w:rsidRDefault="00D82224" w:rsidP="009B561A">
            <w:pPr>
              <w:spacing w:line="276" w:lineRule="auto"/>
              <w:rPr>
                <w:rFonts w:ascii="Calibri" w:hAnsi="Calibri" w:cs="Calibri"/>
                <w:color w:val="000000" w:themeColor="text1"/>
                <w:sz w:val="20"/>
                <w:szCs w:val="20"/>
              </w:rPr>
            </w:pPr>
            <w:r w:rsidRPr="00574DEA">
              <w:rPr>
                <w:rFonts w:ascii="Calibri" w:hAnsi="Calibri" w:cs="Calibri"/>
                <w:b/>
                <w:bCs/>
                <w:color w:val="000000" w:themeColor="text1"/>
                <w:sz w:val="20"/>
                <w:szCs w:val="20"/>
              </w:rPr>
              <w:lastRenderedPageBreak/>
              <w:t xml:space="preserve">Participants: </w:t>
            </w:r>
            <w:r w:rsidRPr="00574DEA">
              <w:rPr>
                <w:rFonts w:ascii="Calibri" w:hAnsi="Calibri" w:cs="Calibri"/>
                <w:color w:val="000000" w:themeColor="text1"/>
                <w:sz w:val="20"/>
                <w:szCs w:val="20"/>
              </w:rPr>
              <w:t>24 European Union/European Economic Area (EU/EEA) countries</w:t>
            </w:r>
          </w:p>
          <w:p w14:paraId="45E7DE0B" w14:textId="77777777" w:rsidR="00D82224" w:rsidRPr="00574DEA" w:rsidRDefault="00D82224" w:rsidP="009B561A">
            <w:pPr>
              <w:spacing w:line="276" w:lineRule="auto"/>
              <w:rPr>
                <w:rFonts w:ascii="Calibri" w:hAnsi="Calibri" w:cs="Calibri"/>
                <w:b/>
                <w:bCs/>
                <w:color w:val="FF0000"/>
                <w:sz w:val="20"/>
                <w:szCs w:val="20"/>
              </w:rPr>
            </w:pPr>
            <w:r w:rsidRPr="00574DEA">
              <w:rPr>
                <w:rFonts w:ascii="Calibri" w:hAnsi="Calibri" w:cs="Calibri"/>
                <w:b/>
                <w:bCs/>
                <w:sz w:val="20"/>
                <w:szCs w:val="20"/>
              </w:rPr>
              <w:t xml:space="preserve">Recruitment: </w:t>
            </w:r>
            <w:r w:rsidRPr="00574DEA">
              <w:rPr>
                <w:rFonts w:ascii="Calibri" w:hAnsi="Calibri" w:cs="Calibri"/>
                <w:sz w:val="20"/>
                <w:szCs w:val="20"/>
              </w:rPr>
              <w:t>HPSC</w:t>
            </w:r>
          </w:p>
        </w:tc>
        <w:tc>
          <w:tcPr>
            <w:tcW w:w="2831" w:type="dxa"/>
          </w:tcPr>
          <w:p w14:paraId="6B3E2EE6" w14:textId="77777777" w:rsidR="00D82224" w:rsidRPr="009B561A" w:rsidRDefault="00D82224" w:rsidP="009B561A">
            <w:pPr>
              <w:widowControl w:val="0"/>
              <w:autoSpaceDE w:val="0"/>
              <w:autoSpaceDN w:val="0"/>
              <w:adjustRightInd w:val="0"/>
              <w:spacing w:line="276" w:lineRule="auto"/>
              <w:rPr>
                <w:rFonts w:ascii="Calibri" w:hAnsi="Calibri" w:cs="Calibri"/>
                <w:b/>
                <w:bCs/>
                <w:sz w:val="20"/>
                <w:szCs w:val="20"/>
                <w:vertAlign w:val="superscript"/>
              </w:rPr>
            </w:pPr>
            <w:r w:rsidRPr="009B561A">
              <w:rPr>
                <w:rFonts w:ascii="Calibri" w:hAnsi="Calibri" w:cs="Calibri"/>
                <w:b/>
                <w:bCs/>
                <w:sz w:val="20"/>
                <w:szCs w:val="20"/>
              </w:rPr>
              <w:lastRenderedPageBreak/>
              <w:t>9.8%</w:t>
            </w:r>
            <w:r w:rsidRPr="009B561A">
              <w:rPr>
                <w:rFonts w:ascii="Calibri" w:hAnsi="Calibri" w:cs="Calibri"/>
                <w:sz w:val="20"/>
                <w:szCs w:val="20"/>
              </w:rPr>
              <w:t xml:space="preserve"> of residents were on Antimicrobials (AM) on day of survey </w:t>
            </w:r>
            <w:r w:rsidRPr="009B561A">
              <w:rPr>
                <w:rFonts w:ascii="Calibri" w:hAnsi="Calibri" w:cs="Calibri"/>
                <w:b/>
                <w:bCs/>
                <w:sz w:val="20"/>
                <w:szCs w:val="20"/>
              </w:rPr>
              <w:t xml:space="preserve">(EU 2016: 4.9%) </w:t>
            </w:r>
          </w:p>
          <w:p w14:paraId="4B9A24C4" w14:textId="77777777" w:rsidR="00D82224" w:rsidRPr="009B561A" w:rsidRDefault="00D82224" w:rsidP="009B561A">
            <w:pPr>
              <w:widowControl w:val="0"/>
              <w:autoSpaceDE w:val="0"/>
              <w:autoSpaceDN w:val="0"/>
              <w:adjustRightInd w:val="0"/>
              <w:spacing w:line="276" w:lineRule="auto"/>
              <w:rPr>
                <w:rFonts w:ascii="Calibri" w:hAnsi="Calibri" w:cs="Calibri"/>
                <w:b/>
                <w:bCs/>
                <w:color w:val="FF0000"/>
                <w:sz w:val="20"/>
                <w:szCs w:val="20"/>
              </w:rPr>
            </w:pPr>
            <w:r w:rsidRPr="009B561A">
              <w:rPr>
                <w:rFonts w:ascii="Calibri" w:hAnsi="Calibri" w:cs="Calibri"/>
                <w:sz w:val="20"/>
                <w:szCs w:val="20"/>
              </w:rPr>
              <w:t>41% of AM use was for prophylaxis of infection, 4.1% of all residents</w:t>
            </w:r>
            <w:r w:rsidRPr="009B561A">
              <w:rPr>
                <w:rFonts w:ascii="Calibri" w:hAnsi="Calibri" w:cs="Calibri"/>
                <w:b/>
                <w:bCs/>
                <w:sz w:val="20"/>
                <w:szCs w:val="20"/>
              </w:rPr>
              <w:t xml:space="preserve"> (EU 29%, 1.5% of residents)</w:t>
            </w:r>
          </w:p>
        </w:tc>
        <w:tc>
          <w:tcPr>
            <w:tcW w:w="5848" w:type="dxa"/>
          </w:tcPr>
          <w:p w14:paraId="73814CBD"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color w:val="000000" w:themeColor="text1"/>
                <w:sz w:val="20"/>
                <w:szCs w:val="20"/>
              </w:rPr>
              <w:t>The survey data allow for identifying targets for future antimicrobial stewardship interventions, specifically in LTCFs</w:t>
            </w:r>
          </w:p>
        </w:tc>
      </w:tr>
      <w:tr w:rsidR="00D82224" w:rsidRPr="009B561A" w14:paraId="7C3528E0" w14:textId="77777777" w:rsidTr="0087653A">
        <w:tc>
          <w:tcPr>
            <w:tcW w:w="393" w:type="dxa"/>
          </w:tcPr>
          <w:p w14:paraId="75568218"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6</w:t>
            </w:r>
          </w:p>
        </w:tc>
        <w:tc>
          <w:tcPr>
            <w:tcW w:w="2277" w:type="dxa"/>
          </w:tcPr>
          <w:p w14:paraId="12C9D3C0" w14:textId="5108C476" w:rsidR="00D82224" w:rsidRPr="00574DEA" w:rsidRDefault="00D82224" w:rsidP="009B561A">
            <w:pPr>
              <w:spacing w:line="276" w:lineRule="auto"/>
              <w:rPr>
                <w:rFonts w:ascii="Calibri" w:hAnsi="Calibri" w:cs="Calibri"/>
                <w:b/>
                <w:bCs/>
                <w:sz w:val="20"/>
                <w:szCs w:val="20"/>
                <w:vertAlign w:val="superscript"/>
              </w:rPr>
            </w:pPr>
            <w:r w:rsidRPr="00574DEA">
              <w:rPr>
                <w:rFonts w:ascii="Calibri" w:hAnsi="Calibri" w:cs="Calibri"/>
                <w:b/>
                <w:bCs/>
                <w:sz w:val="20"/>
                <w:szCs w:val="20"/>
              </w:rPr>
              <w:t>Tandan et al. (2019)</w:t>
            </w:r>
            <w:r w:rsidRPr="00574DEA">
              <w:rPr>
                <w:rFonts w:ascii="Calibri" w:hAnsi="Calibri" w:cs="Calibri"/>
                <w:b/>
                <w:bCs/>
                <w:sz w:val="20"/>
                <w:szCs w:val="20"/>
                <w:vertAlign w:val="superscript"/>
              </w:rPr>
              <w:t xml:space="preserve"> </w:t>
            </w:r>
            <w:r w:rsidR="009C4E60" w:rsidRPr="00574DEA">
              <w:rPr>
                <w:rFonts w:ascii="Calibri" w:hAnsi="Calibri" w:cs="Calibri"/>
                <w:b/>
                <w:bCs/>
                <w:sz w:val="20"/>
                <w:szCs w:val="20"/>
                <w:vertAlign w:val="superscript"/>
              </w:rPr>
              <w:fldChar w:fldCharType="begin" w:fldLock="1"/>
            </w:r>
            <w:r w:rsidR="009C4E60" w:rsidRPr="00574DEA">
              <w:rPr>
                <w:rFonts w:ascii="Calibri" w:hAnsi="Calibri" w:cs="Calibri"/>
                <w:b/>
                <w:bCs/>
                <w:sz w:val="20"/>
                <w:szCs w:val="20"/>
                <w:vertAlign w:val="superscript"/>
              </w:rPr>
              <w:instrText>ADDIN CSL_CITATION {"citationItems":[{"id":"ITEM-1","itemData":{"DOI":"10.2807/1560-7917.ES.2019.24.11.1800102","ISSN":"15607917","PMID":"30892182","abstract":"Background: Long-term care facilities (LTCFs) are important locations of antimicrobial consumption. Of particular concern is inappropriate prescribing of prophylactic antimicrobials. Aim: We aimed to explore factors related to antimicrobial prophylaxis in LTCFs in Ireland. Methods: The point prevalence surveys of Healthcare-Associated Infections in Long-Term Care Facilities (HALT) were performed in Ireland in May 2013 and 2016. Data were collected on facility (type and stewardship initiatives) and resident characteristics (age, sex, antimicrobial and indication) for those meeting the surveillance definition for a HAI and/or prescribed an antimicrobial. Results: In 2013, 9,318 residents (in 190 LTCFs) and in 2016, 10,044 residents (in 224 LTCFs) were included. Of the 10% of residents prescribed antimicrobials, 40% were on prophylaxis, most of which was to prevent urinary tract infection. The main prophylactic agents were: nitrofurantoin (39%) and trimethoprim (41%) for urinary tract (UT); macrolides (47%) for respiratory tract and macrolides and tetracycline (56%) for skin or wounds. More than 50% of the prophylaxis was prescribed in intellectual disability facilities and around 40% in nursing homes. Prophylaxis was recorded more often for females, residents living in LTCFs for more than 1 year and residents with a urinary catheter. No difference in prophylactic prescribing was observed when comparing LTCFs participating and not participating in both years. Conclusions: Forty per cent of antimicrobial prescriptions in Irish LTCFs were prophylactic. This practice is not consistent with national antimicrobial prescribing guidelines. Addressing inappropriate prophylaxis prescribing in Irish LTCFs should be a key objective of antimicrobial stewardship initiatives.","author":[{"dropping-particle":"","family":"Tandan","given":"Meera","non-dropping-particle":"","parse-names":false,"suffix":""},{"dropping-particle":"","family":"O’connor","given":"Rory","non-dropping-particle":"","parse-names":false,"suffix":""},{"dropping-particle":"","family":"Burns","given":"Karen","non-dropping-particle":"","parse-names":false,"suffix":""},{"dropping-particle":"","family":"Murphy","given":"Helen","non-dropping-particle":"","parse-names":false,"suffix":""},{"dropping-particle":"","family":"Hennessy","given":"Sarah","non-dropping-particle":"","parse-names":false,"suffix":""},{"dropping-particle":"","family":"Roche","given":"Fiona","non-dropping-particle":"","parse-names":false,"suffix":""},{"dropping-particle":"","family":"Donlon³","given":"Sheila","non-dropping-particle":"","parse-names":false,"suffix":""},{"dropping-particle":"","family":"Cormican","given":"Martin","non-dropping-particle":"","parse-names":false,"suffix":""},{"dropping-particle":"","family":"Vellinga","given":"Akke","non-dropping-particle":"","parse-names":false,"suffix":""}],"container-title":"Eurosurveillance","id":"ITEM-1","issue":"11","issued":{"date-parts":[["2019"]]},"page":"1-10","publisher":"European Centre for Disease Control and Prevention (ECDC)","title":"A comparative analysis of prophylactic antimicrobial use in long-term care facilities in Ireland, 2013 and 2016","type":"article-journal","volume":"24"},"uris":["http://www.mendeley.com/documents/?uuid=8ec658b2-bdea-44e7-afab-2b0e3d885fec"]}],"mendeley":{"formattedCitation":"(37)","plainTextFormattedCitation":"(37)","previouslyFormattedCitation":"(37)"},"properties":{"noteIndex":0},"schema":"https://github.com/citation-style-language/schema/raw/master/csl-citation.json"}</w:instrText>
            </w:r>
            <w:r w:rsidR="009C4E60" w:rsidRPr="00574DEA">
              <w:rPr>
                <w:rFonts w:ascii="Calibri" w:hAnsi="Calibri" w:cs="Calibri"/>
                <w:b/>
                <w:bCs/>
                <w:sz w:val="20"/>
                <w:szCs w:val="20"/>
                <w:vertAlign w:val="superscript"/>
              </w:rPr>
              <w:fldChar w:fldCharType="separate"/>
            </w:r>
            <w:r w:rsidR="00CC5E52" w:rsidRPr="00574DEA">
              <w:rPr>
                <w:rFonts w:ascii="Calibri" w:hAnsi="Calibri" w:cs="Calibri"/>
                <w:bCs/>
                <w:noProof/>
                <w:sz w:val="20"/>
                <w:szCs w:val="20"/>
              </w:rPr>
              <w:t>[</w:t>
            </w:r>
            <w:r w:rsidR="009C4E60" w:rsidRPr="00574DEA">
              <w:rPr>
                <w:rFonts w:ascii="Calibri" w:hAnsi="Calibri" w:cs="Calibri"/>
                <w:bCs/>
                <w:noProof/>
                <w:sz w:val="20"/>
                <w:szCs w:val="20"/>
              </w:rPr>
              <w:t>37</w:t>
            </w:r>
            <w:r w:rsidR="00CC5E52" w:rsidRPr="00574DEA">
              <w:rPr>
                <w:rFonts w:ascii="Calibri" w:hAnsi="Calibri" w:cs="Calibri"/>
                <w:bCs/>
                <w:noProof/>
                <w:sz w:val="20"/>
                <w:szCs w:val="20"/>
              </w:rPr>
              <w:t>]</w:t>
            </w:r>
            <w:r w:rsidR="009C4E60" w:rsidRPr="00574DEA">
              <w:rPr>
                <w:rFonts w:ascii="Calibri" w:hAnsi="Calibri" w:cs="Calibri"/>
                <w:b/>
                <w:bCs/>
                <w:sz w:val="20"/>
                <w:szCs w:val="20"/>
                <w:vertAlign w:val="superscript"/>
              </w:rPr>
              <w:fldChar w:fldCharType="end"/>
            </w:r>
            <w:r w:rsidR="00574DEA" w:rsidRPr="00574DEA">
              <w:rPr>
                <w:rFonts w:ascii="Calibri" w:hAnsi="Calibri" w:cs="Calibri"/>
                <w:b/>
                <w:bCs/>
                <w:sz w:val="20"/>
                <w:szCs w:val="20"/>
                <w:vertAlign w:val="superscript"/>
              </w:rPr>
              <w:t xml:space="preserve"> </w:t>
            </w:r>
          </w:p>
          <w:p w14:paraId="63CD1822" w14:textId="77777777" w:rsidR="00D82224" w:rsidRPr="00574DEA" w:rsidRDefault="00D82224" w:rsidP="009B561A">
            <w:pPr>
              <w:spacing w:line="276" w:lineRule="auto"/>
              <w:rPr>
                <w:rFonts w:ascii="Calibri" w:hAnsi="Calibri" w:cs="Calibri"/>
                <w:sz w:val="20"/>
                <w:szCs w:val="20"/>
              </w:rPr>
            </w:pPr>
            <w:r w:rsidRPr="00574DEA">
              <w:rPr>
                <w:rFonts w:ascii="Calibri" w:hAnsi="Calibri" w:cs="Calibri"/>
                <w:sz w:val="20"/>
                <w:szCs w:val="20"/>
              </w:rPr>
              <w:t>A comparative analysis of prophylactic antimicrobial use in long-term care facilities in Ireland, 2013 and 2016</w:t>
            </w:r>
          </w:p>
          <w:p w14:paraId="4E23B0B5" w14:textId="77777777" w:rsidR="00D82224" w:rsidRPr="00574DEA" w:rsidRDefault="00D82224" w:rsidP="009B561A">
            <w:pPr>
              <w:spacing w:line="276" w:lineRule="auto"/>
              <w:rPr>
                <w:rFonts w:ascii="Calibri" w:hAnsi="Calibri" w:cs="Calibri"/>
                <w:b/>
                <w:bCs/>
                <w:sz w:val="20"/>
                <w:szCs w:val="20"/>
              </w:rPr>
            </w:pPr>
            <w:r w:rsidRPr="00574DEA">
              <w:rPr>
                <w:rFonts w:ascii="Calibri" w:hAnsi="Calibri" w:cs="Calibri"/>
                <w:b/>
                <w:bCs/>
                <w:sz w:val="20"/>
                <w:szCs w:val="20"/>
              </w:rPr>
              <w:t xml:space="preserve">*Links with Table SRC C </w:t>
            </w:r>
          </w:p>
        </w:tc>
        <w:tc>
          <w:tcPr>
            <w:tcW w:w="2821" w:type="dxa"/>
          </w:tcPr>
          <w:p w14:paraId="4A3F0039" w14:textId="77777777" w:rsidR="00D82224" w:rsidRPr="00574DEA" w:rsidRDefault="00D82224" w:rsidP="009B561A">
            <w:pPr>
              <w:spacing w:line="276" w:lineRule="auto"/>
              <w:rPr>
                <w:rFonts w:ascii="Calibri" w:hAnsi="Calibri" w:cs="Calibri"/>
                <w:b/>
                <w:bCs/>
                <w:color w:val="FF0000"/>
                <w:sz w:val="20"/>
                <w:szCs w:val="20"/>
              </w:rPr>
            </w:pPr>
          </w:p>
        </w:tc>
        <w:tc>
          <w:tcPr>
            <w:tcW w:w="2831" w:type="dxa"/>
          </w:tcPr>
          <w:p w14:paraId="6DF856D5" w14:textId="77777777" w:rsidR="00D82224" w:rsidRPr="009B561A" w:rsidRDefault="00D82224" w:rsidP="009B561A">
            <w:pPr>
              <w:widowControl w:val="0"/>
              <w:autoSpaceDE w:val="0"/>
              <w:autoSpaceDN w:val="0"/>
              <w:adjustRightInd w:val="0"/>
              <w:spacing w:line="276" w:lineRule="auto"/>
              <w:rPr>
                <w:rFonts w:ascii="Calibri" w:hAnsi="Calibri" w:cs="Calibri"/>
                <w:b/>
                <w:bCs/>
                <w:color w:val="FF0000"/>
                <w:sz w:val="20"/>
                <w:szCs w:val="20"/>
              </w:rPr>
            </w:pPr>
          </w:p>
        </w:tc>
        <w:tc>
          <w:tcPr>
            <w:tcW w:w="5848" w:type="dxa"/>
          </w:tcPr>
          <w:p w14:paraId="6B281832"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Previously mentioned in Table</w:t>
            </w:r>
            <w:r w:rsidRPr="009B561A">
              <w:rPr>
                <w:rFonts w:ascii="Calibri" w:hAnsi="Calibri" w:cs="Calibri"/>
                <w:b/>
                <w:bCs/>
                <w:sz w:val="20"/>
                <w:szCs w:val="20"/>
              </w:rPr>
              <w:t xml:space="preserve"> </w:t>
            </w:r>
            <w:r w:rsidRPr="009B561A">
              <w:rPr>
                <w:rFonts w:ascii="Calibri" w:hAnsi="Calibri" w:cs="Calibri"/>
                <w:sz w:val="20"/>
                <w:szCs w:val="20"/>
              </w:rPr>
              <w:t>SRC C</w:t>
            </w:r>
          </w:p>
        </w:tc>
      </w:tr>
      <w:tr w:rsidR="00D82224" w:rsidRPr="009B561A" w14:paraId="1925A613" w14:textId="77777777" w:rsidTr="0087653A">
        <w:tc>
          <w:tcPr>
            <w:tcW w:w="393" w:type="dxa"/>
          </w:tcPr>
          <w:p w14:paraId="1E6E1D2D"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7</w:t>
            </w:r>
          </w:p>
        </w:tc>
        <w:tc>
          <w:tcPr>
            <w:tcW w:w="2277" w:type="dxa"/>
          </w:tcPr>
          <w:p w14:paraId="01620E4F" w14:textId="2A6AB22F" w:rsidR="00D82224" w:rsidRPr="00574DEA" w:rsidRDefault="00D82224" w:rsidP="009B561A">
            <w:pPr>
              <w:spacing w:line="276" w:lineRule="auto"/>
              <w:rPr>
                <w:rFonts w:ascii="Calibri" w:hAnsi="Calibri" w:cs="Calibri"/>
                <w:b/>
                <w:bCs/>
                <w:sz w:val="20"/>
                <w:szCs w:val="20"/>
                <w:vertAlign w:val="superscript"/>
              </w:rPr>
            </w:pPr>
            <w:r w:rsidRPr="00574DEA">
              <w:rPr>
                <w:rFonts w:ascii="Calibri" w:hAnsi="Calibri" w:cs="Calibri"/>
                <w:b/>
                <w:bCs/>
                <w:sz w:val="20"/>
                <w:szCs w:val="20"/>
              </w:rPr>
              <w:t>Tandan et al (2018)</w:t>
            </w:r>
            <w:r w:rsidRPr="00574DEA">
              <w:rPr>
                <w:rFonts w:ascii="Calibri" w:hAnsi="Calibri" w:cs="Calibri"/>
                <w:b/>
                <w:bCs/>
                <w:sz w:val="20"/>
                <w:szCs w:val="20"/>
                <w:vertAlign w:val="superscript"/>
              </w:rPr>
              <w:t xml:space="preserve"> </w:t>
            </w:r>
            <w:r w:rsidR="009C4E60" w:rsidRPr="00574DEA">
              <w:rPr>
                <w:rFonts w:ascii="Calibri" w:hAnsi="Calibri" w:cs="Calibri"/>
                <w:b/>
                <w:bCs/>
                <w:sz w:val="20"/>
                <w:szCs w:val="20"/>
                <w:vertAlign w:val="superscript"/>
              </w:rPr>
              <w:fldChar w:fldCharType="begin" w:fldLock="1"/>
            </w:r>
            <w:r w:rsidR="009C4E60" w:rsidRPr="00574DEA">
              <w:rPr>
                <w:rFonts w:ascii="Calibri" w:hAnsi="Calibri" w:cs="Calibri"/>
                <w:b/>
                <w:bCs/>
                <w:sz w:val="20"/>
                <w:szCs w:val="20"/>
                <w:vertAlign w:val="superscript"/>
              </w:rPr>
              <w:instrText>ADDIN CSL_CITATION {"citationItems":[{"id":"ITEM-1","itemData":{"DOI":"10.2807/1560-7917.ES.2018.23.46.1800278","ISSN":"1560-7917","abstract":"Background: The 2016 point prevalence survey (PPS) of healthcare-associated infections (HAI) and antimicrobial use (AMU) in Irish long-term care facilities (LTCF) (HALT) showed a 9.8% AMU and 4.4% HAI prevalence, based on aggregated data analysis. Aim: Our aim was to identify institutional and resident risk factors of AMU and HAI. Methods: HALT 2016 gathered information using institutional and resident questionnaires, for residents who met the surveillance definition of active HAI and/or AMU, limiting analysis to the aggregated institutional level. In January 2017, we requested additional data on age, sex, urinary catheter use and disorientation of current residents from HALT 2016 LTCF and matched to 2016 HALT data. Results: Of 224 HALT 2016 LTCF, 80 provided additional information on 3,816 residents; prevalence of AMU was 10.6% and HAI was 4.7%. Presence of a coordinating physician (Odds ratio (OR): 0.3; 95% confidence interval (CI): 0.2-0.6), antimicrobial stewardship committee (OR: 0.2; 95%; Ci: 0.1-0.6), healthcare assistants (OR: 0.9; 95% CI: 0.9-1.0), antimicrobial consumption feedback (OR: 0.3; 95% CI: 0.1-0.6) and medical care by personal general practitioner (OR: 0.6; 95% CI: 0.7-1.0) were associated with less AMU and feedback on surveillance of infection prevention and control (IPC) practices (OR: 0.6; 95% CI: 0.3-1..0) with less HAI. AMU and HAI varied significantly between LTCF. Conclusions: Multilevel modelling identified significant inter-facility variation, as well as institutional factors associated with AMU and HAI. An antimicrobial stewardship committee linked with feedback on IPC and prescribing was associated with reduced AMU and HAI.","author":[{"dropping-particle":"","family":"Tandan","given":"M","non-dropping-particle":"","parse-names":false,"suffix":""},{"dropping-particle":"","family":"Burns","given":"K","non-dropping-particle":"","parse-names":false,"suffix":""},{"dropping-particle":"","family":"Murphy","given":"H","non-dropping-particle":"","parse-names":false,"suffix":""},{"dropping-particle":"","family":"Hennessy","given":"S","non-dropping-particle":"","parse-names":false,"suffix":""},{"dropping-particle":"","family":"Cormican","given":"M","non-dropping-particle":"","parse-names":false,"suffix":""},{"dropping-particle":"","family":"Vellinga","given":"A","non-dropping-particle":"","parse-names":false,"suffix":""}],"container-title":"EUROSURVEILLANCE","id":"ITEM-1","issue":"46","issued":{"date-parts":[["2018"]]},"page":"64-74","title":"Antimicrobial prescribing and infections in long-term care facilities (LTCF): a multilevel analysis of the HALT 2016 study, Ireland, 2017","type":"article-journal","volume":"23"},"uris":["http://www.mendeley.com/documents/?uuid=03fed03b-ae98-477f-a83c-8af475c6b75e"]}],"mendeley":{"formattedCitation":"(38)","plainTextFormattedCitation":"(38)","previouslyFormattedCitation":"(38)"},"properties":{"noteIndex":0},"schema":"https://github.com/citation-style-language/schema/raw/master/csl-citation.json"}</w:instrText>
            </w:r>
            <w:r w:rsidR="009C4E60" w:rsidRPr="00574DEA">
              <w:rPr>
                <w:rFonts w:ascii="Calibri" w:hAnsi="Calibri" w:cs="Calibri"/>
                <w:b/>
                <w:bCs/>
                <w:sz w:val="20"/>
                <w:szCs w:val="20"/>
                <w:vertAlign w:val="superscript"/>
              </w:rPr>
              <w:fldChar w:fldCharType="separate"/>
            </w:r>
            <w:r w:rsidR="00CC5E52" w:rsidRPr="00574DEA">
              <w:rPr>
                <w:rFonts w:ascii="Calibri" w:hAnsi="Calibri" w:cs="Calibri"/>
                <w:bCs/>
                <w:noProof/>
                <w:sz w:val="20"/>
                <w:szCs w:val="20"/>
              </w:rPr>
              <w:t>[</w:t>
            </w:r>
            <w:r w:rsidR="009C4E60" w:rsidRPr="00574DEA">
              <w:rPr>
                <w:rFonts w:ascii="Calibri" w:hAnsi="Calibri" w:cs="Calibri"/>
                <w:bCs/>
                <w:noProof/>
                <w:sz w:val="20"/>
                <w:szCs w:val="20"/>
              </w:rPr>
              <w:t>38</w:t>
            </w:r>
            <w:r w:rsidR="00CC5E52" w:rsidRPr="00574DEA">
              <w:rPr>
                <w:rFonts w:ascii="Calibri" w:hAnsi="Calibri" w:cs="Calibri"/>
                <w:bCs/>
                <w:noProof/>
                <w:sz w:val="20"/>
                <w:szCs w:val="20"/>
              </w:rPr>
              <w:t>]</w:t>
            </w:r>
            <w:r w:rsidR="009C4E60" w:rsidRPr="00574DEA">
              <w:rPr>
                <w:rFonts w:ascii="Calibri" w:hAnsi="Calibri" w:cs="Calibri"/>
                <w:b/>
                <w:bCs/>
                <w:sz w:val="20"/>
                <w:szCs w:val="20"/>
                <w:vertAlign w:val="superscript"/>
              </w:rPr>
              <w:fldChar w:fldCharType="end"/>
            </w:r>
            <w:r w:rsidR="00574DEA" w:rsidRPr="00574DEA">
              <w:rPr>
                <w:rFonts w:ascii="Calibri" w:hAnsi="Calibri" w:cs="Calibri"/>
                <w:b/>
                <w:bCs/>
                <w:sz w:val="20"/>
                <w:szCs w:val="20"/>
                <w:vertAlign w:val="superscript"/>
              </w:rPr>
              <w:t xml:space="preserve"> </w:t>
            </w:r>
          </w:p>
          <w:p w14:paraId="29CBA0B3" w14:textId="77777777" w:rsidR="00D82224" w:rsidRPr="00574DEA" w:rsidRDefault="00D82224" w:rsidP="009B561A">
            <w:pPr>
              <w:spacing w:line="276" w:lineRule="auto"/>
              <w:rPr>
                <w:rFonts w:ascii="Calibri" w:hAnsi="Calibri" w:cs="Calibri"/>
                <w:sz w:val="20"/>
                <w:szCs w:val="20"/>
              </w:rPr>
            </w:pPr>
            <w:r w:rsidRPr="00574DEA">
              <w:rPr>
                <w:rFonts w:ascii="Calibri" w:hAnsi="Calibri" w:cs="Calibri"/>
                <w:sz w:val="20"/>
                <w:szCs w:val="20"/>
              </w:rPr>
              <w:t>Antimicrobial prescribing and infections in long-term care facilities (LTCF): a multilevel analysis of the HALT 2016 study, Ireland, 2017</w:t>
            </w:r>
          </w:p>
          <w:p w14:paraId="03E0CF1F" w14:textId="77777777" w:rsidR="00D82224" w:rsidRPr="00574DEA" w:rsidRDefault="00D82224" w:rsidP="009B561A">
            <w:pPr>
              <w:spacing w:line="276" w:lineRule="auto"/>
              <w:rPr>
                <w:rFonts w:ascii="Calibri" w:hAnsi="Calibri" w:cs="Calibri"/>
                <w:b/>
                <w:bCs/>
                <w:sz w:val="20"/>
                <w:szCs w:val="20"/>
              </w:rPr>
            </w:pPr>
            <w:r w:rsidRPr="00574DEA">
              <w:rPr>
                <w:rFonts w:ascii="Calibri" w:hAnsi="Calibri" w:cs="Calibri"/>
                <w:b/>
                <w:bCs/>
                <w:sz w:val="20"/>
                <w:szCs w:val="20"/>
              </w:rPr>
              <w:t xml:space="preserve">*Links with Table SRC C </w:t>
            </w:r>
          </w:p>
        </w:tc>
        <w:tc>
          <w:tcPr>
            <w:tcW w:w="2821" w:type="dxa"/>
          </w:tcPr>
          <w:p w14:paraId="627679F1" w14:textId="77777777" w:rsidR="00D82224" w:rsidRPr="00574DEA" w:rsidRDefault="00D82224" w:rsidP="009B561A">
            <w:pPr>
              <w:spacing w:line="276" w:lineRule="auto"/>
              <w:rPr>
                <w:rFonts w:ascii="Calibri" w:hAnsi="Calibri" w:cs="Calibri"/>
                <w:b/>
                <w:bCs/>
                <w:color w:val="FF0000"/>
                <w:sz w:val="20"/>
                <w:szCs w:val="20"/>
              </w:rPr>
            </w:pPr>
          </w:p>
        </w:tc>
        <w:tc>
          <w:tcPr>
            <w:tcW w:w="2831" w:type="dxa"/>
          </w:tcPr>
          <w:p w14:paraId="7630F20B" w14:textId="77777777" w:rsidR="00D82224" w:rsidRPr="009B561A" w:rsidRDefault="00D82224" w:rsidP="009B561A">
            <w:pPr>
              <w:widowControl w:val="0"/>
              <w:autoSpaceDE w:val="0"/>
              <w:autoSpaceDN w:val="0"/>
              <w:adjustRightInd w:val="0"/>
              <w:spacing w:line="276" w:lineRule="auto"/>
              <w:rPr>
                <w:rFonts w:ascii="Calibri" w:hAnsi="Calibri" w:cs="Calibri"/>
                <w:b/>
                <w:bCs/>
                <w:color w:val="FF0000"/>
                <w:sz w:val="20"/>
                <w:szCs w:val="20"/>
              </w:rPr>
            </w:pPr>
          </w:p>
        </w:tc>
        <w:tc>
          <w:tcPr>
            <w:tcW w:w="5848" w:type="dxa"/>
          </w:tcPr>
          <w:p w14:paraId="4EC29046"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Previously mentioned in Table</w:t>
            </w:r>
            <w:r w:rsidRPr="009B561A">
              <w:rPr>
                <w:rFonts w:ascii="Calibri" w:hAnsi="Calibri" w:cs="Calibri"/>
                <w:b/>
                <w:bCs/>
                <w:sz w:val="20"/>
                <w:szCs w:val="20"/>
              </w:rPr>
              <w:t xml:space="preserve"> </w:t>
            </w:r>
            <w:r w:rsidRPr="009B561A">
              <w:rPr>
                <w:rFonts w:ascii="Calibri" w:hAnsi="Calibri" w:cs="Calibri"/>
                <w:sz w:val="20"/>
                <w:szCs w:val="20"/>
              </w:rPr>
              <w:t>SRC C</w:t>
            </w:r>
          </w:p>
        </w:tc>
      </w:tr>
      <w:tr w:rsidR="00D82224" w:rsidRPr="009B561A" w14:paraId="000CB1EE" w14:textId="77777777" w:rsidTr="0087653A">
        <w:tc>
          <w:tcPr>
            <w:tcW w:w="393" w:type="dxa"/>
          </w:tcPr>
          <w:p w14:paraId="5460D5CE"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8</w:t>
            </w:r>
          </w:p>
        </w:tc>
        <w:tc>
          <w:tcPr>
            <w:tcW w:w="2277" w:type="dxa"/>
          </w:tcPr>
          <w:p w14:paraId="21F734CD" w14:textId="2DDDB79B" w:rsidR="00D82224" w:rsidRPr="00574DEA" w:rsidRDefault="00D82224" w:rsidP="009B561A">
            <w:pPr>
              <w:spacing w:line="276" w:lineRule="auto"/>
              <w:rPr>
                <w:rFonts w:ascii="Calibri" w:hAnsi="Calibri" w:cs="Calibri"/>
                <w:b/>
                <w:bCs/>
                <w:sz w:val="20"/>
                <w:szCs w:val="20"/>
                <w:vertAlign w:val="superscript"/>
              </w:rPr>
            </w:pPr>
            <w:r w:rsidRPr="00574DEA">
              <w:rPr>
                <w:rFonts w:ascii="Calibri" w:hAnsi="Calibri" w:cs="Calibri"/>
                <w:b/>
                <w:bCs/>
                <w:sz w:val="20"/>
                <w:szCs w:val="20"/>
              </w:rPr>
              <w:t>Tandan et al. (2018)</w:t>
            </w:r>
            <w:r w:rsidRPr="00574DEA">
              <w:rPr>
                <w:rFonts w:ascii="Calibri" w:hAnsi="Calibri" w:cs="Calibri"/>
                <w:b/>
                <w:bCs/>
                <w:sz w:val="20"/>
                <w:szCs w:val="20"/>
                <w:vertAlign w:val="superscript"/>
              </w:rPr>
              <w:t xml:space="preserve"> </w:t>
            </w:r>
            <w:r w:rsidR="009C4E60" w:rsidRPr="00574DEA">
              <w:rPr>
                <w:rFonts w:ascii="Calibri" w:hAnsi="Calibri" w:cs="Calibri"/>
                <w:b/>
                <w:bCs/>
                <w:sz w:val="20"/>
                <w:szCs w:val="20"/>
                <w:vertAlign w:val="superscript"/>
              </w:rPr>
              <w:fldChar w:fldCharType="begin" w:fldLock="1"/>
            </w:r>
            <w:r w:rsidR="009C4E60" w:rsidRPr="00574DEA">
              <w:rPr>
                <w:rFonts w:ascii="Calibri" w:hAnsi="Calibri" w:cs="Calibri"/>
                <w:b/>
                <w:bCs/>
                <w:sz w:val="20"/>
                <w:szCs w:val="20"/>
                <w:vertAlign w:val="superscript"/>
              </w:rPr>
              <w:instrText>ADDIN CSL_CITATION {"citationItems":[{"id":"ITEM-1","itemData":{"DOI":"10.1016/j.jamda.2018.10.028","ISSN":"15389375","PMID":"30554988","abstract":"Background/objectives: Broad-spectrum, second-line antimicrobials may be prescribed when initial first-line options prove ineffective. This study compares prescribing practices and identifies potential influencing factors for first- and second-line antimicrobials in long-term care facilities. Design: Point prevalence survey of health care–associated infections and antimicrobial use in long-term care facilities (HALT), expanded by additional data collection. Setting: Long-term care facilities in Ireland. Participants: Of long-term care facilities that participated in the HALT study 2016, additional data provided by 77 facilities with a record of 3677 residents. Measurement: On the survey date, an institutional questionnaire was completed by each participating long-term care facility, and resident questionnaires were completed only for those residents who met a health care–associated infection surveillance definition and/or were prescribed a systemic antimicrobial. All participating long-term care facilities were contacted at a later time point to provide limited anonymized data (age, sex, urinary catheterization, and disorientation) on all current residents. These additional data were matched to the original data set, facilitating multilevel multinominal logistic regression (first-line/second-line/no antimicrobial). Results: Of 3677 residents in 77 long-term care facilities, 381 (10%) were prescribed systemic antimicrobials on the survey day. Of those, 46% were categorized as second-line choices, with substantial interfacility variation observed with regard to prescription of first- versus second-line antimicrobials. The odds of a second-line antimicrobial prescription for a resident doubled when comparing the highest with the lowest prescribing long-term care facilities (median odds ratio = 2.0, credibility interval = 1.5-2.9). Male residents were less often prescribed first-line antimicrobials [odds ratio (OR) = 0.6, 95% confidence interval (CI) = 0.4-0.9, P =.02]. Long-term care facilities that reported the provision of education on antimicrobial prescribing use significantly less second-line antimicrobials (OR = 0.2, 95% CI = 0.1-0.7, P =.02). Females and residents with a urinary catheter were more likely to receive first-line antimicrobials. Conclusion/Implications: The use of second-line antimicrobials is common practice in long-term care facilities, but education and training on appropriate antimicrobial use has the potential to reduce second-line…","author":[{"dropping-particle":"","family":"Tandan","given":"Meera","non-dropping-particle":"","parse-names":false,"suffix":""},{"dropping-particle":"","family":"Burns","given":"Karen","non-dropping-particle":"","parse-names":false,"suffix":""},{"dropping-particle":"","family":"Murphy","given":"Helen","non-dropping-particle":"","parse-names":false,"suffix":""},{"dropping-particle":"","family":"Hennessy","given":"Sarah","non-dropping-particle":"","parse-names":false,"suffix":""},{"dropping-particle":"","family":"Cormican","given":"Martin","non-dropping-particle":"","parse-names":false,"suffix":""},{"dropping-particle":"","family":"Vellinga","given":"Akke","non-dropping-particle":"","parse-names":false,"suffix":""}],"container-title":"Journal of the American Medical Directors Association","id":"ITEM-1","issue":"5","issued":{"date-parts":[["2019","5","1"]]},"page":"624-628","publisher":"Elsevier Inc.","title":"Improving Antimicrobial Prescribing: A Multinomial Model Identifying Factors Associated With First- and Second-Line Prescribing","type":"article-journal","volume":"20"},"uris":["http://www.mendeley.com/documents/?uuid=1ea69c6f-9aa9-3040-8bd0-729928eb066f"]}],"mendeley":{"formattedCitation":"(39)","plainTextFormattedCitation":"(39)","previouslyFormattedCitation":"(39)"},"properties":{"noteIndex":0},"schema":"https://github.com/citation-style-language/schema/raw/master/csl-citation.json"}</w:instrText>
            </w:r>
            <w:r w:rsidR="009C4E60" w:rsidRPr="00574DEA">
              <w:rPr>
                <w:rFonts w:ascii="Calibri" w:hAnsi="Calibri" w:cs="Calibri"/>
                <w:b/>
                <w:bCs/>
                <w:sz w:val="20"/>
                <w:szCs w:val="20"/>
                <w:vertAlign w:val="superscript"/>
              </w:rPr>
              <w:fldChar w:fldCharType="separate"/>
            </w:r>
            <w:r w:rsidR="00CC5E52" w:rsidRPr="00574DEA">
              <w:rPr>
                <w:rFonts w:ascii="Calibri" w:hAnsi="Calibri" w:cs="Calibri"/>
                <w:bCs/>
                <w:noProof/>
                <w:sz w:val="20"/>
                <w:szCs w:val="20"/>
              </w:rPr>
              <w:t>[</w:t>
            </w:r>
            <w:r w:rsidR="009C4E60" w:rsidRPr="00574DEA">
              <w:rPr>
                <w:rFonts w:ascii="Calibri" w:hAnsi="Calibri" w:cs="Calibri"/>
                <w:bCs/>
                <w:noProof/>
                <w:sz w:val="20"/>
                <w:szCs w:val="20"/>
              </w:rPr>
              <w:t>39</w:t>
            </w:r>
            <w:r w:rsidR="00CC5E52" w:rsidRPr="00574DEA">
              <w:rPr>
                <w:rFonts w:ascii="Calibri" w:hAnsi="Calibri" w:cs="Calibri"/>
                <w:bCs/>
                <w:noProof/>
                <w:sz w:val="20"/>
                <w:szCs w:val="20"/>
              </w:rPr>
              <w:t>]</w:t>
            </w:r>
            <w:r w:rsidR="009C4E60" w:rsidRPr="00574DEA">
              <w:rPr>
                <w:rFonts w:ascii="Calibri" w:hAnsi="Calibri" w:cs="Calibri"/>
                <w:b/>
                <w:bCs/>
                <w:sz w:val="20"/>
                <w:szCs w:val="20"/>
                <w:vertAlign w:val="superscript"/>
              </w:rPr>
              <w:fldChar w:fldCharType="end"/>
            </w:r>
            <w:r w:rsidR="00574DEA" w:rsidRPr="00574DEA">
              <w:rPr>
                <w:rFonts w:ascii="Calibri" w:hAnsi="Calibri" w:cs="Calibri"/>
                <w:b/>
                <w:bCs/>
                <w:sz w:val="20"/>
                <w:szCs w:val="20"/>
                <w:vertAlign w:val="superscript"/>
              </w:rPr>
              <w:t xml:space="preserve"> </w:t>
            </w:r>
          </w:p>
          <w:p w14:paraId="23B164B5" w14:textId="77777777" w:rsidR="00D82224" w:rsidRPr="00574DEA" w:rsidRDefault="00D82224" w:rsidP="009B561A">
            <w:pPr>
              <w:spacing w:line="276" w:lineRule="auto"/>
              <w:rPr>
                <w:rFonts w:ascii="Calibri" w:hAnsi="Calibri" w:cs="Calibri"/>
                <w:sz w:val="20"/>
                <w:szCs w:val="20"/>
              </w:rPr>
            </w:pPr>
            <w:r w:rsidRPr="00574DEA">
              <w:rPr>
                <w:rFonts w:ascii="Calibri" w:hAnsi="Calibri" w:cs="Calibri"/>
                <w:sz w:val="20"/>
                <w:szCs w:val="20"/>
              </w:rPr>
              <w:t>Improving Antimicrobial Prescribing: A Multinomial Model Identifying Factors Associated With First- and Second-Line Prescribing</w:t>
            </w:r>
          </w:p>
          <w:p w14:paraId="67712B20" w14:textId="77777777" w:rsidR="00D82224" w:rsidRPr="00574DEA" w:rsidRDefault="00D82224" w:rsidP="009B561A">
            <w:pPr>
              <w:spacing w:line="276" w:lineRule="auto"/>
              <w:rPr>
                <w:rFonts w:ascii="Calibri" w:hAnsi="Calibri" w:cs="Calibri"/>
                <w:b/>
                <w:bCs/>
                <w:sz w:val="20"/>
                <w:szCs w:val="20"/>
              </w:rPr>
            </w:pPr>
            <w:r w:rsidRPr="00574DEA">
              <w:rPr>
                <w:rFonts w:ascii="Calibri" w:hAnsi="Calibri" w:cs="Calibri"/>
                <w:b/>
                <w:bCs/>
                <w:sz w:val="20"/>
                <w:szCs w:val="20"/>
              </w:rPr>
              <w:t>*Links with Table SRC C</w:t>
            </w:r>
          </w:p>
        </w:tc>
        <w:tc>
          <w:tcPr>
            <w:tcW w:w="2821" w:type="dxa"/>
          </w:tcPr>
          <w:p w14:paraId="7B904D61" w14:textId="77777777" w:rsidR="00D82224" w:rsidRPr="00574DEA" w:rsidRDefault="00D82224" w:rsidP="009B561A">
            <w:pPr>
              <w:spacing w:line="276" w:lineRule="auto"/>
              <w:rPr>
                <w:rFonts w:ascii="Calibri" w:hAnsi="Calibri" w:cs="Calibri"/>
                <w:b/>
                <w:bCs/>
                <w:color w:val="FF0000"/>
                <w:sz w:val="20"/>
                <w:szCs w:val="20"/>
              </w:rPr>
            </w:pPr>
          </w:p>
        </w:tc>
        <w:tc>
          <w:tcPr>
            <w:tcW w:w="2831" w:type="dxa"/>
          </w:tcPr>
          <w:p w14:paraId="69F56B83" w14:textId="77777777" w:rsidR="00D82224" w:rsidRPr="009B561A" w:rsidRDefault="00D82224" w:rsidP="009B561A">
            <w:pPr>
              <w:widowControl w:val="0"/>
              <w:autoSpaceDE w:val="0"/>
              <w:autoSpaceDN w:val="0"/>
              <w:adjustRightInd w:val="0"/>
              <w:spacing w:line="276" w:lineRule="auto"/>
              <w:rPr>
                <w:rFonts w:ascii="Calibri" w:hAnsi="Calibri" w:cs="Calibri"/>
                <w:b/>
                <w:bCs/>
                <w:color w:val="FF0000"/>
                <w:sz w:val="20"/>
                <w:szCs w:val="20"/>
              </w:rPr>
            </w:pPr>
          </w:p>
        </w:tc>
        <w:tc>
          <w:tcPr>
            <w:tcW w:w="5848" w:type="dxa"/>
          </w:tcPr>
          <w:p w14:paraId="072A6260"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sz w:val="20"/>
                <w:szCs w:val="20"/>
              </w:rPr>
              <w:t>Previously mentioned in Table</w:t>
            </w:r>
            <w:r w:rsidRPr="009B561A">
              <w:rPr>
                <w:rFonts w:ascii="Calibri" w:hAnsi="Calibri" w:cs="Calibri"/>
                <w:b/>
                <w:bCs/>
                <w:sz w:val="20"/>
                <w:szCs w:val="20"/>
              </w:rPr>
              <w:t xml:space="preserve"> </w:t>
            </w:r>
            <w:r w:rsidRPr="009B561A">
              <w:rPr>
                <w:rFonts w:ascii="Calibri" w:hAnsi="Calibri" w:cs="Calibri"/>
                <w:sz w:val="20"/>
                <w:szCs w:val="20"/>
              </w:rPr>
              <w:t>SRC C</w:t>
            </w:r>
          </w:p>
        </w:tc>
      </w:tr>
    </w:tbl>
    <w:p w14:paraId="02129BA8" w14:textId="77777777" w:rsidR="00D82224" w:rsidRPr="009B561A" w:rsidRDefault="00D82224" w:rsidP="009B561A">
      <w:pPr>
        <w:spacing w:line="276" w:lineRule="auto"/>
        <w:rPr>
          <w:rFonts w:ascii="Calibri" w:hAnsi="Calibri" w:cs="Calibri"/>
          <w:b/>
          <w:bCs/>
          <w:sz w:val="20"/>
          <w:szCs w:val="20"/>
        </w:rPr>
      </w:pPr>
    </w:p>
    <w:p w14:paraId="6580F771" w14:textId="407556BF" w:rsidR="00D82224" w:rsidRPr="004C6A28" w:rsidRDefault="00D82224" w:rsidP="009B561A">
      <w:pPr>
        <w:spacing w:line="276" w:lineRule="auto"/>
        <w:rPr>
          <w:rFonts w:ascii="Calibri" w:hAnsi="Calibri" w:cs="Calibri"/>
          <w:b/>
          <w:bCs/>
          <w:color w:val="FF0000"/>
          <w:sz w:val="24"/>
          <w:szCs w:val="24"/>
        </w:rPr>
      </w:pPr>
      <w:r w:rsidRPr="005C2D38">
        <w:rPr>
          <w:rFonts w:ascii="Calibri" w:hAnsi="Calibri" w:cs="Calibri"/>
          <w:b/>
          <w:bCs/>
          <w:sz w:val="24"/>
          <w:szCs w:val="24"/>
        </w:rPr>
        <w:lastRenderedPageBreak/>
        <w:t xml:space="preserve">Supplemental File </w:t>
      </w:r>
      <w:r w:rsidR="000F0CE5" w:rsidRPr="005C2D38">
        <w:rPr>
          <w:rFonts w:ascii="Calibri" w:hAnsi="Calibri" w:cs="Calibri"/>
          <w:b/>
          <w:bCs/>
          <w:sz w:val="24"/>
          <w:szCs w:val="24"/>
        </w:rPr>
        <w:t>5</w:t>
      </w:r>
      <w:r w:rsidRPr="005C2D38">
        <w:rPr>
          <w:rFonts w:ascii="Calibri" w:hAnsi="Calibri" w:cs="Calibri"/>
          <w:b/>
          <w:bCs/>
          <w:sz w:val="24"/>
          <w:szCs w:val="24"/>
        </w:rPr>
        <w:t>:</w:t>
      </w:r>
      <w:r w:rsidRPr="005060F4">
        <w:rPr>
          <w:rFonts w:ascii="Calibri" w:hAnsi="Calibri" w:cs="Calibri"/>
          <w:b/>
          <w:bCs/>
          <w:sz w:val="24"/>
          <w:szCs w:val="24"/>
        </w:rPr>
        <w:t xml:space="preserve"> Table </w:t>
      </w:r>
      <w:r w:rsidR="000F08FF" w:rsidRPr="005060F4">
        <w:rPr>
          <w:rFonts w:ascii="Calibri" w:hAnsi="Calibri" w:cs="Calibri"/>
          <w:b/>
          <w:bCs/>
          <w:sz w:val="24"/>
          <w:szCs w:val="24"/>
        </w:rPr>
        <w:t>11</w:t>
      </w:r>
      <w:r w:rsidR="005060F4" w:rsidRPr="005060F4">
        <w:rPr>
          <w:rFonts w:ascii="Calibri" w:hAnsi="Calibri" w:cs="Calibri"/>
          <w:b/>
          <w:bCs/>
          <w:sz w:val="24"/>
          <w:szCs w:val="24"/>
        </w:rPr>
        <w:t xml:space="preserve"> </w:t>
      </w:r>
      <w:r w:rsidRPr="005060F4">
        <w:rPr>
          <w:rFonts w:ascii="Calibri" w:hAnsi="Calibri" w:cs="Calibri"/>
          <w:b/>
          <w:bCs/>
          <w:sz w:val="24"/>
          <w:szCs w:val="24"/>
        </w:rPr>
        <w:t>ii SRC D: Grey Literature -Recommendations</w:t>
      </w:r>
      <w:r w:rsidRPr="004C6A28">
        <w:rPr>
          <w:rFonts w:ascii="Calibri" w:hAnsi="Calibri" w:cs="Calibri"/>
          <w:b/>
          <w:bCs/>
          <w:sz w:val="24"/>
          <w:szCs w:val="24"/>
        </w:rPr>
        <w:t xml:space="preserve"> for Non-Acute Residential Healthcare Institutions n=7 </w:t>
      </w:r>
      <w:r w:rsidRPr="00A51556">
        <w:rPr>
          <w:rFonts w:ascii="Calibri" w:hAnsi="Calibri" w:cs="Calibri"/>
          <w:b/>
          <w:bCs/>
          <w:sz w:val="24"/>
          <w:szCs w:val="24"/>
        </w:rPr>
        <w:t>reports)</w:t>
      </w:r>
      <w:r w:rsidR="00B26031" w:rsidRPr="00A51556">
        <w:rPr>
          <w:rFonts w:ascii="Calibri" w:hAnsi="Calibri" w:cs="Calibri"/>
          <w:b/>
          <w:bCs/>
          <w:sz w:val="24"/>
          <w:szCs w:val="24"/>
        </w:rPr>
        <w:fldChar w:fldCharType="begin" w:fldLock="1"/>
      </w:r>
      <w:r w:rsidR="00B26031" w:rsidRPr="00A51556">
        <w:rPr>
          <w:rFonts w:ascii="Calibri" w:hAnsi="Calibri" w:cs="Calibri"/>
          <w:b/>
          <w:bCs/>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A51556">
        <w:rPr>
          <w:rFonts w:ascii="Calibri" w:hAnsi="Calibri" w:cs="Calibri"/>
          <w:b/>
          <w:bCs/>
          <w:sz w:val="24"/>
          <w:szCs w:val="24"/>
        </w:rPr>
        <w:fldChar w:fldCharType="separate"/>
      </w:r>
      <w:r w:rsidR="003723E4" w:rsidRPr="00A51556">
        <w:rPr>
          <w:rFonts w:ascii="Calibri" w:hAnsi="Calibri" w:cs="Calibri"/>
          <w:bCs/>
          <w:noProof/>
          <w:sz w:val="24"/>
          <w:szCs w:val="24"/>
        </w:rPr>
        <w:t>[</w:t>
      </w:r>
      <w:r w:rsidR="00B26031" w:rsidRPr="00A51556">
        <w:rPr>
          <w:rFonts w:ascii="Calibri" w:hAnsi="Calibri" w:cs="Calibri"/>
          <w:bCs/>
          <w:noProof/>
          <w:sz w:val="24"/>
          <w:szCs w:val="24"/>
        </w:rPr>
        <w:t>1</w:t>
      </w:r>
      <w:r w:rsidR="003723E4" w:rsidRPr="00A51556">
        <w:rPr>
          <w:rFonts w:ascii="Calibri" w:hAnsi="Calibri" w:cs="Calibri"/>
          <w:bCs/>
          <w:noProof/>
          <w:sz w:val="24"/>
          <w:szCs w:val="24"/>
        </w:rPr>
        <w:t>]</w:t>
      </w:r>
      <w:r w:rsidR="00B26031" w:rsidRPr="00A51556">
        <w:rPr>
          <w:rFonts w:ascii="Calibri" w:hAnsi="Calibri" w:cs="Calibri"/>
          <w:b/>
          <w:bCs/>
          <w:sz w:val="24"/>
          <w:szCs w:val="24"/>
        </w:rPr>
        <w:fldChar w:fldCharType="end"/>
      </w:r>
      <w:r w:rsidR="00A51556" w:rsidRPr="004C6A28">
        <w:rPr>
          <w:rFonts w:ascii="Calibri" w:hAnsi="Calibri" w:cs="Calibri"/>
          <w:b/>
          <w:bCs/>
          <w:sz w:val="24"/>
          <w:szCs w:val="24"/>
        </w:rPr>
        <w:t xml:space="preserve"> </w:t>
      </w:r>
      <w:r w:rsidR="00AF54CE" w:rsidRPr="004C6A28">
        <w:rPr>
          <w:rFonts w:ascii="Calibri" w:hAnsi="Calibri" w:cs="Calibri"/>
          <w:b/>
          <w:bCs/>
          <w:sz w:val="24"/>
          <w:szCs w:val="24"/>
        </w:rPr>
        <w:t xml:space="preserve"> </w:t>
      </w:r>
    </w:p>
    <w:tbl>
      <w:tblPr>
        <w:tblStyle w:val="TableGrid4"/>
        <w:tblpPr w:leftFromText="180" w:rightFromText="180" w:vertAnchor="page" w:horzAnchor="margin" w:tblpY="2061"/>
        <w:tblW w:w="14170" w:type="dxa"/>
        <w:tblLook w:val="0620" w:firstRow="1" w:lastRow="0" w:firstColumn="0" w:lastColumn="0" w:noHBand="1" w:noVBand="1"/>
      </w:tblPr>
      <w:tblGrid>
        <w:gridCol w:w="421"/>
        <w:gridCol w:w="5103"/>
        <w:gridCol w:w="3977"/>
        <w:gridCol w:w="4669"/>
      </w:tblGrid>
      <w:tr w:rsidR="00D82224" w:rsidRPr="009B561A" w14:paraId="2AE4BD8E" w14:textId="77777777" w:rsidTr="0087653A">
        <w:trPr>
          <w:tblHeader/>
        </w:trPr>
        <w:tc>
          <w:tcPr>
            <w:tcW w:w="421" w:type="dxa"/>
          </w:tcPr>
          <w:p w14:paraId="1FA1A383" w14:textId="77777777" w:rsidR="00D82224" w:rsidRPr="009B561A" w:rsidRDefault="00D82224" w:rsidP="009B561A">
            <w:pPr>
              <w:spacing w:line="276" w:lineRule="auto"/>
              <w:jc w:val="center"/>
              <w:rPr>
                <w:rFonts w:ascii="Calibri" w:hAnsi="Calibri" w:cs="Calibri"/>
                <w:color w:val="FF0000"/>
                <w:sz w:val="20"/>
                <w:szCs w:val="20"/>
              </w:rPr>
            </w:pPr>
          </w:p>
        </w:tc>
        <w:tc>
          <w:tcPr>
            <w:tcW w:w="5103" w:type="dxa"/>
          </w:tcPr>
          <w:p w14:paraId="170A9CED" w14:textId="77777777" w:rsidR="00D82224" w:rsidRPr="009B561A" w:rsidRDefault="00D82224" w:rsidP="009B561A">
            <w:pPr>
              <w:spacing w:line="276" w:lineRule="auto"/>
              <w:jc w:val="center"/>
              <w:rPr>
                <w:rFonts w:ascii="Calibri" w:hAnsi="Calibri" w:cs="Calibri"/>
                <w:b/>
                <w:bCs/>
                <w:sz w:val="20"/>
                <w:szCs w:val="20"/>
              </w:rPr>
            </w:pPr>
            <w:r w:rsidRPr="009B561A">
              <w:rPr>
                <w:rFonts w:ascii="Calibri" w:hAnsi="Calibri" w:cs="Calibri"/>
                <w:b/>
                <w:bCs/>
                <w:sz w:val="20"/>
                <w:szCs w:val="20"/>
              </w:rPr>
              <w:t>Report</w:t>
            </w:r>
          </w:p>
        </w:tc>
        <w:tc>
          <w:tcPr>
            <w:tcW w:w="3977" w:type="dxa"/>
          </w:tcPr>
          <w:p w14:paraId="0D32FCC1" w14:textId="77777777" w:rsidR="00D82224" w:rsidRPr="009B561A" w:rsidRDefault="00D82224" w:rsidP="009B561A">
            <w:pPr>
              <w:spacing w:line="276" w:lineRule="auto"/>
              <w:jc w:val="center"/>
              <w:rPr>
                <w:rFonts w:ascii="Calibri" w:hAnsi="Calibri" w:cs="Calibri"/>
                <w:b/>
                <w:bCs/>
                <w:sz w:val="20"/>
                <w:szCs w:val="20"/>
              </w:rPr>
            </w:pPr>
            <w:r w:rsidRPr="009B561A">
              <w:rPr>
                <w:rFonts w:ascii="Calibri" w:hAnsi="Calibri" w:cs="Calibri"/>
                <w:b/>
                <w:bCs/>
                <w:sz w:val="20"/>
                <w:szCs w:val="20"/>
              </w:rPr>
              <w:t>Purpose</w:t>
            </w:r>
          </w:p>
        </w:tc>
        <w:tc>
          <w:tcPr>
            <w:tcW w:w="4669" w:type="dxa"/>
          </w:tcPr>
          <w:p w14:paraId="7817249E" w14:textId="77777777" w:rsidR="00D82224" w:rsidRPr="009B561A" w:rsidRDefault="00D82224" w:rsidP="009B561A">
            <w:pPr>
              <w:spacing w:line="276" w:lineRule="auto"/>
              <w:jc w:val="center"/>
              <w:rPr>
                <w:rFonts w:ascii="Calibri" w:hAnsi="Calibri" w:cs="Calibri"/>
                <w:b/>
                <w:bCs/>
                <w:sz w:val="20"/>
                <w:szCs w:val="20"/>
              </w:rPr>
            </w:pPr>
            <w:r w:rsidRPr="009B561A">
              <w:rPr>
                <w:rFonts w:ascii="Calibri" w:hAnsi="Calibri" w:cs="Calibri"/>
                <w:b/>
                <w:bCs/>
                <w:sz w:val="20"/>
                <w:szCs w:val="20"/>
              </w:rPr>
              <w:t>Outcomes</w:t>
            </w:r>
          </w:p>
        </w:tc>
      </w:tr>
      <w:tr w:rsidR="00D82224" w:rsidRPr="009B561A" w14:paraId="5EDE7CBB" w14:textId="77777777" w:rsidTr="0087653A">
        <w:tc>
          <w:tcPr>
            <w:tcW w:w="421" w:type="dxa"/>
          </w:tcPr>
          <w:p w14:paraId="2448C9AD"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1</w:t>
            </w:r>
          </w:p>
        </w:tc>
        <w:tc>
          <w:tcPr>
            <w:tcW w:w="5103" w:type="dxa"/>
          </w:tcPr>
          <w:p w14:paraId="176DCA91" w14:textId="30C9BB61" w:rsidR="00D82224" w:rsidRPr="00A51556" w:rsidRDefault="00D82224" w:rsidP="009B561A">
            <w:pPr>
              <w:spacing w:line="276" w:lineRule="auto"/>
              <w:rPr>
                <w:rFonts w:ascii="Calibri" w:hAnsi="Calibri" w:cs="Calibri"/>
                <w:b/>
                <w:bCs/>
                <w:sz w:val="20"/>
                <w:szCs w:val="20"/>
                <w:vertAlign w:val="superscript"/>
              </w:rPr>
            </w:pPr>
            <w:r w:rsidRPr="00A51556">
              <w:rPr>
                <w:rFonts w:ascii="Calibri" w:hAnsi="Calibri" w:cs="Calibri"/>
                <w:b/>
                <w:bCs/>
                <w:color w:val="000000" w:themeColor="text1"/>
                <w:sz w:val="20"/>
                <w:szCs w:val="20"/>
              </w:rPr>
              <w:t xml:space="preserve">Government of Ireland (2021). </w:t>
            </w:r>
            <w:r w:rsidRPr="00A51556">
              <w:rPr>
                <w:rFonts w:ascii="Calibri" w:hAnsi="Calibri" w:cs="Calibri"/>
                <w:color w:val="000000" w:themeColor="text1"/>
                <w:sz w:val="20"/>
                <w:szCs w:val="20"/>
              </w:rPr>
              <w:t>Ireland’s One Health National Action Plan on Antimicrobial Resistance 2021 – 2025 (known as iNAP2)</w:t>
            </w:r>
            <w:r w:rsidRPr="00A51556">
              <w:rPr>
                <w:rFonts w:ascii="Calibri" w:hAnsi="Calibri" w:cs="Calibri"/>
                <w:b/>
                <w:bCs/>
                <w:color w:val="000000" w:themeColor="text1"/>
                <w:sz w:val="20"/>
                <w:szCs w:val="20"/>
                <w:vertAlign w:val="superscript"/>
              </w:rPr>
              <w:fldChar w:fldCharType="begin" w:fldLock="1"/>
            </w:r>
            <w:r w:rsidR="009C4E60" w:rsidRPr="00A51556">
              <w:rPr>
                <w:rFonts w:ascii="Calibri" w:hAnsi="Calibri" w:cs="Calibri"/>
                <w:b/>
                <w:bCs/>
                <w:color w:val="000000" w:themeColor="text1"/>
                <w:sz w:val="20"/>
                <w:szCs w:val="20"/>
                <w:vertAlign w:val="superscript"/>
              </w:rPr>
              <w:instrText>ADDIN CSL_CITATION {"citationItems":[{"id":"ITEM-1","itemData":{"abstract":"Cosmetic products are generally formulated as emulsions, ointments, solutions or powders containing active ingredients. According to EU legislation, a cosmetic product is \"any substance or preparation intended to be placed in contact with the various external parts of the human body with a view exclusively or mainly to cleaning, perfuming them, changing their appearance, and/or correcting body odors and/or protecting them or keeping them in good conditions\". However, science advancement in both active carriers and ingredients has streamlined the process through which many cosmetic products by their delivery systems can induce modifications on the skin physiology. This is the reason why Reed and Kligman redefined these products as \"cosmeceuticals\", which refers to the combination of cosmetics and pharmaceuticals. Until recently, the term of cosmeceuticals has not had legal significance. The so-called cosmeceuticals, in fact, may induce modifications on the skin physiology, modifying, for example, transepidermal water loss, keratinocytes cohesion and turnover, modulating the inflammatory cascade, and/or altering the surface microbiota by the activity of the preservatives content. For these reasons, they are claimed to have medical or drug-like benefits. Naturally, their effectiveness on minor skin disorders or mild skin abnormalities has to be shown by in vitro and in vivo studies. On the other hand, their formulations contain emulsifiers, preservatives, and other chemicals which, by their cumulative use, may provoke side effects, such as allergic and/or sensitization phenomena. Moreover, many ingredients and packaging for such products are not biodegradable. In this study, we would like to introduce an innovative category of cosmeceuticals made by biodegradable nonwoven tissues. These cosmeceutical tissues, produced through the use of natural fibers, may bind different active ingredients and therefore become effective as antibacterial, anti-inflammatory, sun-protective, whitening, or anti-aging products, depending on the ingredient(s) used. Differently from the usual cosmetics, they do not contain preservatives, emulsifiers, colors, and other chemicals. They can be applied as dried tissue on wet skin, remaining in loco for around 30 min, slowly releasing the active ingredients entrapped into the fibers. It is interesting to underline that the tissue, acting as a carrier, has its own effectiveness via chitin and lignin polymers with an antibacterial and a…","author":[{"dropping-particle":"","family":"Government of Ireland","given":"","non-dropping-particle":"","parse-names":false,"suffix":""}],"id":"ITEM-1","issued":{"date-parts":[["2021"]]},"number-of-pages":"122","title":"Ireland ’s Second One Health National Action Plan on Antimicrobial Resistance 2021-2025","type":"report"},"uris":["http://www.mendeley.com/documents/?uuid=73d4e95d-f651-4674-8dc0-2b726270b7ef"]}],"mendeley":{"formattedCitation":"(54)","manualFormatting":" ","plainTextFormattedCitation":"(54)","previouslyFormattedCitation":"(54)"},"properties":{"noteIndex":0},"schema":"https://github.com/citation-style-language/schema/raw/master/csl-citation.json"}</w:instrText>
            </w:r>
            <w:r w:rsidRPr="00A51556">
              <w:rPr>
                <w:rFonts w:ascii="Calibri" w:hAnsi="Calibri" w:cs="Calibri"/>
                <w:b/>
                <w:bCs/>
                <w:color w:val="000000" w:themeColor="text1"/>
                <w:sz w:val="20"/>
                <w:szCs w:val="20"/>
                <w:vertAlign w:val="superscript"/>
              </w:rPr>
              <w:fldChar w:fldCharType="separate"/>
            </w:r>
            <w:r w:rsidRPr="00A51556" w:rsidDel="00152769">
              <w:rPr>
                <w:rFonts w:ascii="Calibri" w:hAnsi="Calibri" w:cs="Calibri"/>
                <w:bCs/>
                <w:noProof/>
                <w:color w:val="000000" w:themeColor="text1"/>
                <w:sz w:val="20"/>
                <w:szCs w:val="20"/>
                <w:vertAlign w:val="superscript"/>
              </w:rPr>
              <w:t xml:space="preserve"> </w:t>
            </w:r>
            <w:r w:rsidRPr="00A51556">
              <w:rPr>
                <w:rFonts w:ascii="Calibri" w:hAnsi="Calibri" w:cs="Calibri"/>
                <w:b/>
                <w:bCs/>
                <w:color w:val="000000" w:themeColor="text1"/>
                <w:sz w:val="20"/>
                <w:szCs w:val="20"/>
                <w:vertAlign w:val="superscript"/>
              </w:rPr>
              <w:fldChar w:fldCharType="end"/>
            </w:r>
            <w:r w:rsidRPr="00A51556">
              <w:rPr>
                <w:rFonts w:ascii="Calibri" w:hAnsi="Calibri" w:cs="Calibri"/>
                <w:b/>
                <w:bCs/>
                <w:sz w:val="20"/>
                <w:szCs w:val="20"/>
                <w:vertAlign w:val="superscript"/>
              </w:rPr>
              <w:t xml:space="preserve"> </w:t>
            </w:r>
            <w:r w:rsidR="00AE2577" w:rsidRPr="00A51556">
              <w:rPr>
                <w:rFonts w:ascii="Calibri" w:hAnsi="Calibri" w:cs="Calibri"/>
                <w:b/>
                <w:bCs/>
                <w:sz w:val="20"/>
                <w:szCs w:val="20"/>
                <w:vertAlign w:val="superscript"/>
              </w:rPr>
              <w:fldChar w:fldCharType="begin" w:fldLock="1"/>
            </w:r>
            <w:r w:rsidR="00FD4196" w:rsidRPr="00A51556">
              <w:rPr>
                <w:rFonts w:ascii="Calibri" w:hAnsi="Calibri" w:cs="Calibri"/>
                <w:b/>
                <w:bCs/>
                <w:sz w:val="20"/>
                <w:szCs w:val="20"/>
                <w:vertAlign w:val="superscript"/>
              </w:rPr>
              <w:instrText>ADDIN CSL_CITATION {"citationItems":[{"id":"ITEM-1","itemData":{"abstract":"Cosmetic products are generally formulated as emulsions, ointments, solutions or powders containing active ingredients. According to EU legislation, a cosmetic product is \"any substance or preparation intended to be placed in contact with the various external parts of the human body with a view exclusively or mainly to cleaning, perfuming them, changing their appearance, and/or correcting body odors and/or protecting them or keeping them in good conditions\". However, science advancement in both active carriers and ingredients has streamlined the process through which many cosmetic products by their delivery systems can induce modifications on the skin physiology. This is the reason why Reed and Kligman redefined these products as \"cosmeceuticals\", which refers to the combination of cosmetics and pharmaceuticals. Until recently, the term of cosmeceuticals has not had legal significance. The so-called cosmeceuticals, in fact, may induce modifications on the skin physiology, modifying, for example, transepidermal water loss, keratinocytes cohesion and turnover, modulating the inflammatory cascade, and/or altering the surface microbiota by the activity of the preservatives content. For these reasons, they are claimed to have medical or drug-like benefits. Naturally, their effectiveness on minor skin disorders or mild skin abnormalities has to be shown by in vitro and in vivo studies. On the other hand, their formulations contain emulsifiers, preservatives, and other chemicals which, by their cumulative use, may provoke side effects, such as allergic and/or sensitization phenomena. Moreover, many ingredients and packaging for such products are not biodegradable. In this study, we would like to introduce an innovative category of cosmeceuticals made by biodegradable nonwoven tissues. These cosmeceutical tissues, produced through the use of natural fibers, may bind different active ingredients and therefore become effective as antibacterial, anti-inflammatory, sun-protective, whitening, or anti-aging products, depending on the ingredient(s) used. Differently from the usual cosmetics, they do not contain preservatives, emulsifiers, colors, and other chemicals. They can be applied as dried tissue on wet skin, remaining in loco for around 30 min, slowly releasing the active ingredients entrapped into the fibers. It is interesting to underline that the tissue, acting as a carrier, has its own effectiveness via chitin and lignin polymers with an antibacterial and a…","id":"ITEM-1","issued":{"date-parts":[["0"]]},"title":"Government of Ireland (2021). Ireland’s One Health National Action Plan on Antimicrobial Resistance 2021 –2025 (known as iNAP2). Available at https://www.gov.ie/en/publication/d72f1-joint-action-on-antimicrobial-resistance/ www.gov.ie/amr","type":"report"},"uris":["http://www.mendeley.com/documents/?uuid=a77d5ae4-4132-49fb-8520-4c7a2e5f557f"]}],"mendeley":{"formattedCitation":"(9)","plainTextFormattedCitation":"(9)","previouslyFormattedCitation":"(9)"},"properties":{"noteIndex":0},"schema":"https://github.com/citation-style-language/schema/raw/master/csl-citation.json"}</w:instrText>
            </w:r>
            <w:r w:rsidR="00AE2577" w:rsidRPr="00A51556">
              <w:rPr>
                <w:rFonts w:ascii="Calibri" w:hAnsi="Calibri" w:cs="Calibri"/>
                <w:b/>
                <w:bCs/>
                <w:sz w:val="20"/>
                <w:szCs w:val="20"/>
                <w:vertAlign w:val="superscript"/>
              </w:rPr>
              <w:fldChar w:fldCharType="separate"/>
            </w:r>
            <w:r w:rsidR="00715972" w:rsidRPr="00A51556">
              <w:rPr>
                <w:rFonts w:ascii="Calibri" w:hAnsi="Calibri" w:cs="Calibri"/>
                <w:bCs/>
                <w:noProof/>
                <w:sz w:val="20"/>
                <w:szCs w:val="20"/>
              </w:rPr>
              <w:t>[</w:t>
            </w:r>
            <w:r w:rsidR="00AE2577" w:rsidRPr="00A51556">
              <w:rPr>
                <w:rFonts w:ascii="Calibri" w:hAnsi="Calibri" w:cs="Calibri"/>
                <w:bCs/>
                <w:noProof/>
                <w:sz w:val="20"/>
                <w:szCs w:val="20"/>
              </w:rPr>
              <w:t>9</w:t>
            </w:r>
            <w:r w:rsidR="00715972" w:rsidRPr="00A51556">
              <w:rPr>
                <w:rFonts w:ascii="Calibri" w:hAnsi="Calibri" w:cs="Calibri"/>
                <w:bCs/>
                <w:noProof/>
                <w:sz w:val="20"/>
                <w:szCs w:val="20"/>
              </w:rPr>
              <w:t>]</w:t>
            </w:r>
            <w:r w:rsidR="00AE2577" w:rsidRPr="00A51556">
              <w:rPr>
                <w:rFonts w:ascii="Calibri" w:hAnsi="Calibri" w:cs="Calibri"/>
                <w:b/>
                <w:bCs/>
                <w:sz w:val="20"/>
                <w:szCs w:val="20"/>
                <w:vertAlign w:val="superscript"/>
              </w:rPr>
              <w:fldChar w:fldCharType="end"/>
            </w:r>
            <w:r w:rsidR="00A51556" w:rsidRPr="00A51556">
              <w:rPr>
                <w:rFonts w:ascii="Calibri" w:hAnsi="Calibri" w:cs="Calibri"/>
                <w:b/>
                <w:bCs/>
                <w:sz w:val="20"/>
                <w:szCs w:val="20"/>
                <w:vertAlign w:val="superscript"/>
              </w:rPr>
              <w:t xml:space="preserve"> </w:t>
            </w:r>
          </w:p>
          <w:p w14:paraId="6A00D28C" w14:textId="77777777" w:rsidR="00D82224" w:rsidRPr="00A51556" w:rsidRDefault="00D82224" w:rsidP="009B561A">
            <w:pPr>
              <w:spacing w:line="276" w:lineRule="auto"/>
              <w:rPr>
                <w:rFonts w:ascii="Calibri" w:hAnsi="Calibri" w:cs="Calibri"/>
                <w:b/>
                <w:bCs/>
                <w:noProof/>
                <w:color w:val="FF0000"/>
                <w:sz w:val="20"/>
                <w:szCs w:val="20"/>
              </w:rPr>
            </w:pPr>
            <w:r w:rsidRPr="00A51556">
              <w:rPr>
                <w:rFonts w:ascii="Calibri" w:hAnsi="Calibri" w:cs="Calibri"/>
                <w:b/>
                <w:bCs/>
                <w:sz w:val="20"/>
                <w:szCs w:val="20"/>
              </w:rPr>
              <w:t>*Links with Tables SRC A, B</w:t>
            </w:r>
            <w:r w:rsidRPr="00A51556">
              <w:rPr>
                <w:rFonts w:ascii="Calibri" w:hAnsi="Calibri" w:cs="Calibri"/>
                <w:b/>
                <w:bCs/>
                <w:color w:val="000000" w:themeColor="text1"/>
                <w:sz w:val="20"/>
                <w:szCs w:val="20"/>
              </w:rPr>
              <w:t>&amp;</w:t>
            </w:r>
            <w:r w:rsidRPr="00A51556">
              <w:rPr>
                <w:rFonts w:ascii="Calibri" w:hAnsi="Calibri" w:cs="Calibri"/>
                <w:b/>
                <w:bCs/>
                <w:sz w:val="20"/>
                <w:szCs w:val="20"/>
              </w:rPr>
              <w:t>C</w:t>
            </w:r>
          </w:p>
        </w:tc>
        <w:tc>
          <w:tcPr>
            <w:tcW w:w="3977" w:type="dxa"/>
          </w:tcPr>
          <w:p w14:paraId="3C9A35B4" w14:textId="77777777" w:rsidR="00D82224" w:rsidRPr="009B561A" w:rsidRDefault="00D82224" w:rsidP="009B561A">
            <w:pPr>
              <w:spacing w:line="276" w:lineRule="auto"/>
              <w:rPr>
                <w:rFonts w:ascii="Calibri" w:hAnsi="Calibri" w:cs="Calibri"/>
                <w:b/>
                <w:bCs/>
                <w:sz w:val="20"/>
                <w:szCs w:val="20"/>
                <w:vertAlign w:val="superscript"/>
              </w:rPr>
            </w:pPr>
            <w:r w:rsidRPr="009B561A">
              <w:rPr>
                <w:rFonts w:ascii="Calibri" w:hAnsi="Calibri" w:cs="Calibri"/>
                <w:sz w:val="20"/>
                <w:szCs w:val="20"/>
              </w:rPr>
              <w:t>National Action Plan in continuing to advance Ireland’s One Health response to Antimicrobial Resistance</w:t>
            </w:r>
          </w:p>
          <w:p w14:paraId="030B0300" w14:textId="77777777" w:rsidR="00D82224" w:rsidRPr="009B561A" w:rsidRDefault="00D82224" w:rsidP="009B561A">
            <w:pPr>
              <w:spacing w:line="276" w:lineRule="auto"/>
              <w:rPr>
                <w:rFonts w:ascii="Calibri" w:hAnsi="Calibri" w:cs="Calibri"/>
                <w:b/>
                <w:bCs/>
                <w:color w:val="FF0000"/>
                <w:sz w:val="20"/>
                <w:szCs w:val="20"/>
                <w:highlight w:val="cyan"/>
              </w:rPr>
            </w:pPr>
          </w:p>
        </w:tc>
        <w:tc>
          <w:tcPr>
            <w:tcW w:w="4669" w:type="dxa"/>
          </w:tcPr>
          <w:p w14:paraId="587ECAD9"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The following statements from this report are relevant to our review.</w:t>
            </w:r>
          </w:p>
          <w:p w14:paraId="1338DB5A" w14:textId="77777777" w:rsidR="00D82224" w:rsidRPr="009B561A" w:rsidRDefault="00D82224" w:rsidP="009B561A">
            <w:pPr>
              <w:numPr>
                <w:ilvl w:val="0"/>
                <w:numId w:val="9"/>
              </w:numPr>
              <w:spacing w:line="276" w:lineRule="auto"/>
              <w:contextualSpacing/>
              <w:rPr>
                <w:rFonts w:ascii="Calibri" w:hAnsi="Calibri" w:cs="Calibri"/>
                <w:color w:val="000000" w:themeColor="text1"/>
                <w:sz w:val="20"/>
                <w:szCs w:val="20"/>
              </w:rPr>
            </w:pPr>
            <w:r w:rsidRPr="009B561A">
              <w:rPr>
                <w:rFonts w:ascii="Calibri" w:hAnsi="Calibri" w:cs="Calibri"/>
                <w:color w:val="000000" w:themeColor="text1"/>
                <w:sz w:val="20"/>
                <w:szCs w:val="20"/>
              </w:rPr>
              <w:t>“Build IPC/AMS capacity through multidisciplinary integrated teams across health and social care services.” p 17</w:t>
            </w:r>
          </w:p>
          <w:p w14:paraId="0743C11F" w14:textId="77777777" w:rsidR="00D82224" w:rsidRPr="009B561A" w:rsidRDefault="00D82224" w:rsidP="009B561A">
            <w:pPr>
              <w:numPr>
                <w:ilvl w:val="0"/>
                <w:numId w:val="9"/>
              </w:numPr>
              <w:spacing w:line="276" w:lineRule="auto"/>
              <w:contextualSpacing/>
              <w:rPr>
                <w:rFonts w:ascii="Calibri" w:hAnsi="Calibri" w:cs="Calibri"/>
                <w:color w:val="000000" w:themeColor="text1"/>
                <w:sz w:val="20"/>
                <w:szCs w:val="20"/>
              </w:rPr>
            </w:pPr>
            <w:r w:rsidRPr="009B561A">
              <w:rPr>
                <w:rFonts w:ascii="Calibri" w:hAnsi="Calibri" w:cs="Calibri"/>
                <w:color w:val="000000" w:themeColor="text1"/>
                <w:sz w:val="20"/>
                <w:szCs w:val="20"/>
              </w:rPr>
              <w:t>“Provide access to IPC/AMS advice, support, education, and training for healthcare workers to drive implementation of National IPC Standards and Guidelines” p17.</w:t>
            </w:r>
          </w:p>
          <w:p w14:paraId="4D54894B" w14:textId="77777777" w:rsidR="00D82224" w:rsidRPr="009B561A" w:rsidRDefault="00D82224" w:rsidP="009B561A">
            <w:pPr>
              <w:numPr>
                <w:ilvl w:val="0"/>
                <w:numId w:val="9"/>
              </w:numPr>
              <w:spacing w:line="276" w:lineRule="auto"/>
              <w:contextualSpacing/>
              <w:rPr>
                <w:rFonts w:ascii="Calibri" w:hAnsi="Calibri" w:cs="Calibri"/>
                <w:color w:val="000000" w:themeColor="text1"/>
                <w:sz w:val="20"/>
                <w:szCs w:val="20"/>
              </w:rPr>
            </w:pPr>
            <w:r w:rsidRPr="009B561A">
              <w:rPr>
                <w:rFonts w:ascii="Calibri" w:hAnsi="Calibri" w:cs="Calibri"/>
                <w:color w:val="000000" w:themeColor="text1"/>
                <w:sz w:val="20"/>
                <w:szCs w:val="20"/>
              </w:rPr>
              <w:t>“Implement information systems to support HCAI and AMR surveillance systems” p17.</w:t>
            </w:r>
          </w:p>
          <w:p w14:paraId="3F23E394" w14:textId="77777777" w:rsidR="00D82224" w:rsidRPr="009B561A" w:rsidRDefault="00D82224" w:rsidP="009B561A">
            <w:pPr>
              <w:numPr>
                <w:ilvl w:val="0"/>
                <w:numId w:val="9"/>
              </w:numPr>
              <w:spacing w:line="276" w:lineRule="auto"/>
              <w:contextualSpacing/>
              <w:rPr>
                <w:rFonts w:ascii="Calibri" w:hAnsi="Calibri" w:cs="Calibri"/>
                <w:color w:val="000000" w:themeColor="text1"/>
                <w:sz w:val="20"/>
                <w:szCs w:val="20"/>
              </w:rPr>
            </w:pPr>
            <w:r w:rsidRPr="009B561A">
              <w:rPr>
                <w:rFonts w:ascii="Calibri" w:hAnsi="Calibri" w:cs="Calibri"/>
                <w:color w:val="000000" w:themeColor="text1"/>
                <w:sz w:val="20"/>
                <w:szCs w:val="20"/>
              </w:rPr>
              <w:t>“Develop Key Performance Indicators (KPIs) for IPC and AMS for public health and social care services” p 17</w:t>
            </w:r>
          </w:p>
        </w:tc>
      </w:tr>
      <w:tr w:rsidR="00D82224" w:rsidRPr="009B561A" w14:paraId="41099650" w14:textId="77777777" w:rsidTr="0087653A">
        <w:tc>
          <w:tcPr>
            <w:tcW w:w="421" w:type="dxa"/>
          </w:tcPr>
          <w:p w14:paraId="1863F537"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2</w:t>
            </w:r>
          </w:p>
        </w:tc>
        <w:tc>
          <w:tcPr>
            <w:tcW w:w="5103" w:type="dxa"/>
          </w:tcPr>
          <w:p w14:paraId="4DC30C4E" w14:textId="031FF2B4" w:rsidR="00D82224" w:rsidRPr="00A51556" w:rsidRDefault="00D82224" w:rsidP="009B561A">
            <w:pPr>
              <w:spacing w:line="276" w:lineRule="auto"/>
              <w:rPr>
                <w:rFonts w:ascii="Calibri" w:hAnsi="Calibri" w:cs="Calibri"/>
                <w:b/>
                <w:bCs/>
                <w:color w:val="000000" w:themeColor="text1"/>
                <w:sz w:val="20"/>
                <w:szCs w:val="20"/>
                <w:vertAlign w:val="superscript"/>
              </w:rPr>
            </w:pPr>
            <w:r w:rsidRPr="00A51556">
              <w:rPr>
                <w:rFonts w:ascii="Calibri" w:hAnsi="Calibri" w:cs="Calibri"/>
                <w:b/>
                <w:bCs/>
                <w:color w:val="000000" w:themeColor="text1"/>
                <w:sz w:val="20"/>
                <w:szCs w:val="20"/>
              </w:rPr>
              <w:t xml:space="preserve">Health Service Executive (2021). </w:t>
            </w:r>
            <w:r w:rsidRPr="00A51556">
              <w:rPr>
                <w:rFonts w:ascii="Calibri" w:hAnsi="Calibri" w:cs="Calibri"/>
                <w:color w:val="000000" w:themeColor="text1"/>
                <w:sz w:val="20"/>
                <w:szCs w:val="20"/>
              </w:rPr>
              <w:t>Health Service Executive</w:t>
            </w:r>
            <w:r w:rsidRPr="00A51556">
              <w:rPr>
                <w:rFonts w:ascii="Calibri" w:hAnsi="Calibri" w:cs="Calibri"/>
                <w:b/>
                <w:bCs/>
                <w:color w:val="000000" w:themeColor="text1"/>
                <w:sz w:val="20"/>
                <w:szCs w:val="20"/>
              </w:rPr>
              <w:t xml:space="preserve"> </w:t>
            </w:r>
            <w:r w:rsidRPr="00A51556">
              <w:rPr>
                <w:rFonts w:ascii="Calibri" w:hAnsi="Calibri" w:cs="Calibri"/>
                <w:color w:val="000000" w:themeColor="text1"/>
                <w:sz w:val="20"/>
                <w:szCs w:val="20"/>
              </w:rPr>
              <w:t>2022-2025 AMRIC Action</w:t>
            </w:r>
            <w:r w:rsidRPr="00A51556">
              <w:rPr>
                <w:rFonts w:ascii="Calibri" w:hAnsi="Calibri" w:cs="Calibri"/>
                <w:b/>
                <w:bCs/>
                <w:color w:val="000000" w:themeColor="text1"/>
                <w:sz w:val="20"/>
                <w:szCs w:val="20"/>
              </w:rPr>
              <w:t xml:space="preserve"> </w:t>
            </w:r>
            <w:r w:rsidRPr="00A51556">
              <w:rPr>
                <w:rFonts w:ascii="Calibri" w:hAnsi="Calibri" w:cs="Calibri"/>
                <w:color w:val="000000" w:themeColor="text1"/>
                <w:sz w:val="20"/>
                <w:szCs w:val="20"/>
              </w:rPr>
              <w:t>plan</w:t>
            </w:r>
            <w:r w:rsidRPr="00A51556">
              <w:rPr>
                <w:rFonts w:ascii="Calibri" w:hAnsi="Calibri" w:cs="Calibri"/>
                <w:b/>
                <w:bCs/>
                <w:color w:val="000000" w:themeColor="text1"/>
                <w:sz w:val="20"/>
                <w:szCs w:val="20"/>
                <w:vertAlign w:val="superscript"/>
              </w:rPr>
              <w:t xml:space="preserve">   </w:t>
            </w:r>
            <w:r w:rsidR="00FD4196" w:rsidRPr="00A51556">
              <w:rPr>
                <w:rFonts w:ascii="Calibri" w:hAnsi="Calibri" w:cs="Calibri"/>
                <w:b/>
                <w:bCs/>
                <w:color w:val="000000" w:themeColor="text1"/>
                <w:sz w:val="20"/>
                <w:szCs w:val="20"/>
                <w:vertAlign w:val="superscript"/>
              </w:rPr>
              <w:fldChar w:fldCharType="begin" w:fldLock="1"/>
            </w:r>
            <w:r w:rsidR="007477FF" w:rsidRPr="00A51556">
              <w:rPr>
                <w:rFonts w:ascii="Calibri" w:hAnsi="Calibri" w:cs="Calibri"/>
                <w:b/>
                <w:bCs/>
                <w:color w:val="000000" w:themeColor="text1"/>
                <w:sz w:val="20"/>
                <w:szCs w:val="20"/>
                <w:vertAlign w:val="superscript"/>
              </w:rPr>
              <w:instrText>ADDIN CSL_CITATION {"citationItems":[{"id":"ITEM-1","itemData":{"ISBN":"9781786021854","author":[{"dropping-particle":"","family":"Health Service Executive (HSE)","given":"","non-dropping-particle":"","parse-names":false,"suffix":""}],"id":"ITEM-1","issued":{"date-parts":[["2022"]]},"title":"Health Service Executive (2021). Health Service Executive 2022-2025 AMRIC Action Plan Available at https://bit.ly/3nWROS7","type":"report"},"uris":["http://www.mendeley.com/documents/?uuid=3b9c19ff-832f-4476-93de-609f37e9eec5"]}],"mendeley":{"formattedCitation":"(10)","plainTextFormattedCitation":"(10)","previouslyFormattedCitation":"(10)"},"properties":{"noteIndex":0},"schema":"https://github.com/citation-style-language/schema/raw/master/csl-citation.json"}</w:instrText>
            </w:r>
            <w:r w:rsidR="00FD4196" w:rsidRPr="00A51556">
              <w:rPr>
                <w:rFonts w:ascii="Calibri" w:hAnsi="Calibri" w:cs="Calibri"/>
                <w:b/>
                <w:bCs/>
                <w:color w:val="000000" w:themeColor="text1"/>
                <w:sz w:val="20"/>
                <w:szCs w:val="20"/>
                <w:vertAlign w:val="superscript"/>
              </w:rPr>
              <w:fldChar w:fldCharType="separate"/>
            </w:r>
            <w:r w:rsidR="00715972" w:rsidRPr="00A51556">
              <w:rPr>
                <w:rFonts w:ascii="Calibri" w:hAnsi="Calibri" w:cs="Calibri"/>
                <w:bCs/>
                <w:noProof/>
                <w:color w:val="000000" w:themeColor="text1"/>
                <w:sz w:val="20"/>
                <w:szCs w:val="20"/>
              </w:rPr>
              <w:t>[</w:t>
            </w:r>
            <w:r w:rsidR="00FD4196" w:rsidRPr="00A51556">
              <w:rPr>
                <w:rFonts w:ascii="Calibri" w:hAnsi="Calibri" w:cs="Calibri"/>
                <w:bCs/>
                <w:noProof/>
                <w:color w:val="000000" w:themeColor="text1"/>
                <w:sz w:val="20"/>
                <w:szCs w:val="20"/>
              </w:rPr>
              <w:t>10</w:t>
            </w:r>
            <w:r w:rsidR="00715972" w:rsidRPr="00A51556">
              <w:rPr>
                <w:rFonts w:ascii="Calibri" w:hAnsi="Calibri" w:cs="Calibri"/>
                <w:bCs/>
                <w:noProof/>
                <w:color w:val="000000" w:themeColor="text1"/>
                <w:sz w:val="20"/>
                <w:szCs w:val="20"/>
              </w:rPr>
              <w:t>]</w:t>
            </w:r>
            <w:r w:rsidR="00FD4196" w:rsidRPr="00A51556">
              <w:rPr>
                <w:rFonts w:ascii="Calibri" w:hAnsi="Calibri" w:cs="Calibri"/>
                <w:b/>
                <w:bCs/>
                <w:color w:val="000000" w:themeColor="text1"/>
                <w:sz w:val="20"/>
                <w:szCs w:val="20"/>
                <w:vertAlign w:val="superscript"/>
              </w:rPr>
              <w:fldChar w:fldCharType="end"/>
            </w:r>
            <w:r w:rsidR="00A51556" w:rsidRPr="00A51556">
              <w:rPr>
                <w:rFonts w:ascii="Calibri" w:hAnsi="Calibri" w:cs="Calibri"/>
                <w:b/>
                <w:bCs/>
                <w:color w:val="000000" w:themeColor="text1"/>
                <w:sz w:val="20"/>
                <w:szCs w:val="20"/>
                <w:vertAlign w:val="superscript"/>
              </w:rPr>
              <w:t xml:space="preserve"> </w:t>
            </w:r>
          </w:p>
          <w:p w14:paraId="4EBBF78F" w14:textId="77777777" w:rsidR="00D82224" w:rsidRPr="00A51556" w:rsidRDefault="00D82224" w:rsidP="009B561A">
            <w:pPr>
              <w:spacing w:line="276" w:lineRule="auto"/>
              <w:rPr>
                <w:rFonts w:ascii="Calibri" w:hAnsi="Calibri" w:cs="Calibri"/>
                <w:b/>
                <w:bCs/>
                <w:color w:val="FF0000"/>
                <w:sz w:val="20"/>
                <w:szCs w:val="20"/>
              </w:rPr>
            </w:pPr>
            <w:r w:rsidRPr="00A51556">
              <w:rPr>
                <w:rFonts w:ascii="Calibri" w:hAnsi="Calibri" w:cs="Calibri"/>
                <w:b/>
                <w:bCs/>
                <w:sz w:val="20"/>
                <w:szCs w:val="20"/>
              </w:rPr>
              <w:t>*Links with Tables SRC A, B&amp;C</w:t>
            </w:r>
          </w:p>
        </w:tc>
        <w:tc>
          <w:tcPr>
            <w:tcW w:w="3977" w:type="dxa"/>
          </w:tcPr>
          <w:p w14:paraId="1C150005" w14:textId="77777777" w:rsidR="00D82224" w:rsidRPr="009B561A" w:rsidRDefault="00D82224" w:rsidP="009B561A">
            <w:pPr>
              <w:spacing w:line="276" w:lineRule="auto"/>
              <w:rPr>
                <w:rFonts w:ascii="Calibri" w:hAnsi="Calibri" w:cs="Calibri"/>
                <w:b/>
                <w:bCs/>
                <w:color w:val="FF0000"/>
                <w:sz w:val="20"/>
                <w:szCs w:val="20"/>
                <w:highlight w:val="cyan"/>
              </w:rPr>
            </w:pPr>
            <w:r w:rsidRPr="009B561A">
              <w:rPr>
                <w:rFonts w:ascii="Calibri" w:hAnsi="Calibri" w:cs="Calibri"/>
                <w:sz w:val="20"/>
                <w:szCs w:val="20"/>
              </w:rPr>
              <w:t>To complement iNAP2, sets out how the HSE will play its part in delivering on the commitments of iNAP2</w:t>
            </w:r>
          </w:p>
        </w:tc>
        <w:tc>
          <w:tcPr>
            <w:tcW w:w="4669" w:type="dxa"/>
          </w:tcPr>
          <w:p w14:paraId="6CAE75D6"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The following statements from this report are relevant to our review:</w:t>
            </w:r>
          </w:p>
          <w:p w14:paraId="7BEB9184" w14:textId="77777777" w:rsidR="00D82224" w:rsidRPr="009B561A" w:rsidRDefault="00D82224" w:rsidP="009B561A">
            <w:pPr>
              <w:spacing w:line="276" w:lineRule="auto"/>
              <w:rPr>
                <w:rFonts w:ascii="Calibri" w:hAnsi="Calibri" w:cs="Calibri"/>
                <w:b/>
                <w:bCs/>
                <w:color w:val="FF0000"/>
                <w:sz w:val="20"/>
                <w:szCs w:val="20"/>
              </w:rPr>
            </w:pPr>
          </w:p>
          <w:p w14:paraId="173A820C"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b/>
                <w:bCs/>
                <w:color w:val="000000" w:themeColor="text1"/>
                <w:sz w:val="20"/>
                <w:szCs w:val="20"/>
              </w:rPr>
              <w:t>Community consumption of antibiotics</w:t>
            </w:r>
            <w:r w:rsidRPr="009B561A">
              <w:rPr>
                <w:rFonts w:ascii="Calibri" w:hAnsi="Calibri" w:cs="Calibri"/>
                <w:color w:val="000000" w:themeColor="text1"/>
                <w:sz w:val="20"/>
                <w:szCs w:val="20"/>
              </w:rPr>
              <w:t xml:space="preserve">: </w:t>
            </w:r>
          </w:p>
          <w:p w14:paraId="3A9BBB09"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“For 2022, the HSE has as a KPI for community consumption of antibiotics of &lt;22 defined daily doses (DDD) per 1000 population”. p 8</w:t>
            </w:r>
          </w:p>
          <w:p w14:paraId="03631659"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“The HSE will work to reduce that target by 2 % each year to achieve an 8 % reduction by 2025 equating to approximately a 0.5 annual reduction in DDD to achieve a target of 20.5 DDD by 2025” p 8</w:t>
            </w:r>
          </w:p>
          <w:p w14:paraId="0B5D1227" w14:textId="77777777" w:rsidR="00D82224" w:rsidRPr="009B561A" w:rsidRDefault="00D82224" w:rsidP="009B561A">
            <w:pPr>
              <w:spacing w:line="276" w:lineRule="auto"/>
              <w:rPr>
                <w:rFonts w:ascii="Calibri" w:hAnsi="Calibri" w:cs="Calibri"/>
                <w:b/>
                <w:bCs/>
                <w:color w:val="000000" w:themeColor="text1"/>
                <w:sz w:val="20"/>
                <w:szCs w:val="20"/>
              </w:rPr>
            </w:pPr>
            <w:r w:rsidRPr="009B561A">
              <w:rPr>
                <w:rFonts w:ascii="Calibri" w:hAnsi="Calibri" w:cs="Calibri"/>
                <w:b/>
                <w:bCs/>
                <w:color w:val="000000" w:themeColor="text1"/>
                <w:sz w:val="20"/>
                <w:szCs w:val="20"/>
              </w:rPr>
              <w:t>General Practice prescription of antibiotics:</w:t>
            </w:r>
          </w:p>
          <w:p w14:paraId="0C8E1007"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color w:val="000000" w:themeColor="text1"/>
                <w:sz w:val="20"/>
                <w:szCs w:val="20"/>
              </w:rPr>
              <w:lastRenderedPageBreak/>
              <w:t>“The HSE will work with General Practitioners to achieve a further reduction of 8% to 26% “red” antibiotics by 2025”. p8</w:t>
            </w:r>
          </w:p>
        </w:tc>
      </w:tr>
      <w:tr w:rsidR="00D82224" w:rsidRPr="009B561A" w14:paraId="13CF465D" w14:textId="77777777" w:rsidTr="0087653A">
        <w:tc>
          <w:tcPr>
            <w:tcW w:w="421" w:type="dxa"/>
          </w:tcPr>
          <w:p w14:paraId="27D856A0"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3</w:t>
            </w:r>
          </w:p>
        </w:tc>
        <w:tc>
          <w:tcPr>
            <w:tcW w:w="5103" w:type="dxa"/>
          </w:tcPr>
          <w:p w14:paraId="3180109E" w14:textId="494D7634" w:rsidR="00D82224" w:rsidRPr="00A51556" w:rsidRDefault="00D82224" w:rsidP="009B561A">
            <w:pPr>
              <w:spacing w:line="276" w:lineRule="auto"/>
              <w:rPr>
                <w:rFonts w:ascii="Calibri" w:hAnsi="Calibri" w:cs="Calibri"/>
                <w:b/>
                <w:bCs/>
                <w:sz w:val="20"/>
                <w:szCs w:val="20"/>
                <w:vertAlign w:val="superscript"/>
              </w:rPr>
            </w:pPr>
            <w:r w:rsidRPr="00A51556">
              <w:rPr>
                <w:rFonts w:ascii="Calibri" w:hAnsi="Calibri" w:cs="Calibri"/>
                <w:b/>
                <w:bCs/>
                <w:noProof/>
                <w:sz w:val="20"/>
                <w:szCs w:val="20"/>
              </w:rPr>
              <w:t>HIQA. iNAP 2 SUBMISSION. Vol. 3. 2021</w:t>
            </w:r>
            <w:r w:rsidR="007477FF" w:rsidRPr="00A51556">
              <w:rPr>
                <w:rFonts w:ascii="Calibri" w:hAnsi="Calibri" w:cs="Calibri"/>
                <w:b/>
                <w:bCs/>
                <w:noProof/>
                <w:sz w:val="20"/>
                <w:szCs w:val="20"/>
              </w:rPr>
              <w:fldChar w:fldCharType="begin" w:fldLock="1"/>
            </w:r>
            <w:r w:rsidR="007477FF" w:rsidRPr="00A51556">
              <w:rPr>
                <w:rFonts w:ascii="Calibri" w:hAnsi="Calibri" w:cs="Calibri"/>
                <w:b/>
                <w:bCs/>
                <w:noProof/>
                <w:sz w:val="20"/>
                <w:szCs w:val="20"/>
              </w:rPr>
              <w:instrText>ADDIN CSL_CITATION {"citationItems":[{"id":"ITEM-1","itemData":{"author":[{"dropping-particle":"","family":"Health Information and Quality(HIQA)","given":"","non-dropping-particle":"","parse-names":false,"suffix":""}],"id":"ITEM-1","issue":"2","issued":{"date-parts":[["2021"]]},"number-of-pages":"6","title":"Health Information Quality Authority -iNAP 2 Submission","type":"report","volume":"3"},"uris":["http://www.mendeley.com/documents/?uuid=0d182d9c-f8c0-4559-8c85-78d496e6b812"]}],"mendeley":{"formattedCitation":"(8)","plainTextFormattedCitation":"(8)","previouslyFormattedCitation":"(8)"},"properties":{"noteIndex":0},"schema":"https://github.com/citation-style-language/schema/raw/master/csl-citation.json"}</w:instrText>
            </w:r>
            <w:r w:rsidR="007477FF" w:rsidRPr="00A51556">
              <w:rPr>
                <w:rFonts w:ascii="Calibri" w:hAnsi="Calibri" w:cs="Calibri"/>
                <w:b/>
                <w:bCs/>
                <w:noProof/>
                <w:sz w:val="20"/>
                <w:szCs w:val="20"/>
              </w:rPr>
              <w:fldChar w:fldCharType="separate"/>
            </w:r>
            <w:r w:rsidR="00715972" w:rsidRPr="00A51556">
              <w:rPr>
                <w:rFonts w:ascii="Calibri" w:hAnsi="Calibri" w:cs="Calibri"/>
                <w:bCs/>
                <w:noProof/>
                <w:sz w:val="20"/>
                <w:szCs w:val="20"/>
              </w:rPr>
              <w:t>[</w:t>
            </w:r>
            <w:r w:rsidR="007477FF" w:rsidRPr="00A51556">
              <w:rPr>
                <w:rFonts w:ascii="Calibri" w:hAnsi="Calibri" w:cs="Calibri"/>
                <w:bCs/>
                <w:noProof/>
                <w:sz w:val="20"/>
                <w:szCs w:val="20"/>
              </w:rPr>
              <w:t>8</w:t>
            </w:r>
            <w:r w:rsidR="00715972" w:rsidRPr="00A51556">
              <w:rPr>
                <w:rFonts w:ascii="Calibri" w:hAnsi="Calibri" w:cs="Calibri"/>
                <w:bCs/>
                <w:noProof/>
                <w:sz w:val="20"/>
                <w:szCs w:val="20"/>
              </w:rPr>
              <w:t>]</w:t>
            </w:r>
            <w:r w:rsidR="007477FF" w:rsidRPr="00A51556">
              <w:rPr>
                <w:rFonts w:ascii="Calibri" w:hAnsi="Calibri" w:cs="Calibri"/>
                <w:b/>
                <w:bCs/>
                <w:noProof/>
                <w:sz w:val="20"/>
                <w:szCs w:val="20"/>
              </w:rPr>
              <w:fldChar w:fldCharType="end"/>
            </w:r>
            <w:r w:rsidR="00A51556" w:rsidRPr="00A51556">
              <w:rPr>
                <w:rFonts w:ascii="Calibri" w:hAnsi="Calibri" w:cs="Calibri"/>
                <w:b/>
                <w:bCs/>
                <w:sz w:val="20"/>
                <w:szCs w:val="20"/>
                <w:vertAlign w:val="superscript"/>
              </w:rPr>
              <w:t xml:space="preserve"> </w:t>
            </w:r>
          </w:p>
          <w:p w14:paraId="190A44BC" w14:textId="77777777" w:rsidR="00D82224" w:rsidRPr="00A51556" w:rsidRDefault="00D82224" w:rsidP="009B561A">
            <w:pPr>
              <w:spacing w:line="276" w:lineRule="auto"/>
              <w:rPr>
                <w:rFonts w:ascii="Calibri" w:hAnsi="Calibri" w:cs="Calibri"/>
                <w:b/>
                <w:bCs/>
                <w:color w:val="FF0000"/>
                <w:sz w:val="20"/>
                <w:szCs w:val="20"/>
              </w:rPr>
            </w:pPr>
            <w:r w:rsidRPr="00A51556">
              <w:rPr>
                <w:rFonts w:ascii="Calibri" w:hAnsi="Calibri" w:cs="Calibri"/>
                <w:b/>
                <w:bCs/>
                <w:sz w:val="20"/>
                <w:szCs w:val="20"/>
              </w:rPr>
              <w:t>*Links with Tables SRC A</w:t>
            </w:r>
            <w:r w:rsidRPr="00A51556">
              <w:rPr>
                <w:rFonts w:ascii="Calibri" w:hAnsi="Calibri" w:cs="Calibri"/>
                <w:b/>
                <w:bCs/>
                <w:color w:val="000000" w:themeColor="text1"/>
                <w:sz w:val="20"/>
                <w:szCs w:val="20"/>
              </w:rPr>
              <w:t>&amp;</w:t>
            </w:r>
            <w:r w:rsidRPr="00A51556">
              <w:rPr>
                <w:rFonts w:ascii="Calibri" w:hAnsi="Calibri" w:cs="Calibri"/>
                <w:b/>
                <w:bCs/>
                <w:sz w:val="20"/>
                <w:szCs w:val="20"/>
              </w:rPr>
              <w:t>C</w:t>
            </w:r>
          </w:p>
        </w:tc>
        <w:tc>
          <w:tcPr>
            <w:tcW w:w="3977" w:type="dxa"/>
          </w:tcPr>
          <w:p w14:paraId="39FB90C7" w14:textId="77777777" w:rsidR="00D82224" w:rsidRPr="009B561A" w:rsidRDefault="00D82224" w:rsidP="009B561A">
            <w:pPr>
              <w:spacing w:line="276" w:lineRule="auto"/>
              <w:rPr>
                <w:rFonts w:ascii="Calibri" w:hAnsi="Calibri" w:cs="Calibri"/>
                <w:color w:val="FF0000"/>
                <w:sz w:val="20"/>
                <w:szCs w:val="20"/>
              </w:rPr>
            </w:pPr>
          </w:p>
        </w:tc>
        <w:tc>
          <w:tcPr>
            <w:tcW w:w="4669" w:type="dxa"/>
            <w:shd w:val="clear" w:color="auto" w:fill="auto"/>
          </w:tcPr>
          <w:p w14:paraId="02EDE9C7"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 xml:space="preserve">Previously mentioned Table </w:t>
            </w:r>
            <w:r w:rsidRPr="009B561A">
              <w:rPr>
                <w:rFonts w:ascii="Calibri" w:hAnsi="Calibri" w:cs="Calibri"/>
                <w:sz w:val="20"/>
                <w:szCs w:val="20"/>
              </w:rPr>
              <w:t>SRC</w:t>
            </w:r>
            <w:r w:rsidRPr="009B561A">
              <w:rPr>
                <w:rFonts w:ascii="Calibri" w:hAnsi="Calibri" w:cs="Calibri"/>
                <w:color w:val="000000" w:themeColor="text1"/>
                <w:sz w:val="20"/>
                <w:szCs w:val="20"/>
              </w:rPr>
              <w:t xml:space="preserve"> A</w:t>
            </w:r>
          </w:p>
          <w:p w14:paraId="7C2E35B4" w14:textId="77777777" w:rsidR="00D82224" w:rsidRPr="009B561A" w:rsidRDefault="00D82224" w:rsidP="009B561A">
            <w:pPr>
              <w:spacing w:line="276" w:lineRule="auto"/>
              <w:rPr>
                <w:rFonts w:ascii="Calibri" w:hAnsi="Calibri" w:cs="Calibri"/>
                <w:color w:val="000000" w:themeColor="text1"/>
                <w:sz w:val="20"/>
                <w:szCs w:val="20"/>
              </w:rPr>
            </w:pPr>
          </w:p>
        </w:tc>
      </w:tr>
      <w:tr w:rsidR="00D82224" w:rsidRPr="009B561A" w14:paraId="03F5F3BE" w14:textId="77777777" w:rsidTr="0087653A">
        <w:tc>
          <w:tcPr>
            <w:tcW w:w="421" w:type="dxa"/>
          </w:tcPr>
          <w:p w14:paraId="11CB0DAB"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4</w:t>
            </w:r>
          </w:p>
        </w:tc>
        <w:tc>
          <w:tcPr>
            <w:tcW w:w="5103" w:type="dxa"/>
          </w:tcPr>
          <w:p w14:paraId="35D80F38" w14:textId="69B5A0D6" w:rsidR="00D82224" w:rsidRPr="00A51556" w:rsidRDefault="00D82224" w:rsidP="009B561A">
            <w:pPr>
              <w:spacing w:line="276" w:lineRule="auto"/>
              <w:rPr>
                <w:rFonts w:ascii="Calibri" w:hAnsi="Calibri" w:cs="Calibri"/>
                <w:b/>
                <w:bCs/>
                <w:color w:val="000000" w:themeColor="text1"/>
                <w:sz w:val="20"/>
                <w:szCs w:val="20"/>
                <w:vertAlign w:val="superscript"/>
              </w:rPr>
            </w:pPr>
            <w:r w:rsidRPr="00A51556">
              <w:rPr>
                <w:rFonts w:ascii="Calibri" w:hAnsi="Calibri" w:cs="Calibri"/>
                <w:b/>
                <w:bCs/>
                <w:noProof/>
                <w:sz w:val="20"/>
                <w:szCs w:val="20"/>
              </w:rPr>
              <w:t xml:space="preserve">Health Service Executive. </w:t>
            </w:r>
            <w:r w:rsidRPr="00A51556">
              <w:rPr>
                <w:rFonts w:ascii="Calibri" w:hAnsi="Calibri" w:cs="Calibri"/>
                <w:noProof/>
                <w:sz w:val="20"/>
                <w:szCs w:val="20"/>
              </w:rPr>
              <w:t>Report of the findings of the Point Prevalence Survey of Antimicrobial Use in HSE Older Persons Residential Care Facilities. HSE Irel. 2021;(October 2020</w:t>
            </w:r>
            <w:r w:rsidRPr="00A51556">
              <w:rPr>
                <w:rFonts w:ascii="Calibri" w:hAnsi="Calibri" w:cs="Calibri"/>
                <w:noProof/>
                <w:color w:val="000000" w:themeColor="text1"/>
                <w:sz w:val="20"/>
                <w:szCs w:val="20"/>
              </w:rPr>
              <w:t>)</w:t>
            </w:r>
            <w:r w:rsidRPr="00A51556">
              <w:rPr>
                <w:rFonts w:ascii="Calibri" w:hAnsi="Calibri" w:cs="Calibri"/>
                <w:b/>
                <w:bCs/>
                <w:color w:val="000000" w:themeColor="text1"/>
                <w:sz w:val="20"/>
                <w:szCs w:val="20"/>
                <w:vertAlign w:val="superscript"/>
              </w:rPr>
              <w:t xml:space="preserve"> </w:t>
            </w:r>
            <w:r w:rsidR="009C4E60" w:rsidRPr="00A51556">
              <w:rPr>
                <w:rFonts w:ascii="Calibri" w:hAnsi="Calibri" w:cs="Calibri"/>
                <w:b/>
                <w:bCs/>
                <w:color w:val="000000" w:themeColor="text1"/>
                <w:sz w:val="20"/>
                <w:szCs w:val="20"/>
                <w:vertAlign w:val="superscript"/>
              </w:rPr>
              <w:fldChar w:fldCharType="begin" w:fldLock="1"/>
            </w:r>
            <w:r w:rsidR="00534F3F" w:rsidRPr="00A51556">
              <w:rPr>
                <w:rFonts w:ascii="Calibri" w:hAnsi="Calibri" w:cs="Calibri"/>
                <w:b/>
                <w:bCs/>
                <w:color w:val="000000" w:themeColor="text1"/>
                <w:sz w:val="20"/>
                <w:szCs w:val="20"/>
                <w:vertAlign w:val="superscript"/>
              </w:rPr>
              <w:instrText>ADDIN CSL_CITATION {"citationItems":[{"id":"ITEM-1","itemData":{"author":[{"dropping-particle":"","family":"Health Service Executive","given":"","non-dropping-particle":"","parse-names":false,"suffix":""}],"container-title":"HSE Ireland","id":"ITEM-1","issue":"October 2020","issued":{"date-parts":[["2021"]]},"title":"Report of the findings of the Point Prevalence Survey of Antimicrobial Use in HSE Older Persons Residential Care Facilities","type":"report"},"uris":["http://www.mendeley.com/documents/?uuid=e326376d-1df5-4c4f-bb5a-f49a24460afa"]}],"mendeley":{"formattedCitation":"(55)","plainTextFormattedCitation":"(55)","previouslyFormattedCitation":"(55)"},"properties":{"noteIndex":0},"schema":"https://github.com/citation-style-language/schema/raw/master/csl-citation.json"}</w:instrText>
            </w:r>
            <w:r w:rsidR="009C4E60" w:rsidRPr="00A51556">
              <w:rPr>
                <w:rFonts w:ascii="Calibri" w:hAnsi="Calibri" w:cs="Calibri"/>
                <w:b/>
                <w:bCs/>
                <w:color w:val="000000" w:themeColor="text1"/>
                <w:sz w:val="20"/>
                <w:szCs w:val="20"/>
                <w:vertAlign w:val="superscript"/>
              </w:rPr>
              <w:fldChar w:fldCharType="separate"/>
            </w:r>
            <w:r w:rsidR="00715972" w:rsidRPr="00A51556">
              <w:rPr>
                <w:rFonts w:ascii="Calibri" w:hAnsi="Calibri" w:cs="Calibri"/>
                <w:bCs/>
                <w:noProof/>
                <w:color w:val="000000" w:themeColor="text1"/>
                <w:sz w:val="20"/>
                <w:szCs w:val="20"/>
              </w:rPr>
              <w:t>[</w:t>
            </w:r>
            <w:r w:rsidR="009C4E60" w:rsidRPr="00A51556">
              <w:rPr>
                <w:rFonts w:ascii="Calibri" w:hAnsi="Calibri" w:cs="Calibri"/>
                <w:bCs/>
                <w:noProof/>
                <w:color w:val="000000" w:themeColor="text1"/>
                <w:sz w:val="20"/>
                <w:szCs w:val="20"/>
              </w:rPr>
              <w:t>55</w:t>
            </w:r>
            <w:r w:rsidR="00715972" w:rsidRPr="00A51556">
              <w:rPr>
                <w:rFonts w:ascii="Calibri" w:hAnsi="Calibri" w:cs="Calibri"/>
                <w:bCs/>
                <w:noProof/>
                <w:color w:val="000000" w:themeColor="text1"/>
                <w:sz w:val="20"/>
                <w:szCs w:val="20"/>
              </w:rPr>
              <w:t>]</w:t>
            </w:r>
            <w:r w:rsidR="009C4E60" w:rsidRPr="00A51556">
              <w:rPr>
                <w:rFonts w:ascii="Calibri" w:hAnsi="Calibri" w:cs="Calibri"/>
                <w:b/>
                <w:bCs/>
                <w:color w:val="000000" w:themeColor="text1"/>
                <w:sz w:val="20"/>
                <w:szCs w:val="20"/>
                <w:vertAlign w:val="superscript"/>
              </w:rPr>
              <w:fldChar w:fldCharType="end"/>
            </w:r>
            <w:r w:rsidR="00A51556" w:rsidRPr="00A51556">
              <w:rPr>
                <w:rFonts w:ascii="Calibri" w:hAnsi="Calibri" w:cs="Calibri"/>
                <w:b/>
                <w:bCs/>
                <w:color w:val="000000" w:themeColor="text1"/>
                <w:sz w:val="20"/>
                <w:szCs w:val="20"/>
                <w:vertAlign w:val="superscript"/>
              </w:rPr>
              <w:t xml:space="preserve"> </w:t>
            </w:r>
          </w:p>
          <w:p w14:paraId="3CCCB6BA" w14:textId="77777777" w:rsidR="00D82224" w:rsidRPr="00A51556" w:rsidRDefault="00D82224" w:rsidP="009B561A">
            <w:pPr>
              <w:spacing w:line="276" w:lineRule="auto"/>
              <w:rPr>
                <w:rFonts w:ascii="Calibri" w:hAnsi="Calibri" w:cs="Calibri"/>
                <w:b/>
                <w:bCs/>
                <w:color w:val="FF0000"/>
                <w:sz w:val="20"/>
                <w:szCs w:val="20"/>
                <w:vertAlign w:val="superscript"/>
              </w:rPr>
            </w:pPr>
          </w:p>
          <w:p w14:paraId="148AE02E" w14:textId="77777777" w:rsidR="00D82224" w:rsidRPr="00A51556" w:rsidRDefault="00D82224" w:rsidP="009B561A">
            <w:pPr>
              <w:spacing w:line="276" w:lineRule="auto"/>
              <w:rPr>
                <w:rFonts w:ascii="Calibri" w:hAnsi="Calibri" w:cs="Calibri"/>
                <w:b/>
                <w:bCs/>
                <w:color w:val="FF0000"/>
                <w:sz w:val="20"/>
                <w:szCs w:val="20"/>
              </w:rPr>
            </w:pPr>
          </w:p>
          <w:p w14:paraId="2EC6F9B0" w14:textId="77777777" w:rsidR="00D82224" w:rsidRPr="00A51556" w:rsidRDefault="00D82224" w:rsidP="009B561A">
            <w:pPr>
              <w:spacing w:line="276" w:lineRule="auto"/>
              <w:rPr>
                <w:rFonts w:ascii="Calibri" w:hAnsi="Calibri" w:cs="Calibri"/>
                <w:b/>
                <w:bCs/>
                <w:color w:val="FF0000"/>
                <w:sz w:val="20"/>
                <w:szCs w:val="20"/>
              </w:rPr>
            </w:pPr>
          </w:p>
          <w:p w14:paraId="22659886" w14:textId="77777777" w:rsidR="00D82224" w:rsidRPr="00A51556" w:rsidRDefault="00D82224" w:rsidP="009B561A">
            <w:pPr>
              <w:spacing w:line="276" w:lineRule="auto"/>
              <w:rPr>
                <w:rFonts w:ascii="Calibri" w:hAnsi="Calibri" w:cs="Calibri"/>
                <w:b/>
                <w:bCs/>
                <w:color w:val="FF0000"/>
                <w:sz w:val="20"/>
                <w:szCs w:val="20"/>
              </w:rPr>
            </w:pPr>
          </w:p>
          <w:p w14:paraId="2E992060" w14:textId="77777777" w:rsidR="00D82224" w:rsidRPr="00A51556" w:rsidRDefault="00D82224" w:rsidP="009B561A">
            <w:pPr>
              <w:spacing w:line="276" w:lineRule="auto"/>
              <w:rPr>
                <w:rFonts w:ascii="Calibri" w:hAnsi="Calibri" w:cs="Calibri"/>
                <w:b/>
                <w:bCs/>
                <w:color w:val="FF0000"/>
                <w:sz w:val="20"/>
                <w:szCs w:val="20"/>
              </w:rPr>
            </w:pPr>
          </w:p>
          <w:p w14:paraId="437BD898" w14:textId="77777777" w:rsidR="00D82224" w:rsidRPr="00A51556" w:rsidRDefault="00D82224" w:rsidP="009B561A">
            <w:pPr>
              <w:spacing w:line="276" w:lineRule="auto"/>
              <w:rPr>
                <w:rFonts w:ascii="Calibri" w:hAnsi="Calibri" w:cs="Calibri"/>
                <w:b/>
                <w:bCs/>
                <w:color w:val="FF0000"/>
                <w:sz w:val="20"/>
                <w:szCs w:val="20"/>
              </w:rPr>
            </w:pPr>
          </w:p>
          <w:p w14:paraId="01311145" w14:textId="77777777" w:rsidR="00D82224" w:rsidRPr="00A51556" w:rsidRDefault="00D82224" w:rsidP="009B561A">
            <w:pPr>
              <w:spacing w:line="276" w:lineRule="auto"/>
              <w:rPr>
                <w:rFonts w:ascii="Calibri" w:hAnsi="Calibri" w:cs="Calibri"/>
                <w:b/>
                <w:bCs/>
                <w:color w:val="FF0000"/>
                <w:sz w:val="20"/>
                <w:szCs w:val="20"/>
              </w:rPr>
            </w:pPr>
          </w:p>
          <w:p w14:paraId="52703392" w14:textId="77777777" w:rsidR="00D82224" w:rsidRPr="00A51556" w:rsidRDefault="00D82224" w:rsidP="009B561A">
            <w:pPr>
              <w:spacing w:line="276" w:lineRule="auto"/>
              <w:rPr>
                <w:rFonts w:ascii="Calibri" w:hAnsi="Calibri" w:cs="Calibri"/>
                <w:b/>
                <w:bCs/>
                <w:color w:val="FF0000"/>
                <w:sz w:val="20"/>
                <w:szCs w:val="20"/>
              </w:rPr>
            </w:pPr>
          </w:p>
          <w:p w14:paraId="35774806" w14:textId="77777777" w:rsidR="00D82224" w:rsidRPr="00A51556" w:rsidRDefault="00D82224" w:rsidP="009B561A">
            <w:pPr>
              <w:spacing w:line="276" w:lineRule="auto"/>
              <w:rPr>
                <w:rFonts w:ascii="Calibri" w:hAnsi="Calibri" w:cs="Calibri"/>
                <w:b/>
                <w:bCs/>
                <w:color w:val="FF0000"/>
                <w:sz w:val="20"/>
                <w:szCs w:val="20"/>
              </w:rPr>
            </w:pPr>
          </w:p>
          <w:p w14:paraId="3C12E745" w14:textId="77777777" w:rsidR="00D82224" w:rsidRPr="00A51556" w:rsidRDefault="00D82224" w:rsidP="009B561A">
            <w:pPr>
              <w:spacing w:line="276" w:lineRule="auto"/>
              <w:rPr>
                <w:rFonts w:ascii="Calibri" w:hAnsi="Calibri" w:cs="Calibri"/>
                <w:b/>
                <w:bCs/>
                <w:color w:val="FF0000"/>
                <w:sz w:val="20"/>
                <w:szCs w:val="20"/>
              </w:rPr>
            </w:pPr>
          </w:p>
          <w:p w14:paraId="3C3F1AC8" w14:textId="77777777" w:rsidR="00D82224" w:rsidRPr="00A51556" w:rsidRDefault="00D82224" w:rsidP="009B561A">
            <w:pPr>
              <w:spacing w:line="276" w:lineRule="auto"/>
              <w:rPr>
                <w:rFonts w:ascii="Calibri" w:hAnsi="Calibri" w:cs="Calibri"/>
                <w:b/>
                <w:bCs/>
                <w:color w:val="FF0000"/>
                <w:sz w:val="20"/>
                <w:szCs w:val="20"/>
              </w:rPr>
            </w:pPr>
          </w:p>
          <w:p w14:paraId="5BF346E4" w14:textId="77777777" w:rsidR="00D82224" w:rsidRPr="00A51556" w:rsidRDefault="00D82224" w:rsidP="009B561A">
            <w:pPr>
              <w:spacing w:line="276" w:lineRule="auto"/>
              <w:rPr>
                <w:rFonts w:ascii="Calibri" w:hAnsi="Calibri" w:cs="Calibri"/>
                <w:b/>
                <w:bCs/>
                <w:color w:val="FF0000"/>
                <w:sz w:val="20"/>
                <w:szCs w:val="20"/>
              </w:rPr>
            </w:pPr>
          </w:p>
          <w:p w14:paraId="1EF389AC" w14:textId="77777777" w:rsidR="00D82224" w:rsidRPr="00A51556" w:rsidRDefault="00D82224" w:rsidP="009B561A">
            <w:pPr>
              <w:spacing w:line="276" w:lineRule="auto"/>
              <w:rPr>
                <w:rFonts w:ascii="Calibri" w:hAnsi="Calibri" w:cs="Calibri"/>
                <w:b/>
                <w:bCs/>
                <w:color w:val="FF0000"/>
                <w:sz w:val="20"/>
                <w:szCs w:val="20"/>
              </w:rPr>
            </w:pPr>
          </w:p>
          <w:p w14:paraId="7FF55416" w14:textId="77777777" w:rsidR="00D82224" w:rsidRPr="00A51556" w:rsidRDefault="00D82224" w:rsidP="009B561A">
            <w:pPr>
              <w:spacing w:line="276" w:lineRule="auto"/>
              <w:rPr>
                <w:rFonts w:ascii="Calibri" w:hAnsi="Calibri" w:cs="Calibri"/>
                <w:b/>
                <w:bCs/>
                <w:color w:val="FF0000"/>
                <w:sz w:val="20"/>
                <w:szCs w:val="20"/>
              </w:rPr>
            </w:pPr>
          </w:p>
          <w:p w14:paraId="01A7D093" w14:textId="77777777" w:rsidR="00D82224" w:rsidRPr="00A51556" w:rsidRDefault="00D82224" w:rsidP="009B561A">
            <w:pPr>
              <w:spacing w:line="276" w:lineRule="auto"/>
              <w:rPr>
                <w:rFonts w:ascii="Calibri" w:hAnsi="Calibri" w:cs="Calibri"/>
                <w:b/>
                <w:bCs/>
                <w:color w:val="FF0000"/>
                <w:sz w:val="20"/>
                <w:szCs w:val="20"/>
              </w:rPr>
            </w:pPr>
          </w:p>
          <w:p w14:paraId="1DF93F31" w14:textId="77777777" w:rsidR="00D82224" w:rsidRPr="00A51556" w:rsidRDefault="00D82224" w:rsidP="009B561A">
            <w:pPr>
              <w:spacing w:line="276" w:lineRule="auto"/>
              <w:rPr>
                <w:rFonts w:ascii="Calibri" w:hAnsi="Calibri" w:cs="Calibri"/>
                <w:b/>
                <w:bCs/>
                <w:color w:val="FF0000"/>
                <w:sz w:val="20"/>
                <w:szCs w:val="20"/>
              </w:rPr>
            </w:pPr>
          </w:p>
          <w:p w14:paraId="7DF9FF95" w14:textId="77777777" w:rsidR="00D82224" w:rsidRPr="00A51556" w:rsidRDefault="00D82224" w:rsidP="009B561A">
            <w:pPr>
              <w:spacing w:line="276" w:lineRule="auto"/>
              <w:rPr>
                <w:rFonts w:ascii="Calibri" w:hAnsi="Calibri" w:cs="Calibri"/>
                <w:b/>
                <w:bCs/>
                <w:color w:val="FF0000"/>
                <w:sz w:val="20"/>
                <w:szCs w:val="20"/>
              </w:rPr>
            </w:pPr>
          </w:p>
          <w:p w14:paraId="7ACEF917" w14:textId="77777777" w:rsidR="00D82224" w:rsidRPr="00A51556" w:rsidRDefault="00D82224" w:rsidP="009B561A">
            <w:pPr>
              <w:spacing w:line="276" w:lineRule="auto"/>
              <w:rPr>
                <w:rFonts w:ascii="Calibri" w:hAnsi="Calibri" w:cs="Calibri"/>
                <w:b/>
                <w:bCs/>
                <w:color w:val="FF0000"/>
                <w:sz w:val="20"/>
                <w:szCs w:val="20"/>
              </w:rPr>
            </w:pPr>
          </w:p>
          <w:p w14:paraId="7136D69F" w14:textId="77777777" w:rsidR="00D82224" w:rsidRPr="00A51556" w:rsidRDefault="00D82224" w:rsidP="009B561A">
            <w:pPr>
              <w:spacing w:line="276" w:lineRule="auto"/>
              <w:rPr>
                <w:rFonts w:ascii="Calibri" w:hAnsi="Calibri" w:cs="Calibri"/>
                <w:b/>
                <w:bCs/>
                <w:color w:val="FF0000"/>
                <w:sz w:val="20"/>
                <w:szCs w:val="20"/>
              </w:rPr>
            </w:pPr>
          </w:p>
          <w:p w14:paraId="5FD487EC" w14:textId="77777777" w:rsidR="00D82224" w:rsidRPr="00A51556" w:rsidRDefault="00D82224" w:rsidP="009B561A">
            <w:pPr>
              <w:spacing w:line="276" w:lineRule="auto"/>
              <w:rPr>
                <w:rFonts w:ascii="Calibri" w:hAnsi="Calibri" w:cs="Calibri"/>
                <w:b/>
                <w:bCs/>
                <w:color w:val="FF0000"/>
                <w:sz w:val="20"/>
                <w:szCs w:val="20"/>
              </w:rPr>
            </w:pPr>
          </w:p>
          <w:p w14:paraId="776F53CE" w14:textId="77777777" w:rsidR="00D82224" w:rsidRPr="00A51556" w:rsidRDefault="00D82224" w:rsidP="009B561A">
            <w:pPr>
              <w:spacing w:line="276" w:lineRule="auto"/>
              <w:rPr>
                <w:rFonts w:ascii="Calibri" w:hAnsi="Calibri" w:cs="Calibri"/>
                <w:b/>
                <w:bCs/>
                <w:color w:val="FF0000"/>
                <w:sz w:val="20"/>
                <w:szCs w:val="20"/>
              </w:rPr>
            </w:pPr>
          </w:p>
          <w:p w14:paraId="5E467C25" w14:textId="77777777" w:rsidR="00D82224" w:rsidRPr="00A51556" w:rsidRDefault="00D82224" w:rsidP="009B561A">
            <w:pPr>
              <w:spacing w:line="276" w:lineRule="auto"/>
              <w:rPr>
                <w:rFonts w:ascii="Calibri" w:hAnsi="Calibri" w:cs="Calibri"/>
                <w:b/>
                <w:bCs/>
                <w:color w:val="FF0000"/>
                <w:sz w:val="20"/>
                <w:szCs w:val="20"/>
              </w:rPr>
            </w:pPr>
          </w:p>
        </w:tc>
        <w:tc>
          <w:tcPr>
            <w:tcW w:w="3977" w:type="dxa"/>
          </w:tcPr>
          <w:p w14:paraId="51156F1B" w14:textId="77777777" w:rsidR="00D82224" w:rsidRPr="009B561A" w:rsidRDefault="00D82224" w:rsidP="009B561A">
            <w:pPr>
              <w:spacing w:line="276" w:lineRule="auto"/>
              <w:rPr>
                <w:rFonts w:ascii="Calibri" w:hAnsi="Calibri" w:cs="Calibri"/>
                <w:b/>
                <w:bCs/>
                <w:color w:val="FF0000"/>
                <w:sz w:val="20"/>
                <w:szCs w:val="20"/>
              </w:rPr>
            </w:pPr>
            <w:r w:rsidRPr="009B561A">
              <w:rPr>
                <w:rFonts w:ascii="Calibri" w:hAnsi="Calibri" w:cs="Calibri"/>
                <w:sz w:val="20"/>
                <w:szCs w:val="20"/>
              </w:rPr>
              <w:lastRenderedPageBreak/>
              <w:t>A baseline Point Prevalence Survey (PPS) of Antimicrobial Use was conducted of HSE Residential Care Facilities for Older Persons in Ireland -Data was collected in all cases by Community Healthcare Organisations (CHOs) CHO-based antimicrobial pharmacists (AMPs)</w:t>
            </w:r>
          </w:p>
        </w:tc>
        <w:tc>
          <w:tcPr>
            <w:tcW w:w="4669" w:type="dxa"/>
          </w:tcPr>
          <w:p w14:paraId="3E544C94"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While these results not directly comparable to HALT due to differences in types of facilities-however the following findings are relevant for our review</w:t>
            </w:r>
          </w:p>
          <w:p w14:paraId="430AA793" w14:textId="77777777" w:rsidR="00D82224" w:rsidRPr="009B561A" w:rsidRDefault="00D82224" w:rsidP="009B561A">
            <w:pPr>
              <w:spacing w:line="276" w:lineRule="auto"/>
              <w:rPr>
                <w:rFonts w:ascii="Calibri" w:hAnsi="Calibri" w:cs="Calibri"/>
                <w:sz w:val="20"/>
                <w:szCs w:val="20"/>
              </w:rPr>
            </w:pPr>
          </w:p>
          <w:p w14:paraId="0ACB9C21" w14:textId="77777777" w:rsidR="00D82224" w:rsidRPr="009B561A" w:rsidRDefault="00D82224" w:rsidP="009B561A">
            <w:pPr>
              <w:widowControl w:val="0"/>
              <w:numPr>
                <w:ilvl w:val="0"/>
                <w:numId w:val="8"/>
              </w:numPr>
              <w:autoSpaceDE w:val="0"/>
              <w:autoSpaceDN w:val="0"/>
              <w:adjustRightInd w:val="0"/>
              <w:spacing w:line="276" w:lineRule="auto"/>
              <w:contextualSpacing/>
              <w:rPr>
                <w:rFonts w:ascii="Calibri" w:hAnsi="Calibri" w:cs="Calibri"/>
                <w:b/>
                <w:bCs/>
                <w:sz w:val="20"/>
                <w:szCs w:val="20"/>
                <w:vertAlign w:val="superscript"/>
              </w:rPr>
            </w:pPr>
            <w:r w:rsidRPr="009B561A">
              <w:rPr>
                <w:rFonts w:ascii="Calibri" w:hAnsi="Calibri" w:cs="Calibri"/>
                <w:sz w:val="20"/>
                <w:szCs w:val="20"/>
              </w:rPr>
              <w:t xml:space="preserve">13% of residents were on Antimicrobials (AM) on day of survey </w:t>
            </w:r>
            <w:r w:rsidRPr="009B561A">
              <w:rPr>
                <w:rFonts w:ascii="Calibri" w:hAnsi="Calibri" w:cs="Calibri"/>
                <w:b/>
                <w:bCs/>
                <w:sz w:val="20"/>
                <w:szCs w:val="20"/>
              </w:rPr>
              <w:t xml:space="preserve">(HALT 2016: 9.8%, EU 2016: 4.9%) </w:t>
            </w:r>
          </w:p>
          <w:p w14:paraId="40315CC7" w14:textId="77777777" w:rsidR="00D82224" w:rsidRPr="009B561A" w:rsidRDefault="00D82224" w:rsidP="009B561A">
            <w:pPr>
              <w:widowControl w:val="0"/>
              <w:numPr>
                <w:ilvl w:val="0"/>
                <w:numId w:val="8"/>
              </w:numPr>
              <w:autoSpaceDE w:val="0"/>
              <w:autoSpaceDN w:val="0"/>
              <w:adjustRightInd w:val="0"/>
              <w:spacing w:line="276" w:lineRule="auto"/>
              <w:contextualSpacing/>
              <w:rPr>
                <w:rFonts w:ascii="Calibri" w:hAnsi="Calibri" w:cs="Calibri"/>
                <w:b/>
                <w:bCs/>
                <w:sz w:val="20"/>
                <w:szCs w:val="20"/>
                <w:vertAlign w:val="superscript"/>
              </w:rPr>
            </w:pPr>
            <w:r w:rsidRPr="009B561A">
              <w:rPr>
                <w:rFonts w:ascii="Calibri" w:hAnsi="Calibri" w:cs="Calibri"/>
                <w:sz w:val="20"/>
                <w:szCs w:val="20"/>
              </w:rPr>
              <w:t xml:space="preserve">86% of all prophylaxis was for UTI prophylaxis, 5.7% of all residents </w:t>
            </w:r>
            <w:r w:rsidRPr="009B561A">
              <w:rPr>
                <w:rFonts w:ascii="Calibri" w:hAnsi="Calibri" w:cs="Calibri"/>
                <w:b/>
                <w:bCs/>
                <w:sz w:val="20"/>
                <w:szCs w:val="20"/>
              </w:rPr>
              <w:t>(HALT 2016 :3.4%)</w:t>
            </w:r>
          </w:p>
          <w:p w14:paraId="40C12060" w14:textId="77777777" w:rsidR="00D82224" w:rsidRPr="009B561A" w:rsidRDefault="00D82224" w:rsidP="009B561A">
            <w:pPr>
              <w:widowControl w:val="0"/>
              <w:numPr>
                <w:ilvl w:val="0"/>
                <w:numId w:val="8"/>
              </w:numPr>
              <w:autoSpaceDE w:val="0"/>
              <w:autoSpaceDN w:val="0"/>
              <w:adjustRightInd w:val="0"/>
              <w:spacing w:line="276" w:lineRule="auto"/>
              <w:contextualSpacing/>
              <w:rPr>
                <w:rFonts w:ascii="Calibri" w:hAnsi="Calibri" w:cs="Calibri"/>
                <w:sz w:val="20"/>
                <w:szCs w:val="20"/>
                <w:vertAlign w:val="superscript"/>
              </w:rPr>
            </w:pPr>
            <w:r w:rsidRPr="009B561A">
              <w:rPr>
                <w:rFonts w:ascii="Calibri" w:hAnsi="Calibri" w:cs="Calibri"/>
                <w:sz w:val="20"/>
                <w:szCs w:val="20"/>
              </w:rPr>
              <w:t xml:space="preserve">48% of AM use was for prophylaxis of infection, 6.7% of all residents </w:t>
            </w:r>
            <w:r w:rsidRPr="009B561A">
              <w:rPr>
                <w:rFonts w:ascii="Calibri" w:hAnsi="Calibri" w:cs="Calibri"/>
                <w:b/>
                <w:bCs/>
                <w:sz w:val="20"/>
                <w:szCs w:val="20"/>
              </w:rPr>
              <w:t xml:space="preserve">(HALT 2016:41%,4.1% of residents: EU 2016: 29%, 1.5% of residents) </w:t>
            </w:r>
          </w:p>
          <w:p w14:paraId="4C03D3CC" w14:textId="77777777" w:rsidR="00D82224" w:rsidRPr="009B561A" w:rsidRDefault="00D82224" w:rsidP="009B561A">
            <w:pPr>
              <w:widowControl w:val="0"/>
              <w:numPr>
                <w:ilvl w:val="0"/>
                <w:numId w:val="8"/>
              </w:numPr>
              <w:autoSpaceDE w:val="0"/>
              <w:autoSpaceDN w:val="0"/>
              <w:adjustRightInd w:val="0"/>
              <w:spacing w:line="276" w:lineRule="auto"/>
              <w:contextualSpacing/>
              <w:rPr>
                <w:rFonts w:ascii="Calibri" w:hAnsi="Calibri" w:cs="Calibri"/>
                <w:b/>
                <w:bCs/>
                <w:sz w:val="20"/>
                <w:szCs w:val="20"/>
              </w:rPr>
            </w:pPr>
            <w:r w:rsidRPr="009B561A">
              <w:rPr>
                <w:rFonts w:ascii="Calibri" w:hAnsi="Calibri" w:cs="Calibri"/>
                <w:sz w:val="20"/>
                <w:szCs w:val="20"/>
              </w:rPr>
              <w:t xml:space="preserve">Access to electronic labs onsite in </w:t>
            </w:r>
            <w:r w:rsidRPr="009B561A">
              <w:rPr>
                <w:rFonts w:ascii="Calibri" w:hAnsi="Calibri" w:cs="Calibri"/>
                <w:b/>
                <w:bCs/>
                <w:sz w:val="20"/>
                <w:szCs w:val="20"/>
              </w:rPr>
              <w:t>66%</w:t>
            </w:r>
          </w:p>
          <w:p w14:paraId="49E1198B" w14:textId="77777777" w:rsidR="00D82224" w:rsidRPr="009B561A" w:rsidRDefault="00D82224" w:rsidP="009B561A">
            <w:pPr>
              <w:widowControl w:val="0"/>
              <w:numPr>
                <w:ilvl w:val="0"/>
                <w:numId w:val="8"/>
              </w:numPr>
              <w:autoSpaceDE w:val="0"/>
              <w:autoSpaceDN w:val="0"/>
              <w:adjustRightInd w:val="0"/>
              <w:spacing w:line="276" w:lineRule="auto"/>
              <w:contextualSpacing/>
              <w:rPr>
                <w:rFonts w:ascii="Calibri" w:hAnsi="Calibri" w:cs="Calibri"/>
                <w:sz w:val="20"/>
                <w:szCs w:val="20"/>
              </w:rPr>
            </w:pPr>
            <w:r w:rsidRPr="009B561A">
              <w:rPr>
                <w:rFonts w:ascii="Calibri" w:hAnsi="Calibri" w:cs="Calibri"/>
                <w:sz w:val="20"/>
                <w:szCs w:val="20"/>
              </w:rPr>
              <w:t xml:space="preserve">Governance </w:t>
            </w:r>
            <w:r w:rsidRPr="009B561A">
              <w:rPr>
                <w:rFonts w:ascii="Calibri" w:hAnsi="Calibri" w:cs="Calibri"/>
                <w:b/>
                <w:bCs/>
                <w:sz w:val="20"/>
                <w:szCs w:val="20"/>
              </w:rPr>
              <w:t>41%</w:t>
            </w:r>
          </w:p>
          <w:p w14:paraId="5B9DBA91" w14:textId="77777777" w:rsidR="00D82224" w:rsidRPr="009B561A" w:rsidRDefault="00D82224" w:rsidP="009B561A">
            <w:pPr>
              <w:widowControl w:val="0"/>
              <w:numPr>
                <w:ilvl w:val="0"/>
                <w:numId w:val="8"/>
              </w:numPr>
              <w:autoSpaceDE w:val="0"/>
              <w:autoSpaceDN w:val="0"/>
              <w:adjustRightInd w:val="0"/>
              <w:spacing w:line="276" w:lineRule="auto"/>
              <w:contextualSpacing/>
              <w:rPr>
                <w:rFonts w:ascii="Calibri" w:hAnsi="Calibri" w:cs="Calibri"/>
                <w:sz w:val="20"/>
                <w:szCs w:val="20"/>
              </w:rPr>
            </w:pPr>
            <w:r w:rsidRPr="009B561A">
              <w:rPr>
                <w:rFonts w:ascii="Calibri" w:hAnsi="Calibri" w:cs="Calibri"/>
                <w:b/>
                <w:bCs/>
                <w:sz w:val="20"/>
                <w:szCs w:val="20"/>
              </w:rPr>
              <w:t>71%</w:t>
            </w:r>
            <w:r w:rsidRPr="009B561A">
              <w:rPr>
                <w:rFonts w:ascii="Calibri" w:hAnsi="Calibri" w:cs="Calibri"/>
                <w:sz w:val="20"/>
                <w:szCs w:val="20"/>
              </w:rPr>
              <w:t xml:space="preserve"> of facilities keeping local AM consumption records but variability on what is recorded and no prescriber feedback. </w:t>
            </w:r>
          </w:p>
          <w:p w14:paraId="4D0B3B0B" w14:textId="77777777" w:rsidR="00D82224" w:rsidRPr="009B561A" w:rsidRDefault="00D82224" w:rsidP="009B561A">
            <w:pPr>
              <w:widowControl w:val="0"/>
              <w:numPr>
                <w:ilvl w:val="0"/>
                <w:numId w:val="8"/>
              </w:numPr>
              <w:autoSpaceDE w:val="0"/>
              <w:autoSpaceDN w:val="0"/>
              <w:adjustRightInd w:val="0"/>
              <w:spacing w:line="276" w:lineRule="auto"/>
              <w:contextualSpacing/>
              <w:rPr>
                <w:rFonts w:ascii="Calibri" w:hAnsi="Calibri" w:cs="Calibri"/>
                <w:sz w:val="20"/>
                <w:szCs w:val="20"/>
              </w:rPr>
            </w:pPr>
            <w:r w:rsidRPr="009B561A">
              <w:rPr>
                <w:rFonts w:ascii="Calibri" w:hAnsi="Calibri" w:cs="Calibri"/>
                <w:sz w:val="20"/>
                <w:szCs w:val="20"/>
              </w:rPr>
              <w:t>No access to AM resistance pattern summaries</w:t>
            </w:r>
          </w:p>
          <w:p w14:paraId="42E50431" w14:textId="77777777" w:rsidR="00D82224" w:rsidRPr="009B561A" w:rsidRDefault="00D82224" w:rsidP="009B561A">
            <w:pPr>
              <w:widowControl w:val="0"/>
              <w:numPr>
                <w:ilvl w:val="0"/>
                <w:numId w:val="8"/>
              </w:numPr>
              <w:autoSpaceDE w:val="0"/>
              <w:autoSpaceDN w:val="0"/>
              <w:adjustRightInd w:val="0"/>
              <w:spacing w:line="276" w:lineRule="auto"/>
              <w:contextualSpacing/>
              <w:rPr>
                <w:rFonts w:ascii="Calibri" w:hAnsi="Calibri" w:cs="Calibri"/>
                <w:sz w:val="20"/>
                <w:szCs w:val="20"/>
              </w:rPr>
            </w:pPr>
            <w:r w:rsidRPr="009B561A">
              <w:rPr>
                <w:rFonts w:ascii="Calibri" w:hAnsi="Calibri" w:cs="Calibri"/>
                <w:sz w:val="20"/>
                <w:szCs w:val="20"/>
              </w:rPr>
              <w:t xml:space="preserve">Access to AMS education (reported by nursing staff) </w:t>
            </w:r>
            <w:r w:rsidRPr="009B561A">
              <w:rPr>
                <w:rFonts w:ascii="Calibri" w:hAnsi="Calibri" w:cs="Calibri"/>
                <w:b/>
                <w:bCs/>
                <w:sz w:val="20"/>
                <w:szCs w:val="20"/>
              </w:rPr>
              <w:t>4%</w:t>
            </w:r>
            <w:r w:rsidRPr="009B561A">
              <w:rPr>
                <w:rFonts w:ascii="Calibri" w:hAnsi="Calibri" w:cs="Calibri"/>
                <w:sz w:val="20"/>
                <w:szCs w:val="20"/>
              </w:rPr>
              <w:t>- eLearning/Link programme/AMP</w:t>
            </w:r>
          </w:p>
          <w:p w14:paraId="66DE948E" w14:textId="77777777" w:rsidR="00D82224" w:rsidRPr="009B561A" w:rsidRDefault="00D82224" w:rsidP="009B561A">
            <w:pPr>
              <w:widowControl w:val="0"/>
              <w:numPr>
                <w:ilvl w:val="0"/>
                <w:numId w:val="8"/>
              </w:numPr>
              <w:autoSpaceDE w:val="0"/>
              <w:autoSpaceDN w:val="0"/>
              <w:adjustRightInd w:val="0"/>
              <w:spacing w:line="276" w:lineRule="auto"/>
              <w:contextualSpacing/>
              <w:rPr>
                <w:rFonts w:ascii="Calibri" w:hAnsi="Calibri" w:cs="Calibri"/>
                <w:b/>
                <w:bCs/>
                <w:sz w:val="20"/>
                <w:szCs w:val="20"/>
              </w:rPr>
            </w:pPr>
            <w:r w:rsidRPr="009B561A">
              <w:rPr>
                <w:rFonts w:ascii="Calibri" w:hAnsi="Calibri" w:cs="Calibri"/>
                <w:sz w:val="20"/>
                <w:szCs w:val="20"/>
              </w:rPr>
              <w:t xml:space="preserve">Awareness of </w:t>
            </w:r>
            <w:hyperlink r:id="rId15" w:history="1">
              <w:r w:rsidRPr="009B561A">
                <w:rPr>
                  <w:rFonts w:ascii="Calibri" w:hAnsi="Calibri" w:cs="Calibri"/>
                  <w:sz w:val="20"/>
                  <w:szCs w:val="20"/>
                  <w:u w:val="single"/>
                </w:rPr>
                <w:t>www.antibioticprescribing.ie</w:t>
              </w:r>
            </w:hyperlink>
            <w:r w:rsidRPr="009B561A">
              <w:rPr>
                <w:rFonts w:ascii="Calibri" w:hAnsi="Calibri" w:cs="Calibri"/>
                <w:sz w:val="20"/>
                <w:szCs w:val="20"/>
              </w:rPr>
              <w:t xml:space="preserve">  </w:t>
            </w:r>
            <w:r w:rsidRPr="009B561A">
              <w:rPr>
                <w:rFonts w:ascii="Calibri" w:hAnsi="Calibri" w:cs="Calibri"/>
                <w:sz w:val="20"/>
                <w:szCs w:val="20"/>
              </w:rPr>
              <w:lastRenderedPageBreak/>
              <w:t xml:space="preserve">amongst nursing staff </w:t>
            </w:r>
            <w:r w:rsidRPr="009B561A">
              <w:rPr>
                <w:rFonts w:ascii="Calibri" w:hAnsi="Calibri" w:cs="Calibri"/>
                <w:b/>
                <w:bCs/>
                <w:sz w:val="20"/>
                <w:szCs w:val="20"/>
              </w:rPr>
              <w:t>9%</w:t>
            </w:r>
          </w:p>
        </w:tc>
      </w:tr>
      <w:tr w:rsidR="00D82224" w:rsidRPr="009B561A" w14:paraId="30CEAEB4" w14:textId="77777777" w:rsidTr="0087653A">
        <w:tc>
          <w:tcPr>
            <w:tcW w:w="421" w:type="dxa"/>
          </w:tcPr>
          <w:p w14:paraId="0D945F92"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5</w:t>
            </w:r>
          </w:p>
        </w:tc>
        <w:tc>
          <w:tcPr>
            <w:tcW w:w="5103" w:type="dxa"/>
          </w:tcPr>
          <w:p w14:paraId="10232993" w14:textId="77777777" w:rsidR="00D82224" w:rsidRPr="00A51556" w:rsidRDefault="00D82224" w:rsidP="009B561A">
            <w:pPr>
              <w:widowControl w:val="0"/>
              <w:autoSpaceDE w:val="0"/>
              <w:autoSpaceDN w:val="0"/>
              <w:adjustRightInd w:val="0"/>
              <w:spacing w:line="276" w:lineRule="auto"/>
              <w:ind w:left="640" w:hanging="640"/>
              <w:rPr>
                <w:rFonts w:ascii="Calibri" w:hAnsi="Calibri" w:cs="Calibri"/>
                <w:b/>
                <w:bCs/>
                <w:noProof/>
                <w:sz w:val="20"/>
                <w:szCs w:val="20"/>
              </w:rPr>
            </w:pPr>
            <w:r w:rsidRPr="00A51556">
              <w:rPr>
                <w:rFonts w:ascii="Calibri" w:hAnsi="Calibri" w:cs="Calibri"/>
                <w:b/>
                <w:bCs/>
                <w:noProof/>
                <w:sz w:val="20"/>
                <w:szCs w:val="20"/>
              </w:rPr>
              <w:t>AMRIC Oversight Group &amp; Antimicrobial Stewardship</w:t>
            </w:r>
          </w:p>
          <w:p w14:paraId="7678BC62" w14:textId="77777777" w:rsidR="009C4E60" w:rsidRPr="00A51556" w:rsidRDefault="00D82224" w:rsidP="009B561A">
            <w:pPr>
              <w:widowControl w:val="0"/>
              <w:autoSpaceDE w:val="0"/>
              <w:autoSpaceDN w:val="0"/>
              <w:adjustRightInd w:val="0"/>
              <w:spacing w:line="276" w:lineRule="auto"/>
              <w:ind w:left="640" w:hanging="640"/>
              <w:rPr>
                <w:rFonts w:ascii="Calibri" w:hAnsi="Calibri" w:cs="Calibri"/>
                <w:noProof/>
                <w:sz w:val="20"/>
                <w:szCs w:val="20"/>
              </w:rPr>
            </w:pPr>
            <w:r w:rsidRPr="00A51556">
              <w:rPr>
                <w:rFonts w:ascii="Calibri" w:hAnsi="Calibri" w:cs="Calibri"/>
                <w:b/>
                <w:bCs/>
                <w:noProof/>
                <w:sz w:val="20"/>
                <w:szCs w:val="20"/>
              </w:rPr>
              <w:t xml:space="preserve"> Advisory Group. </w:t>
            </w:r>
            <w:r w:rsidRPr="00A51556">
              <w:rPr>
                <w:rFonts w:ascii="Calibri" w:hAnsi="Calibri" w:cs="Calibri"/>
                <w:noProof/>
                <w:sz w:val="20"/>
                <w:szCs w:val="20"/>
              </w:rPr>
              <w:t xml:space="preserve">Summary of PCRS AMRIC GP Green </w:t>
            </w:r>
          </w:p>
          <w:p w14:paraId="5984272A" w14:textId="5FA37662" w:rsidR="00D82224" w:rsidRPr="00A51556" w:rsidRDefault="00D82224" w:rsidP="009B561A">
            <w:pPr>
              <w:widowControl w:val="0"/>
              <w:autoSpaceDE w:val="0"/>
              <w:autoSpaceDN w:val="0"/>
              <w:adjustRightInd w:val="0"/>
              <w:spacing w:line="276" w:lineRule="auto"/>
              <w:ind w:left="640" w:hanging="640"/>
              <w:rPr>
                <w:rFonts w:ascii="Calibri" w:hAnsi="Calibri" w:cs="Calibri"/>
                <w:noProof/>
                <w:sz w:val="20"/>
                <w:szCs w:val="20"/>
              </w:rPr>
            </w:pPr>
            <w:r w:rsidRPr="00A51556">
              <w:rPr>
                <w:rFonts w:ascii="Calibri" w:hAnsi="Calibri" w:cs="Calibri"/>
                <w:noProof/>
                <w:sz w:val="20"/>
                <w:szCs w:val="20"/>
              </w:rPr>
              <w:t>Red</w:t>
            </w:r>
            <w:r w:rsidR="009C4E60" w:rsidRPr="00A51556">
              <w:rPr>
                <w:rFonts w:ascii="Calibri" w:hAnsi="Calibri" w:cs="Calibri"/>
                <w:noProof/>
                <w:sz w:val="20"/>
                <w:szCs w:val="20"/>
              </w:rPr>
              <w:t xml:space="preserve"> </w:t>
            </w:r>
            <w:r w:rsidRPr="00A51556">
              <w:rPr>
                <w:rFonts w:ascii="Calibri" w:hAnsi="Calibri" w:cs="Calibri"/>
                <w:noProof/>
                <w:sz w:val="20"/>
                <w:szCs w:val="20"/>
              </w:rPr>
              <w:t>Reports 2019/2020 for AMRIC Oversight Group &amp;</w:t>
            </w:r>
          </w:p>
          <w:p w14:paraId="3DDF520C" w14:textId="1EE68301" w:rsidR="00D82224" w:rsidRPr="00A51556" w:rsidRDefault="00D82224" w:rsidP="009B561A">
            <w:pPr>
              <w:spacing w:line="276" w:lineRule="auto"/>
              <w:rPr>
                <w:rFonts w:ascii="Calibri" w:hAnsi="Calibri" w:cs="Calibri"/>
                <w:b/>
                <w:bCs/>
                <w:color w:val="0070C0"/>
                <w:sz w:val="20"/>
                <w:szCs w:val="20"/>
                <w:vertAlign w:val="superscript"/>
              </w:rPr>
            </w:pPr>
            <w:r w:rsidRPr="00A51556">
              <w:rPr>
                <w:rFonts w:ascii="Calibri" w:hAnsi="Calibri" w:cs="Calibri"/>
                <w:noProof/>
                <w:sz w:val="20"/>
                <w:szCs w:val="20"/>
              </w:rPr>
              <w:t xml:space="preserve"> Antimicrobial Stewardship Advisory Group Key [Internet].    Vol. 3. 2020</w:t>
            </w:r>
            <w:r w:rsidRPr="00A51556">
              <w:rPr>
                <w:rFonts w:ascii="Calibri" w:hAnsi="Calibri" w:cs="Calibri"/>
                <w:b/>
                <w:bCs/>
                <w:noProof/>
                <w:sz w:val="20"/>
                <w:szCs w:val="20"/>
              </w:rPr>
              <w:t xml:space="preserve"> </w:t>
            </w:r>
            <w:r w:rsidR="00534F3F" w:rsidRPr="00A51556">
              <w:rPr>
                <w:rFonts w:ascii="Calibri" w:hAnsi="Calibri" w:cs="Calibri"/>
                <w:b/>
                <w:bCs/>
                <w:noProof/>
                <w:sz w:val="20"/>
                <w:szCs w:val="20"/>
              </w:rPr>
              <w:fldChar w:fldCharType="begin" w:fldLock="1"/>
            </w:r>
            <w:r w:rsidR="00534F3F" w:rsidRPr="00A51556">
              <w:rPr>
                <w:rFonts w:ascii="Calibri" w:hAnsi="Calibri" w:cs="Calibri"/>
                <w:b/>
                <w:bCs/>
                <w:noProof/>
                <w:sz w:val="20"/>
                <w:szCs w:val="20"/>
              </w:rPr>
              <w:instrText>ADDIN CSL_CITATION {"citationItems":[{"id":"ITEM-1","itemData":{"ISBN":"2319714519882","ISSN":"17427169","PMID":"2106","author":[{"dropping-particle":"","family":"AMRIC Oversight Group &amp; Antimicrobial Stewardship Advisory Group","given":"","non-dropping-particle":"","parse-names":false,"suffix":""}],"id":"ITEM-1","issue":"1","issued":{"date-parts":[["2020"]]},"number-of-pages":"1-8","title":"Summary of PCRS AMRIC GP Green Red Reports 2019/2020 for AMRIC Oversight Group &amp; Antimicrobial Stewardship Advisory Group Key","type":"report","volume":"3"},"uris":["http://www.mendeley.com/documents/?uuid=1f0eab4d-df78-418e-b086-1ae4d31ade71"]}],"mendeley":{"formattedCitation":"(26)","plainTextFormattedCitation":"(26)","previouslyFormattedCitation":"(26)"},"properties":{"noteIndex":0},"schema":"https://github.com/citation-style-language/schema/raw/master/csl-citation.json"}</w:instrText>
            </w:r>
            <w:r w:rsidR="00534F3F" w:rsidRPr="00A51556">
              <w:rPr>
                <w:rFonts w:ascii="Calibri" w:hAnsi="Calibri" w:cs="Calibri"/>
                <w:b/>
                <w:bCs/>
                <w:noProof/>
                <w:sz w:val="20"/>
                <w:szCs w:val="20"/>
              </w:rPr>
              <w:fldChar w:fldCharType="separate"/>
            </w:r>
            <w:r w:rsidR="00F91ED0" w:rsidRPr="00A51556">
              <w:rPr>
                <w:rFonts w:ascii="Calibri" w:hAnsi="Calibri" w:cs="Calibri"/>
                <w:bCs/>
                <w:noProof/>
                <w:sz w:val="20"/>
                <w:szCs w:val="20"/>
              </w:rPr>
              <w:t>[</w:t>
            </w:r>
            <w:r w:rsidR="00534F3F" w:rsidRPr="00A51556">
              <w:rPr>
                <w:rFonts w:ascii="Calibri" w:hAnsi="Calibri" w:cs="Calibri"/>
                <w:bCs/>
                <w:noProof/>
                <w:sz w:val="20"/>
                <w:szCs w:val="20"/>
              </w:rPr>
              <w:t>26</w:t>
            </w:r>
            <w:r w:rsidR="00F91ED0" w:rsidRPr="00A51556">
              <w:rPr>
                <w:rFonts w:ascii="Calibri" w:hAnsi="Calibri" w:cs="Calibri"/>
                <w:bCs/>
                <w:noProof/>
                <w:sz w:val="20"/>
                <w:szCs w:val="20"/>
              </w:rPr>
              <w:t>]</w:t>
            </w:r>
            <w:r w:rsidR="00534F3F" w:rsidRPr="00A51556">
              <w:rPr>
                <w:rFonts w:ascii="Calibri" w:hAnsi="Calibri" w:cs="Calibri"/>
                <w:b/>
                <w:bCs/>
                <w:noProof/>
                <w:sz w:val="20"/>
                <w:szCs w:val="20"/>
              </w:rPr>
              <w:fldChar w:fldCharType="end"/>
            </w:r>
            <w:r w:rsidR="00A34CBB" w:rsidRPr="00A51556">
              <w:rPr>
                <w:rFonts w:ascii="Calibri" w:hAnsi="Calibri" w:cs="Calibri"/>
                <w:b/>
                <w:bCs/>
                <w:color w:val="0070C0"/>
                <w:sz w:val="20"/>
                <w:szCs w:val="20"/>
                <w:vertAlign w:val="superscript"/>
              </w:rPr>
              <w:t xml:space="preserve"> </w:t>
            </w:r>
          </w:p>
          <w:p w14:paraId="3B1AA6A9" w14:textId="5601907B" w:rsidR="00D82224" w:rsidRPr="00A51556" w:rsidRDefault="00D82224" w:rsidP="009B561A">
            <w:pPr>
              <w:spacing w:line="276" w:lineRule="auto"/>
              <w:rPr>
                <w:rFonts w:ascii="Calibri" w:hAnsi="Calibri" w:cs="Calibri"/>
                <w:b/>
                <w:bCs/>
                <w:sz w:val="20"/>
                <w:szCs w:val="20"/>
              </w:rPr>
            </w:pPr>
            <w:r w:rsidRPr="00A51556">
              <w:rPr>
                <w:rFonts w:ascii="Calibri" w:hAnsi="Calibri" w:cs="Calibri"/>
                <w:b/>
                <w:bCs/>
                <w:sz w:val="20"/>
                <w:szCs w:val="20"/>
              </w:rPr>
              <w:t>*Links with Tables SRC B&amp;C</w:t>
            </w:r>
          </w:p>
        </w:tc>
        <w:tc>
          <w:tcPr>
            <w:tcW w:w="3977" w:type="dxa"/>
          </w:tcPr>
          <w:p w14:paraId="0878795D" w14:textId="77777777" w:rsidR="00D82224" w:rsidRPr="009B561A" w:rsidRDefault="00D82224" w:rsidP="009B561A">
            <w:pPr>
              <w:spacing w:line="276" w:lineRule="auto"/>
              <w:rPr>
                <w:rFonts w:ascii="Calibri" w:hAnsi="Calibri" w:cs="Calibri"/>
                <w:b/>
                <w:bCs/>
                <w:color w:val="FF0000"/>
                <w:sz w:val="20"/>
                <w:szCs w:val="20"/>
              </w:rPr>
            </w:pPr>
          </w:p>
        </w:tc>
        <w:tc>
          <w:tcPr>
            <w:tcW w:w="4669" w:type="dxa"/>
          </w:tcPr>
          <w:p w14:paraId="10D4A1B4"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Previously mentioned in SRC Table B</w:t>
            </w:r>
            <w:r w:rsidRPr="009B561A">
              <w:rPr>
                <w:rFonts w:ascii="Calibri" w:hAnsi="Calibri" w:cs="Calibri"/>
                <w:sz w:val="20"/>
                <w:szCs w:val="20"/>
              </w:rPr>
              <w:t>&amp;</w:t>
            </w:r>
            <w:r w:rsidRPr="009B561A">
              <w:rPr>
                <w:rFonts w:ascii="Calibri" w:hAnsi="Calibri" w:cs="Calibri"/>
                <w:color w:val="000000" w:themeColor="text1"/>
                <w:sz w:val="20"/>
                <w:szCs w:val="20"/>
              </w:rPr>
              <w:t>C</w:t>
            </w:r>
          </w:p>
          <w:p w14:paraId="484C43B7" w14:textId="77777777" w:rsidR="00D82224" w:rsidRPr="009B561A" w:rsidRDefault="00D82224" w:rsidP="009B561A">
            <w:pPr>
              <w:spacing w:line="276" w:lineRule="auto"/>
              <w:rPr>
                <w:rFonts w:ascii="Calibri" w:hAnsi="Calibri" w:cs="Calibri"/>
                <w:color w:val="000000" w:themeColor="text1"/>
                <w:sz w:val="20"/>
                <w:szCs w:val="20"/>
              </w:rPr>
            </w:pPr>
          </w:p>
        </w:tc>
      </w:tr>
      <w:tr w:rsidR="00D82224" w:rsidRPr="009B561A" w14:paraId="284E9ED6" w14:textId="77777777" w:rsidTr="0087653A">
        <w:tc>
          <w:tcPr>
            <w:tcW w:w="421" w:type="dxa"/>
          </w:tcPr>
          <w:p w14:paraId="04110676"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6</w:t>
            </w:r>
          </w:p>
        </w:tc>
        <w:tc>
          <w:tcPr>
            <w:tcW w:w="5103" w:type="dxa"/>
          </w:tcPr>
          <w:p w14:paraId="1C3192E5" w14:textId="7A90FB5E" w:rsidR="00D82224" w:rsidRPr="00A51556" w:rsidRDefault="00D82224" w:rsidP="009B561A">
            <w:pPr>
              <w:spacing w:line="276" w:lineRule="auto"/>
              <w:rPr>
                <w:rFonts w:ascii="Calibri" w:hAnsi="Calibri" w:cs="Calibri"/>
                <w:b/>
                <w:bCs/>
                <w:sz w:val="20"/>
                <w:szCs w:val="20"/>
                <w:vertAlign w:val="superscript"/>
              </w:rPr>
            </w:pPr>
            <w:r w:rsidRPr="00A51556">
              <w:rPr>
                <w:rFonts w:ascii="Calibri" w:hAnsi="Calibri" w:cs="Calibri"/>
                <w:b/>
                <w:bCs/>
                <w:color w:val="000000" w:themeColor="text1"/>
                <w:sz w:val="20"/>
                <w:szCs w:val="20"/>
              </w:rPr>
              <w:t>European Centre for Disease Prevention and Control</w:t>
            </w:r>
            <w:r w:rsidRPr="00A51556">
              <w:rPr>
                <w:rFonts w:ascii="Calibri" w:hAnsi="Calibri" w:cs="Calibri"/>
                <w:color w:val="000000" w:themeColor="text1"/>
                <w:sz w:val="20"/>
                <w:szCs w:val="20"/>
              </w:rPr>
              <w:t xml:space="preserve">. Final Joint Report in respect of a One Health Country Visit to Ireland from 07 October 2019 to 11 October 2019 to discuss policies relating to Antimicrobial Resistance. (2020) </w:t>
            </w:r>
            <w:r w:rsidR="007477FF" w:rsidRPr="00A51556">
              <w:rPr>
                <w:rFonts w:ascii="Calibri" w:hAnsi="Calibri" w:cs="Calibri"/>
                <w:color w:val="000000" w:themeColor="text1"/>
                <w:sz w:val="20"/>
                <w:szCs w:val="20"/>
              </w:rPr>
              <w:fldChar w:fldCharType="begin" w:fldLock="1"/>
            </w:r>
            <w:r w:rsidR="007477FF" w:rsidRPr="00A51556">
              <w:rPr>
                <w:rFonts w:ascii="Calibri" w:hAnsi="Calibri" w:cs="Calibri"/>
                <w:color w:val="000000" w:themeColor="text1"/>
                <w:sz w:val="20"/>
                <w:szCs w:val="20"/>
              </w:rPr>
              <w:instrText>ADDIN CSL_CITATION {"citationItems":[{"id":"ITEM-1","itemData":{"ISSN":"2015-7561","abstract":"This report describes the outcome of a Food and Veterinary Office (FVO) audit in Botswana carried out between 13 and 20 October 2015, as part of the FVO audit programme for 2015. The objective was to evaluate the effectiveness of surveillance and regionalisation measures for foot-and-mouth (FMD) disease. Overall, the report concludes that: The shortcomings which led to the suspension of authorisation of imports from two regions have been completely solved in one of these regions, while the Competent Authorities are still working on solutions for the other one. The Competent Authorities are actively involved in continuous improvement of their operational standards. In addition to addressing satisfactorily most recommendations issued after the last FVO audit in 2013, they have introduced new systems for identification of cattle and regionalisation for FMD, which have the potential to improve the health control standards and level of guarantees for export of bovine meat to the EU. Loopholes have however been identified: if not tackled promptly, they will undermine the reliability of these systems. The assurance of the maintenance of FMD-free status without vaccination of the authorised territories relies largely on clinical surveillance. Serological surveillance, while not directly required for export of bovine meat to the EU, is in place: it does not bring the additional intended guarantee, as implementation shortcomings and laboratory quality issues prevent from concluding that seropositive results obtained are not a sign of contact with FMD (vaccine or wild) virus. Recommendations are made to the Competent Authorities of Botswana to address the shortcomings described in the report.","author":[{"dropping-particle":"","family":"EUROPEAN COMMISSION DIRECTORATE-GENERAL FOR HEALTH AND FOOD SAFETY","given":"","non-dropping-particle":"","parse-names":false,"suffix":""}],"id":"ITEM-1","issue":"October 2019","issued":{"date-parts":[["2020"]]},"title":"European Centre for Disease Prevention and Control. Final Joint Report in respect of a One Health Country Visit to Ireland from 07 October 2019 to 11 October 2019 to discuss policies relating to Antimicrobial Resistance. (2020).","type":"report"},"uris":["http://www.mendeley.com/documents/?uuid=788e2269-6361-48a2-aebf-bc8c16dca78b"]}],"mendeley":{"formattedCitation":"(11)","plainTextFormattedCitation":"(11)","previouslyFormattedCitation":"(11)"},"properties":{"noteIndex":0},"schema":"https://github.com/citation-style-language/schema/raw/master/csl-citation.json"}</w:instrText>
            </w:r>
            <w:r w:rsidR="007477FF" w:rsidRPr="00A51556">
              <w:rPr>
                <w:rFonts w:ascii="Calibri" w:hAnsi="Calibri" w:cs="Calibri"/>
                <w:color w:val="000000" w:themeColor="text1"/>
                <w:sz w:val="20"/>
                <w:szCs w:val="20"/>
              </w:rPr>
              <w:fldChar w:fldCharType="separate"/>
            </w:r>
            <w:r w:rsidR="00F91ED0" w:rsidRPr="00A51556">
              <w:rPr>
                <w:rFonts w:ascii="Calibri" w:hAnsi="Calibri" w:cs="Calibri"/>
                <w:noProof/>
                <w:color w:val="000000" w:themeColor="text1"/>
                <w:sz w:val="20"/>
                <w:szCs w:val="20"/>
              </w:rPr>
              <w:t>[</w:t>
            </w:r>
            <w:r w:rsidR="007477FF" w:rsidRPr="00A51556">
              <w:rPr>
                <w:rFonts w:ascii="Calibri" w:hAnsi="Calibri" w:cs="Calibri"/>
                <w:noProof/>
                <w:color w:val="000000" w:themeColor="text1"/>
                <w:sz w:val="20"/>
                <w:szCs w:val="20"/>
              </w:rPr>
              <w:t>11</w:t>
            </w:r>
            <w:r w:rsidR="00F91ED0" w:rsidRPr="00A51556">
              <w:rPr>
                <w:rFonts w:ascii="Calibri" w:hAnsi="Calibri" w:cs="Calibri"/>
                <w:noProof/>
                <w:color w:val="000000" w:themeColor="text1"/>
                <w:sz w:val="20"/>
                <w:szCs w:val="20"/>
              </w:rPr>
              <w:t>]</w:t>
            </w:r>
            <w:r w:rsidR="007477FF" w:rsidRPr="00A51556">
              <w:rPr>
                <w:rFonts w:ascii="Calibri" w:hAnsi="Calibri" w:cs="Calibri"/>
                <w:color w:val="000000" w:themeColor="text1"/>
                <w:sz w:val="20"/>
                <w:szCs w:val="20"/>
              </w:rPr>
              <w:fldChar w:fldCharType="end"/>
            </w:r>
            <w:r w:rsidR="00A34CBB" w:rsidRPr="00A51556">
              <w:rPr>
                <w:rFonts w:ascii="Calibri" w:hAnsi="Calibri" w:cs="Calibri"/>
                <w:b/>
                <w:bCs/>
                <w:sz w:val="20"/>
                <w:szCs w:val="20"/>
                <w:vertAlign w:val="superscript"/>
              </w:rPr>
              <w:t xml:space="preserve"> </w:t>
            </w:r>
          </w:p>
          <w:p w14:paraId="34DD0D3F" w14:textId="77777777" w:rsidR="00D82224" w:rsidRPr="00A51556" w:rsidRDefault="00D82224" w:rsidP="009B561A">
            <w:pPr>
              <w:spacing w:line="276" w:lineRule="auto"/>
              <w:rPr>
                <w:rFonts w:ascii="Calibri" w:hAnsi="Calibri" w:cs="Calibri"/>
                <w:b/>
                <w:bCs/>
                <w:color w:val="0070C0"/>
                <w:sz w:val="20"/>
                <w:szCs w:val="20"/>
              </w:rPr>
            </w:pPr>
          </w:p>
          <w:p w14:paraId="1F51EA41" w14:textId="77777777" w:rsidR="00D82224" w:rsidRPr="00A51556" w:rsidRDefault="00D82224" w:rsidP="009B561A">
            <w:pPr>
              <w:widowControl w:val="0"/>
              <w:autoSpaceDE w:val="0"/>
              <w:autoSpaceDN w:val="0"/>
              <w:adjustRightInd w:val="0"/>
              <w:spacing w:line="276" w:lineRule="auto"/>
              <w:ind w:left="640" w:hanging="640"/>
              <w:rPr>
                <w:rFonts w:ascii="Calibri" w:hAnsi="Calibri" w:cs="Calibri"/>
                <w:b/>
                <w:bCs/>
                <w:noProof/>
                <w:color w:val="0070C0"/>
                <w:sz w:val="20"/>
                <w:szCs w:val="20"/>
              </w:rPr>
            </w:pPr>
            <w:r w:rsidRPr="00A51556">
              <w:rPr>
                <w:rFonts w:ascii="Calibri" w:hAnsi="Calibri" w:cs="Calibri"/>
                <w:b/>
                <w:bCs/>
                <w:sz w:val="20"/>
                <w:szCs w:val="20"/>
              </w:rPr>
              <w:t>*Links with Tables SRC A, B&amp;C</w:t>
            </w:r>
          </w:p>
        </w:tc>
        <w:tc>
          <w:tcPr>
            <w:tcW w:w="3977" w:type="dxa"/>
          </w:tcPr>
          <w:p w14:paraId="24947437" w14:textId="77777777" w:rsidR="00D82224" w:rsidRPr="009B561A" w:rsidRDefault="00D82224" w:rsidP="009B561A">
            <w:pPr>
              <w:autoSpaceDE w:val="0"/>
              <w:autoSpaceDN w:val="0"/>
              <w:adjustRightInd w:val="0"/>
              <w:spacing w:line="276" w:lineRule="auto"/>
              <w:rPr>
                <w:rFonts w:ascii="Calibri" w:hAnsi="Calibri" w:cs="Calibri"/>
                <w:sz w:val="20"/>
                <w:szCs w:val="20"/>
              </w:rPr>
            </w:pPr>
            <w:r w:rsidRPr="009B561A">
              <w:rPr>
                <w:rFonts w:ascii="Calibri" w:hAnsi="Calibri" w:cs="Calibri"/>
                <w:sz w:val="20"/>
                <w:szCs w:val="20"/>
              </w:rPr>
              <w:t>The report outlines various considerations which could be helpful in reviewing and implementing a national, One Health, AMR strategy.</w:t>
            </w:r>
          </w:p>
        </w:tc>
        <w:tc>
          <w:tcPr>
            <w:tcW w:w="4669" w:type="dxa"/>
          </w:tcPr>
          <w:p w14:paraId="6E3B2916"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The following statements from this report are relevant to our review:</w:t>
            </w:r>
          </w:p>
          <w:p w14:paraId="6EA4194A" w14:textId="77777777" w:rsidR="00D82224" w:rsidRPr="009B561A" w:rsidRDefault="00D82224" w:rsidP="009B561A">
            <w:pPr>
              <w:spacing w:line="276" w:lineRule="auto"/>
              <w:rPr>
                <w:rFonts w:ascii="Calibri" w:hAnsi="Calibri" w:cs="Calibri"/>
                <w:b/>
                <w:bCs/>
                <w:color w:val="000000" w:themeColor="text1"/>
                <w:sz w:val="20"/>
                <w:szCs w:val="20"/>
              </w:rPr>
            </w:pPr>
          </w:p>
          <w:p w14:paraId="286B2618"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“There seemed to be no formal collaboration or networking at regional level between the HSE Hospital Groups and the HSE Community Health Organisations.”  p 8</w:t>
            </w:r>
          </w:p>
          <w:p w14:paraId="31A12416" w14:textId="77777777" w:rsidR="00D82224" w:rsidRPr="009B561A" w:rsidRDefault="00D82224" w:rsidP="009B561A">
            <w:pPr>
              <w:spacing w:line="276" w:lineRule="auto"/>
              <w:rPr>
                <w:rFonts w:ascii="Calibri" w:hAnsi="Calibri" w:cs="Calibri"/>
                <w:color w:val="FF0000"/>
                <w:sz w:val="20"/>
                <w:szCs w:val="20"/>
              </w:rPr>
            </w:pPr>
          </w:p>
          <w:p w14:paraId="0DF230C5"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“GPs also did not receive any information on the AMR situation in their community overall or specifically for the samples they had provided.” p 11.</w:t>
            </w:r>
          </w:p>
          <w:p w14:paraId="1F45A1B4" w14:textId="77777777" w:rsidR="00D82224" w:rsidRPr="009B561A" w:rsidRDefault="00D82224" w:rsidP="009B561A">
            <w:pPr>
              <w:spacing w:line="276" w:lineRule="auto"/>
              <w:rPr>
                <w:rFonts w:ascii="Calibri" w:hAnsi="Calibri" w:cs="Calibri"/>
                <w:color w:val="FF0000"/>
                <w:sz w:val="20"/>
                <w:szCs w:val="20"/>
              </w:rPr>
            </w:pPr>
          </w:p>
          <w:p w14:paraId="4D592957"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“National data on AMR in the community and on AMR for pathogens not covered by EARS-Net surveillance are not available.” P ii</w:t>
            </w:r>
          </w:p>
          <w:p w14:paraId="7093DC39" w14:textId="77777777" w:rsidR="00D82224" w:rsidRPr="009B561A" w:rsidRDefault="00D82224" w:rsidP="009B561A">
            <w:pPr>
              <w:spacing w:line="276" w:lineRule="auto"/>
              <w:rPr>
                <w:rFonts w:ascii="Calibri" w:hAnsi="Calibri" w:cs="Calibri"/>
                <w:color w:val="000000" w:themeColor="text1"/>
                <w:sz w:val="20"/>
                <w:szCs w:val="20"/>
              </w:rPr>
            </w:pPr>
          </w:p>
          <w:p w14:paraId="73746CF1" w14:textId="77777777" w:rsidR="00D82224" w:rsidRPr="009B561A" w:rsidRDefault="00D82224" w:rsidP="009B561A">
            <w:pPr>
              <w:spacing w:line="276" w:lineRule="auto"/>
              <w:rPr>
                <w:rFonts w:ascii="Calibri" w:hAnsi="Calibri" w:cs="Calibri"/>
                <w:color w:val="000000" w:themeColor="text1"/>
                <w:sz w:val="20"/>
                <w:szCs w:val="20"/>
              </w:rPr>
            </w:pPr>
            <w:r w:rsidRPr="009B561A">
              <w:rPr>
                <w:rFonts w:ascii="Calibri" w:hAnsi="Calibri" w:cs="Calibri"/>
                <w:color w:val="000000" w:themeColor="text1"/>
                <w:sz w:val="20"/>
                <w:szCs w:val="20"/>
              </w:rPr>
              <w:t>“Point-of care diagnostic tests to better target antibiotic prescribing such as C-reactive protein or rapid streptococcal antigen test are not frequently used in primary care as these tests are not reimbursed.” P 12</w:t>
            </w:r>
          </w:p>
          <w:p w14:paraId="54844BAA" w14:textId="77777777" w:rsidR="00D82224" w:rsidRPr="009B561A" w:rsidRDefault="00D82224" w:rsidP="009B561A">
            <w:pPr>
              <w:spacing w:line="276" w:lineRule="auto"/>
              <w:rPr>
                <w:rFonts w:ascii="Calibri" w:hAnsi="Calibri" w:cs="Calibri"/>
                <w:color w:val="FF0000"/>
                <w:sz w:val="20"/>
                <w:szCs w:val="20"/>
              </w:rPr>
            </w:pPr>
          </w:p>
          <w:p w14:paraId="7257AB2C" w14:textId="77777777" w:rsidR="00D82224" w:rsidRPr="009B561A" w:rsidRDefault="00D82224" w:rsidP="009B561A">
            <w:pPr>
              <w:spacing w:line="276" w:lineRule="auto"/>
              <w:rPr>
                <w:rFonts w:ascii="Calibri" w:hAnsi="Calibri" w:cs="Calibri"/>
                <w:color w:val="FF0000"/>
                <w:sz w:val="20"/>
                <w:szCs w:val="20"/>
              </w:rPr>
            </w:pPr>
            <w:r w:rsidRPr="009B561A">
              <w:rPr>
                <w:rFonts w:ascii="Calibri" w:hAnsi="Calibri" w:cs="Calibri"/>
                <w:color w:val="000000" w:themeColor="text1"/>
                <w:sz w:val="20"/>
                <w:szCs w:val="20"/>
              </w:rPr>
              <w:lastRenderedPageBreak/>
              <w:t>“In addition, there have been GP-initiated pilot studies to support appropriate antimicrobial use in community healthcare.” p 18</w:t>
            </w:r>
          </w:p>
        </w:tc>
      </w:tr>
      <w:tr w:rsidR="00D82224" w:rsidRPr="009B561A" w14:paraId="6AC89CF9" w14:textId="77777777" w:rsidTr="0087653A">
        <w:tc>
          <w:tcPr>
            <w:tcW w:w="421" w:type="dxa"/>
          </w:tcPr>
          <w:p w14:paraId="6B30484A"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lastRenderedPageBreak/>
              <w:t>7</w:t>
            </w:r>
          </w:p>
        </w:tc>
        <w:tc>
          <w:tcPr>
            <w:tcW w:w="5103" w:type="dxa"/>
          </w:tcPr>
          <w:p w14:paraId="365222D7" w14:textId="188B3317" w:rsidR="00D82224" w:rsidRPr="00A51556" w:rsidRDefault="00D82224" w:rsidP="009B561A">
            <w:pPr>
              <w:spacing w:line="276" w:lineRule="auto"/>
              <w:rPr>
                <w:rFonts w:ascii="Calibri" w:hAnsi="Calibri" w:cs="Calibri"/>
                <w:b/>
                <w:bCs/>
                <w:sz w:val="20"/>
                <w:szCs w:val="20"/>
                <w:vertAlign w:val="superscript"/>
              </w:rPr>
            </w:pPr>
            <w:r w:rsidRPr="00A51556">
              <w:rPr>
                <w:rFonts w:ascii="Calibri" w:hAnsi="Calibri" w:cs="Calibri"/>
                <w:b/>
                <w:bCs/>
                <w:sz w:val="20"/>
                <w:szCs w:val="20"/>
              </w:rPr>
              <w:t>Health Information and Quality Authority (HIQA) (2018)</w:t>
            </w:r>
            <w:r w:rsidRPr="00A51556">
              <w:rPr>
                <w:rFonts w:ascii="Calibri" w:hAnsi="Calibri" w:cs="Calibri"/>
                <w:sz w:val="20"/>
                <w:szCs w:val="20"/>
              </w:rPr>
              <w:t xml:space="preserve"> National Standards for infection prevention and control in community services. Dublin: HIQA.</w:t>
            </w:r>
            <w:r w:rsidRPr="00A51556">
              <w:rPr>
                <w:rFonts w:ascii="Calibri" w:hAnsi="Calibri" w:cs="Calibri"/>
                <w:sz w:val="20"/>
                <w:szCs w:val="20"/>
                <w:vertAlign w:val="superscript"/>
              </w:rPr>
              <w:t xml:space="preserve"> </w:t>
            </w:r>
            <w:r w:rsidR="00B65758" w:rsidRPr="00A51556">
              <w:rPr>
                <w:rFonts w:ascii="Calibri" w:hAnsi="Calibri" w:cs="Calibri"/>
                <w:sz w:val="20"/>
                <w:szCs w:val="20"/>
                <w:vertAlign w:val="superscript"/>
              </w:rPr>
              <w:fldChar w:fldCharType="begin" w:fldLock="1"/>
            </w:r>
            <w:r w:rsidR="00B65758" w:rsidRPr="00A51556">
              <w:rPr>
                <w:rFonts w:ascii="Calibri" w:hAnsi="Calibri" w:cs="Calibri"/>
                <w:sz w:val="20"/>
                <w:szCs w:val="20"/>
                <w:vertAlign w:val="superscript"/>
              </w:rPr>
              <w:instrText>ADDIN CSL_CITATION {"citationItems":[{"id":"ITEM-1","itemData":{"ISBN":"0504523163","author":[{"dropping-particle":"","family":"Health Information and Quality Authority (HIQA)","given":"","non-dropping-particle":"","parse-names":false,"suffix":""}],"id":"ITEM-1","issue":"21","issued":{"date-parts":[["2018"]]},"number-of-pages":"1-9","title":"National Standards for infection prevention and control in community services.","type":"report"},"uris":["http://www.mendeley.com/documents/?uuid=961a001c-6690-4353-a64f-694be2317465"]}],"mendeley":{"formattedCitation":"(13)","plainTextFormattedCitation":"(13)","previouslyFormattedCitation":"(13)"},"properties":{"noteIndex":0},"schema":"https://github.com/citation-style-language/schema/raw/master/csl-citation.json"}</w:instrText>
            </w:r>
            <w:r w:rsidR="00B65758" w:rsidRPr="00A51556">
              <w:rPr>
                <w:rFonts w:ascii="Calibri" w:hAnsi="Calibri" w:cs="Calibri"/>
                <w:sz w:val="20"/>
                <w:szCs w:val="20"/>
                <w:vertAlign w:val="superscript"/>
              </w:rPr>
              <w:fldChar w:fldCharType="separate"/>
            </w:r>
            <w:r w:rsidR="00F91ED0" w:rsidRPr="00A51556">
              <w:rPr>
                <w:rFonts w:ascii="Calibri" w:hAnsi="Calibri" w:cs="Calibri"/>
                <w:noProof/>
                <w:sz w:val="20"/>
                <w:szCs w:val="20"/>
              </w:rPr>
              <w:t>[</w:t>
            </w:r>
            <w:r w:rsidR="00B65758" w:rsidRPr="00A51556">
              <w:rPr>
                <w:rFonts w:ascii="Calibri" w:hAnsi="Calibri" w:cs="Calibri"/>
                <w:noProof/>
                <w:sz w:val="20"/>
                <w:szCs w:val="20"/>
              </w:rPr>
              <w:t>13</w:t>
            </w:r>
            <w:r w:rsidR="00F91ED0" w:rsidRPr="00A51556">
              <w:rPr>
                <w:rFonts w:ascii="Calibri" w:hAnsi="Calibri" w:cs="Calibri"/>
                <w:noProof/>
                <w:sz w:val="20"/>
                <w:szCs w:val="20"/>
              </w:rPr>
              <w:t>]</w:t>
            </w:r>
            <w:r w:rsidR="00B65758" w:rsidRPr="00A51556">
              <w:rPr>
                <w:rFonts w:ascii="Calibri" w:hAnsi="Calibri" w:cs="Calibri"/>
                <w:sz w:val="20"/>
                <w:szCs w:val="20"/>
                <w:vertAlign w:val="superscript"/>
              </w:rPr>
              <w:fldChar w:fldCharType="end"/>
            </w:r>
            <w:r w:rsidR="00A34CBB" w:rsidRPr="00A51556">
              <w:rPr>
                <w:rFonts w:ascii="Calibri" w:hAnsi="Calibri" w:cs="Calibri"/>
                <w:b/>
                <w:bCs/>
                <w:sz w:val="20"/>
                <w:szCs w:val="20"/>
                <w:vertAlign w:val="superscript"/>
              </w:rPr>
              <w:t xml:space="preserve"> </w:t>
            </w:r>
          </w:p>
          <w:p w14:paraId="080F5193" w14:textId="77777777" w:rsidR="00D82224" w:rsidRPr="00A51556" w:rsidRDefault="00D82224" w:rsidP="009B561A">
            <w:pPr>
              <w:widowControl w:val="0"/>
              <w:autoSpaceDE w:val="0"/>
              <w:autoSpaceDN w:val="0"/>
              <w:adjustRightInd w:val="0"/>
              <w:spacing w:line="276" w:lineRule="auto"/>
              <w:rPr>
                <w:rFonts w:ascii="Calibri" w:hAnsi="Calibri" w:cs="Calibri"/>
                <w:b/>
                <w:bCs/>
                <w:noProof/>
                <w:sz w:val="20"/>
                <w:szCs w:val="20"/>
              </w:rPr>
            </w:pPr>
            <w:r w:rsidRPr="00A51556">
              <w:rPr>
                <w:rFonts w:ascii="Calibri" w:hAnsi="Calibri" w:cs="Calibri"/>
                <w:b/>
                <w:bCs/>
                <w:sz w:val="20"/>
                <w:szCs w:val="20"/>
              </w:rPr>
              <w:t>*Links with Tables SRC A</w:t>
            </w:r>
            <w:r w:rsidRPr="00A51556">
              <w:rPr>
                <w:rFonts w:ascii="Calibri" w:hAnsi="Calibri" w:cs="Calibri"/>
                <w:b/>
                <w:bCs/>
                <w:color w:val="000000" w:themeColor="text1"/>
                <w:sz w:val="20"/>
                <w:szCs w:val="20"/>
              </w:rPr>
              <w:t>&amp;</w:t>
            </w:r>
            <w:r w:rsidRPr="00A51556">
              <w:rPr>
                <w:rFonts w:ascii="Calibri" w:hAnsi="Calibri" w:cs="Calibri"/>
                <w:b/>
                <w:bCs/>
                <w:sz w:val="20"/>
                <w:szCs w:val="20"/>
              </w:rPr>
              <w:t>C</w:t>
            </w:r>
          </w:p>
        </w:tc>
        <w:tc>
          <w:tcPr>
            <w:tcW w:w="3977" w:type="dxa"/>
          </w:tcPr>
          <w:p w14:paraId="4EB9221C" w14:textId="77777777" w:rsidR="00D82224" w:rsidRPr="009B561A" w:rsidRDefault="00D82224" w:rsidP="009B561A">
            <w:pPr>
              <w:spacing w:line="276" w:lineRule="auto"/>
              <w:rPr>
                <w:rFonts w:ascii="Calibri" w:hAnsi="Calibri" w:cs="Calibri"/>
                <w:b/>
                <w:bCs/>
                <w:sz w:val="20"/>
                <w:szCs w:val="20"/>
              </w:rPr>
            </w:pPr>
          </w:p>
        </w:tc>
        <w:tc>
          <w:tcPr>
            <w:tcW w:w="4669" w:type="dxa"/>
          </w:tcPr>
          <w:p w14:paraId="2F5E5E5F"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Previously mentioned Table SRC A</w:t>
            </w:r>
            <w:r w:rsidRPr="009B561A">
              <w:rPr>
                <w:rFonts w:ascii="Calibri" w:hAnsi="Calibri" w:cs="Calibri"/>
                <w:color w:val="000000" w:themeColor="text1"/>
                <w:sz w:val="20"/>
                <w:szCs w:val="20"/>
              </w:rPr>
              <w:t>&amp;</w:t>
            </w:r>
            <w:r w:rsidRPr="009B561A">
              <w:rPr>
                <w:rFonts w:ascii="Calibri" w:hAnsi="Calibri" w:cs="Calibri"/>
                <w:sz w:val="20"/>
                <w:szCs w:val="20"/>
              </w:rPr>
              <w:t>C</w:t>
            </w:r>
          </w:p>
          <w:p w14:paraId="52571FF4" w14:textId="77777777" w:rsidR="00D82224" w:rsidRPr="009B561A" w:rsidRDefault="00D82224" w:rsidP="009B561A">
            <w:pPr>
              <w:spacing w:line="276" w:lineRule="auto"/>
              <w:rPr>
                <w:rFonts w:ascii="Calibri" w:hAnsi="Calibri" w:cs="Calibri"/>
                <w:sz w:val="20"/>
                <w:szCs w:val="20"/>
              </w:rPr>
            </w:pPr>
          </w:p>
          <w:p w14:paraId="7371AB61" w14:textId="77777777" w:rsidR="00D82224" w:rsidRPr="009B561A" w:rsidRDefault="00D82224" w:rsidP="009B561A">
            <w:pPr>
              <w:spacing w:line="276" w:lineRule="auto"/>
              <w:rPr>
                <w:rFonts w:ascii="Calibri" w:hAnsi="Calibri" w:cs="Calibri"/>
                <w:sz w:val="20"/>
                <w:szCs w:val="20"/>
              </w:rPr>
            </w:pPr>
          </w:p>
        </w:tc>
      </w:tr>
      <w:tr w:rsidR="00D82224" w:rsidRPr="009B561A" w14:paraId="2453CE6D" w14:textId="77777777" w:rsidTr="0087653A">
        <w:tc>
          <w:tcPr>
            <w:tcW w:w="421" w:type="dxa"/>
          </w:tcPr>
          <w:p w14:paraId="2D3AFCA9"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8</w:t>
            </w:r>
          </w:p>
        </w:tc>
        <w:tc>
          <w:tcPr>
            <w:tcW w:w="5103" w:type="dxa"/>
          </w:tcPr>
          <w:p w14:paraId="4AFBB124" w14:textId="65581FAC" w:rsidR="00D82224" w:rsidRPr="00A51556" w:rsidRDefault="00D82224" w:rsidP="009B561A">
            <w:pPr>
              <w:spacing w:line="276" w:lineRule="auto"/>
              <w:rPr>
                <w:rFonts w:ascii="Calibri" w:hAnsi="Calibri" w:cs="Calibri"/>
                <w:b/>
                <w:bCs/>
                <w:sz w:val="20"/>
                <w:szCs w:val="20"/>
                <w:vertAlign w:val="superscript"/>
              </w:rPr>
            </w:pPr>
            <w:r w:rsidRPr="00A51556">
              <w:rPr>
                <w:rFonts w:ascii="Calibri" w:hAnsi="Calibri" w:cs="Calibri"/>
                <w:b/>
                <w:bCs/>
                <w:color w:val="000000" w:themeColor="text1"/>
                <w:sz w:val="20"/>
                <w:szCs w:val="20"/>
              </w:rPr>
              <w:t>Point Prevalence Survey of Healthcare-Associated Infections &amp; Antimicrobial Use in Long-Term Care Facilities (HALT):</w:t>
            </w:r>
            <w:r w:rsidRPr="00A51556">
              <w:rPr>
                <w:rFonts w:ascii="Calibri" w:hAnsi="Calibri" w:cs="Calibri"/>
                <w:color w:val="000000" w:themeColor="text1"/>
                <w:sz w:val="20"/>
                <w:szCs w:val="20"/>
              </w:rPr>
              <w:t xml:space="preserve"> May 2016 IRELAND: NATIONAL REPORT – MARCH 2017</w:t>
            </w:r>
            <w:r w:rsidRPr="00A51556">
              <w:rPr>
                <w:rFonts w:ascii="Calibri" w:hAnsi="Calibri" w:cs="Calibri"/>
                <w:b/>
                <w:bCs/>
                <w:sz w:val="20"/>
                <w:szCs w:val="20"/>
              </w:rPr>
              <w:t xml:space="preserve"> </w:t>
            </w:r>
            <w:r w:rsidR="00534F3F" w:rsidRPr="00A51556">
              <w:rPr>
                <w:rFonts w:ascii="Calibri" w:hAnsi="Calibri" w:cs="Calibri"/>
                <w:b/>
                <w:bCs/>
                <w:sz w:val="20"/>
                <w:szCs w:val="20"/>
              </w:rPr>
              <w:fldChar w:fldCharType="begin" w:fldLock="1"/>
            </w:r>
            <w:r w:rsidR="00534F3F" w:rsidRPr="00A51556">
              <w:rPr>
                <w:rFonts w:ascii="Calibri" w:hAnsi="Calibri" w:cs="Calibri"/>
                <w:b/>
                <w:bCs/>
                <w:sz w:val="20"/>
                <w:szCs w:val="20"/>
              </w:rPr>
              <w:instrText>ADDIN CSL_CITATION {"citationItems":[{"id":"ITEM-1","itemData":{"id":"ITEM-1","issued":{"date-parts":[["0"]]},"title":"Health Protection Surveillance Centre, Point Prevalence Survey of Healthcare-Associated Infections &amp; Antimicobial use in Long-Term Care Facilities: May 2016 – Ireland National Report: March 2017 HALT","type":"report"},"uris":["http://www.mendeley.com/documents/?uuid=0bfce921-444c-4b2a-9d9e-eee94c846c07"]}],"mendeley":{"formattedCitation":"(45)","plainTextFormattedCitation":"(45)","previouslyFormattedCitation":"(45)"},"properties":{"noteIndex":0},"schema":"https://github.com/citation-style-language/schema/raw/master/csl-citation.json"}</w:instrText>
            </w:r>
            <w:r w:rsidR="00534F3F" w:rsidRPr="00A51556">
              <w:rPr>
                <w:rFonts w:ascii="Calibri" w:hAnsi="Calibri" w:cs="Calibri"/>
                <w:b/>
                <w:bCs/>
                <w:sz w:val="20"/>
                <w:szCs w:val="20"/>
              </w:rPr>
              <w:fldChar w:fldCharType="separate"/>
            </w:r>
            <w:r w:rsidR="00F91ED0" w:rsidRPr="00A51556">
              <w:rPr>
                <w:rFonts w:ascii="Calibri" w:hAnsi="Calibri" w:cs="Calibri"/>
                <w:bCs/>
                <w:noProof/>
                <w:sz w:val="20"/>
                <w:szCs w:val="20"/>
              </w:rPr>
              <w:t>[</w:t>
            </w:r>
            <w:r w:rsidR="00534F3F" w:rsidRPr="00A51556">
              <w:rPr>
                <w:rFonts w:ascii="Calibri" w:hAnsi="Calibri" w:cs="Calibri"/>
                <w:bCs/>
                <w:noProof/>
                <w:sz w:val="20"/>
                <w:szCs w:val="20"/>
              </w:rPr>
              <w:t>45</w:t>
            </w:r>
            <w:r w:rsidR="00F91ED0" w:rsidRPr="00A51556">
              <w:rPr>
                <w:rFonts w:ascii="Calibri" w:hAnsi="Calibri" w:cs="Calibri"/>
                <w:bCs/>
                <w:noProof/>
                <w:sz w:val="20"/>
                <w:szCs w:val="20"/>
              </w:rPr>
              <w:t>]</w:t>
            </w:r>
            <w:r w:rsidR="00534F3F" w:rsidRPr="00A51556">
              <w:rPr>
                <w:rFonts w:ascii="Calibri" w:hAnsi="Calibri" w:cs="Calibri"/>
                <w:b/>
                <w:bCs/>
                <w:sz w:val="20"/>
                <w:szCs w:val="20"/>
              </w:rPr>
              <w:fldChar w:fldCharType="end"/>
            </w:r>
            <w:r w:rsidR="00A34CBB" w:rsidRPr="00A51556">
              <w:rPr>
                <w:rFonts w:ascii="Calibri" w:hAnsi="Calibri" w:cs="Calibri"/>
                <w:b/>
                <w:bCs/>
                <w:sz w:val="20"/>
                <w:szCs w:val="20"/>
                <w:vertAlign w:val="superscript"/>
              </w:rPr>
              <w:t xml:space="preserve"> </w:t>
            </w:r>
          </w:p>
          <w:p w14:paraId="34C79270" w14:textId="77777777" w:rsidR="00D82224" w:rsidRPr="00A51556" w:rsidRDefault="00D82224" w:rsidP="009B561A">
            <w:pPr>
              <w:spacing w:line="276" w:lineRule="auto"/>
              <w:rPr>
                <w:rFonts w:ascii="Calibri" w:hAnsi="Calibri" w:cs="Calibri"/>
                <w:color w:val="000000" w:themeColor="text1"/>
                <w:sz w:val="20"/>
                <w:szCs w:val="20"/>
                <w:vertAlign w:val="superscript"/>
              </w:rPr>
            </w:pPr>
            <w:r w:rsidRPr="00A51556">
              <w:rPr>
                <w:rFonts w:ascii="Calibri" w:hAnsi="Calibri" w:cs="Calibri"/>
                <w:b/>
                <w:bCs/>
                <w:sz w:val="20"/>
                <w:szCs w:val="20"/>
              </w:rPr>
              <w:t>Links with Tables SRC C</w:t>
            </w:r>
          </w:p>
          <w:p w14:paraId="67499CCA" w14:textId="77777777" w:rsidR="00D82224" w:rsidRPr="00A51556" w:rsidRDefault="00D82224" w:rsidP="009B561A">
            <w:pPr>
              <w:spacing w:line="276" w:lineRule="auto"/>
              <w:rPr>
                <w:rFonts w:ascii="Calibri" w:hAnsi="Calibri" w:cs="Calibri"/>
                <w:b/>
                <w:bCs/>
                <w:sz w:val="20"/>
                <w:szCs w:val="20"/>
              </w:rPr>
            </w:pPr>
          </w:p>
        </w:tc>
        <w:tc>
          <w:tcPr>
            <w:tcW w:w="3977" w:type="dxa"/>
          </w:tcPr>
          <w:p w14:paraId="0E10E3E0" w14:textId="77777777" w:rsidR="00D82224" w:rsidRPr="009B561A" w:rsidRDefault="00D82224" w:rsidP="009B561A">
            <w:pPr>
              <w:spacing w:line="276" w:lineRule="auto"/>
              <w:rPr>
                <w:rFonts w:ascii="Calibri" w:hAnsi="Calibri" w:cs="Calibri"/>
                <w:b/>
                <w:bCs/>
                <w:sz w:val="20"/>
                <w:szCs w:val="20"/>
              </w:rPr>
            </w:pPr>
          </w:p>
        </w:tc>
        <w:tc>
          <w:tcPr>
            <w:tcW w:w="4669" w:type="dxa"/>
          </w:tcPr>
          <w:p w14:paraId="3902D0D5" w14:textId="77777777" w:rsidR="00D82224" w:rsidRPr="009B561A" w:rsidRDefault="00D82224" w:rsidP="009B561A">
            <w:pPr>
              <w:spacing w:line="276" w:lineRule="auto"/>
              <w:rPr>
                <w:rFonts w:ascii="Calibri" w:hAnsi="Calibri" w:cs="Calibri"/>
                <w:sz w:val="20"/>
                <w:szCs w:val="20"/>
              </w:rPr>
            </w:pPr>
            <w:r w:rsidRPr="009B561A">
              <w:rPr>
                <w:rFonts w:ascii="Calibri" w:hAnsi="Calibri" w:cs="Calibri"/>
                <w:sz w:val="20"/>
                <w:szCs w:val="20"/>
              </w:rPr>
              <w:t>Previously mentioned Table SRC C</w:t>
            </w:r>
          </w:p>
          <w:p w14:paraId="3C1247A8" w14:textId="77777777" w:rsidR="00D82224" w:rsidRPr="009B561A" w:rsidRDefault="00D82224" w:rsidP="009B561A">
            <w:pPr>
              <w:spacing w:line="276" w:lineRule="auto"/>
              <w:rPr>
                <w:rFonts w:ascii="Calibri" w:hAnsi="Calibri" w:cs="Calibri"/>
                <w:sz w:val="20"/>
                <w:szCs w:val="20"/>
              </w:rPr>
            </w:pPr>
          </w:p>
        </w:tc>
      </w:tr>
    </w:tbl>
    <w:p w14:paraId="2276875B" w14:textId="77777777" w:rsidR="00D82224" w:rsidRPr="009B561A" w:rsidRDefault="00D82224" w:rsidP="009B561A">
      <w:pPr>
        <w:autoSpaceDE w:val="0"/>
        <w:autoSpaceDN w:val="0"/>
        <w:adjustRightInd w:val="0"/>
        <w:spacing w:after="0" w:line="276" w:lineRule="auto"/>
        <w:rPr>
          <w:rFonts w:ascii="Calibri" w:hAnsi="Calibri" w:cs="Calibri"/>
          <w:b/>
          <w:bCs/>
          <w:color w:val="FF0000"/>
          <w:sz w:val="20"/>
          <w:szCs w:val="20"/>
        </w:rPr>
      </w:pPr>
    </w:p>
    <w:p w14:paraId="109DA291" w14:textId="77777777" w:rsidR="00AF54CE" w:rsidRPr="009B561A" w:rsidRDefault="00AF54CE" w:rsidP="009B561A">
      <w:pPr>
        <w:spacing w:line="276" w:lineRule="auto"/>
        <w:rPr>
          <w:rFonts w:ascii="Calibri" w:hAnsi="Calibri" w:cs="Calibri"/>
          <w:b/>
          <w:bCs/>
          <w:sz w:val="20"/>
          <w:szCs w:val="20"/>
        </w:rPr>
      </w:pPr>
    </w:p>
    <w:p w14:paraId="5EB9A128" w14:textId="77777777" w:rsidR="00AF54CE" w:rsidRPr="009B561A" w:rsidRDefault="00AF54CE" w:rsidP="009B561A">
      <w:pPr>
        <w:spacing w:line="276" w:lineRule="auto"/>
        <w:rPr>
          <w:rFonts w:ascii="Calibri" w:hAnsi="Calibri" w:cs="Calibri"/>
          <w:b/>
          <w:bCs/>
          <w:sz w:val="20"/>
          <w:szCs w:val="20"/>
        </w:rPr>
      </w:pPr>
    </w:p>
    <w:p w14:paraId="48608685" w14:textId="77777777" w:rsidR="00AF54CE" w:rsidRPr="009B561A" w:rsidRDefault="00AF54CE" w:rsidP="009B561A">
      <w:pPr>
        <w:spacing w:line="276" w:lineRule="auto"/>
        <w:rPr>
          <w:rFonts w:ascii="Calibri" w:hAnsi="Calibri" w:cs="Calibri"/>
          <w:b/>
          <w:bCs/>
          <w:sz w:val="20"/>
          <w:szCs w:val="20"/>
        </w:rPr>
      </w:pPr>
    </w:p>
    <w:p w14:paraId="632F1C0A" w14:textId="77777777" w:rsidR="00AF54CE" w:rsidRPr="009B561A" w:rsidRDefault="00AF54CE" w:rsidP="009B561A">
      <w:pPr>
        <w:spacing w:line="276" w:lineRule="auto"/>
        <w:rPr>
          <w:rFonts w:ascii="Calibri" w:hAnsi="Calibri" w:cs="Calibri"/>
          <w:b/>
          <w:bCs/>
          <w:sz w:val="20"/>
          <w:szCs w:val="20"/>
        </w:rPr>
      </w:pPr>
    </w:p>
    <w:p w14:paraId="1EFA44B0" w14:textId="77777777" w:rsidR="00AF54CE" w:rsidRPr="009B561A" w:rsidRDefault="00AF54CE" w:rsidP="009B561A">
      <w:pPr>
        <w:spacing w:line="276" w:lineRule="auto"/>
        <w:rPr>
          <w:rFonts w:ascii="Calibri" w:hAnsi="Calibri" w:cs="Calibri"/>
          <w:b/>
          <w:bCs/>
          <w:sz w:val="20"/>
          <w:szCs w:val="20"/>
        </w:rPr>
      </w:pPr>
    </w:p>
    <w:p w14:paraId="1A71C10D" w14:textId="77777777" w:rsidR="00AF54CE" w:rsidRPr="009B561A" w:rsidRDefault="00AF54CE" w:rsidP="009B561A">
      <w:pPr>
        <w:spacing w:line="276" w:lineRule="auto"/>
        <w:rPr>
          <w:rFonts w:ascii="Calibri" w:hAnsi="Calibri" w:cs="Calibri"/>
          <w:b/>
          <w:bCs/>
          <w:sz w:val="20"/>
          <w:szCs w:val="20"/>
        </w:rPr>
      </w:pPr>
    </w:p>
    <w:p w14:paraId="599C06EB" w14:textId="77777777" w:rsidR="00AF54CE" w:rsidRPr="009B561A" w:rsidRDefault="00AF54CE" w:rsidP="009B561A">
      <w:pPr>
        <w:spacing w:line="276" w:lineRule="auto"/>
        <w:rPr>
          <w:rFonts w:ascii="Calibri" w:hAnsi="Calibri" w:cs="Calibri"/>
          <w:b/>
          <w:bCs/>
          <w:sz w:val="20"/>
          <w:szCs w:val="20"/>
        </w:rPr>
      </w:pPr>
    </w:p>
    <w:p w14:paraId="240B4BC6" w14:textId="77777777" w:rsidR="00AF54CE" w:rsidRPr="009B561A" w:rsidRDefault="00AF54CE" w:rsidP="009B561A">
      <w:pPr>
        <w:spacing w:line="276" w:lineRule="auto"/>
        <w:rPr>
          <w:rFonts w:ascii="Calibri" w:hAnsi="Calibri" w:cs="Calibri"/>
          <w:b/>
          <w:bCs/>
          <w:sz w:val="20"/>
          <w:szCs w:val="20"/>
        </w:rPr>
      </w:pPr>
    </w:p>
    <w:p w14:paraId="5F0DE877" w14:textId="77777777" w:rsidR="00AF54CE" w:rsidRPr="009B561A" w:rsidRDefault="00AF54CE" w:rsidP="009B561A">
      <w:pPr>
        <w:spacing w:line="276" w:lineRule="auto"/>
        <w:rPr>
          <w:rFonts w:ascii="Calibri" w:hAnsi="Calibri" w:cs="Calibri"/>
          <w:b/>
          <w:bCs/>
          <w:sz w:val="20"/>
          <w:szCs w:val="20"/>
        </w:rPr>
      </w:pPr>
    </w:p>
    <w:p w14:paraId="02E92DA0" w14:textId="77777777" w:rsidR="00AF54CE" w:rsidRPr="009B561A" w:rsidRDefault="00AF54CE" w:rsidP="009B561A">
      <w:pPr>
        <w:spacing w:line="276" w:lineRule="auto"/>
        <w:rPr>
          <w:rFonts w:ascii="Calibri" w:hAnsi="Calibri" w:cs="Calibri"/>
          <w:b/>
          <w:bCs/>
          <w:sz w:val="20"/>
          <w:szCs w:val="20"/>
        </w:rPr>
      </w:pPr>
    </w:p>
    <w:p w14:paraId="6D9FBA87" w14:textId="77777777" w:rsidR="00AF54CE" w:rsidRPr="009B561A" w:rsidRDefault="00AF54CE" w:rsidP="009B561A">
      <w:pPr>
        <w:spacing w:line="276" w:lineRule="auto"/>
        <w:rPr>
          <w:rFonts w:ascii="Calibri" w:hAnsi="Calibri" w:cs="Calibri"/>
          <w:b/>
          <w:bCs/>
          <w:sz w:val="20"/>
          <w:szCs w:val="20"/>
        </w:rPr>
      </w:pPr>
    </w:p>
    <w:p w14:paraId="49941882" w14:textId="77777777" w:rsidR="00E608F1" w:rsidRDefault="00E608F1" w:rsidP="00AF54CE">
      <w:pPr>
        <w:spacing w:line="240" w:lineRule="auto"/>
        <w:rPr>
          <w:rFonts w:cstheme="minorHAnsi"/>
          <w:b/>
          <w:bCs/>
          <w:sz w:val="24"/>
          <w:szCs w:val="24"/>
        </w:rPr>
        <w:sectPr w:rsidR="00E608F1" w:rsidSect="00A020F5">
          <w:pgSz w:w="16838" w:h="11906" w:orient="landscape"/>
          <w:pgMar w:top="1440" w:right="1440" w:bottom="1440" w:left="1440" w:header="709" w:footer="709" w:gutter="0"/>
          <w:cols w:space="708"/>
          <w:docGrid w:linePitch="360"/>
        </w:sectPr>
      </w:pPr>
    </w:p>
    <w:p w14:paraId="3BBF9A52" w14:textId="507EF865" w:rsidR="0059720B" w:rsidRPr="003723E4" w:rsidRDefault="0059720B" w:rsidP="00AF54CE">
      <w:pPr>
        <w:spacing w:line="240" w:lineRule="auto"/>
        <w:rPr>
          <w:rFonts w:ascii="Calibri" w:hAnsi="Calibri" w:cs="Calibri"/>
          <w:b/>
          <w:bCs/>
          <w:sz w:val="24"/>
          <w:szCs w:val="24"/>
        </w:rPr>
      </w:pPr>
      <w:r w:rsidRPr="005C2D38">
        <w:rPr>
          <w:rFonts w:ascii="Calibri" w:hAnsi="Calibri" w:cs="Calibri"/>
          <w:b/>
          <w:bCs/>
          <w:sz w:val="24"/>
          <w:szCs w:val="24"/>
        </w:rPr>
        <w:lastRenderedPageBreak/>
        <w:t xml:space="preserve">Supplemental File </w:t>
      </w:r>
      <w:r w:rsidR="000F0CE5" w:rsidRPr="005C2D38">
        <w:rPr>
          <w:rFonts w:ascii="Calibri" w:hAnsi="Calibri" w:cs="Calibri"/>
          <w:b/>
          <w:bCs/>
          <w:sz w:val="24"/>
          <w:szCs w:val="24"/>
        </w:rPr>
        <w:t>6</w:t>
      </w:r>
      <w:r w:rsidRPr="005C2D38">
        <w:rPr>
          <w:rFonts w:ascii="Calibri" w:hAnsi="Calibri" w:cs="Calibri"/>
          <w:b/>
          <w:bCs/>
          <w:sz w:val="24"/>
          <w:szCs w:val="24"/>
        </w:rPr>
        <w:t>:</w:t>
      </w:r>
      <w:r w:rsidRPr="003723E4">
        <w:rPr>
          <w:rFonts w:ascii="Calibri" w:hAnsi="Calibri" w:cs="Calibri"/>
          <w:b/>
          <w:bCs/>
          <w:sz w:val="24"/>
          <w:szCs w:val="24"/>
        </w:rPr>
        <w:t xml:space="preserve">  </w:t>
      </w:r>
      <w:r w:rsidR="00A90B74" w:rsidRPr="003723E4">
        <w:rPr>
          <w:rFonts w:ascii="Calibri" w:hAnsi="Calibri" w:cs="Calibri"/>
          <w:b/>
          <w:bCs/>
          <w:sz w:val="24"/>
          <w:szCs w:val="24"/>
        </w:rPr>
        <w:t xml:space="preserve">Grey </w:t>
      </w:r>
      <w:r w:rsidRPr="003723E4">
        <w:rPr>
          <w:rFonts w:ascii="Calibri" w:hAnsi="Calibri" w:cs="Calibri"/>
          <w:b/>
          <w:bCs/>
          <w:sz w:val="24"/>
          <w:szCs w:val="24"/>
        </w:rPr>
        <w:t xml:space="preserve">Reports mapped to </w:t>
      </w:r>
      <w:r w:rsidR="00A90B74" w:rsidRPr="003723E4">
        <w:rPr>
          <w:rFonts w:ascii="Calibri" w:hAnsi="Calibri" w:cs="Calibri"/>
          <w:b/>
          <w:bCs/>
          <w:sz w:val="24"/>
          <w:szCs w:val="24"/>
        </w:rPr>
        <w:t xml:space="preserve">Recommendations </w:t>
      </w:r>
      <w:r w:rsidR="00133BD9" w:rsidRPr="003723E4">
        <w:rPr>
          <w:rFonts w:ascii="Calibri" w:hAnsi="Calibri" w:cs="Calibri"/>
          <w:b/>
          <w:bCs/>
          <w:sz w:val="24"/>
          <w:szCs w:val="24"/>
        </w:rPr>
        <w:t>only</w:t>
      </w:r>
      <w:r w:rsidRPr="003723E4">
        <w:rPr>
          <w:rFonts w:ascii="Calibri" w:hAnsi="Calibri" w:cs="Calibri"/>
          <w:b/>
          <w:bCs/>
          <w:sz w:val="24"/>
          <w:szCs w:val="24"/>
        </w:rPr>
        <w:t xml:space="preserve"> but not the subcategories of that </w:t>
      </w:r>
      <w:r w:rsidR="00A90B74" w:rsidRPr="003723E4">
        <w:rPr>
          <w:rFonts w:ascii="Calibri" w:hAnsi="Calibri" w:cs="Calibri"/>
          <w:b/>
          <w:bCs/>
          <w:sz w:val="24"/>
          <w:szCs w:val="24"/>
        </w:rPr>
        <w:t>recommendation</w:t>
      </w:r>
      <w:r w:rsidRPr="003723E4">
        <w:rPr>
          <w:rFonts w:ascii="Calibri" w:hAnsi="Calibri" w:cs="Calibri"/>
          <w:sz w:val="24"/>
          <w:szCs w:val="24"/>
        </w:rPr>
        <w:t xml:space="preserve"> </w:t>
      </w:r>
      <w:r w:rsidR="00B26031" w:rsidRPr="003723E4">
        <w:rPr>
          <w:rFonts w:ascii="Calibri" w:hAnsi="Calibri" w:cs="Calibri"/>
          <w:sz w:val="24"/>
          <w:szCs w:val="24"/>
        </w:rPr>
        <w:fldChar w:fldCharType="begin" w:fldLock="1"/>
      </w:r>
      <w:r w:rsidR="005C0661" w:rsidRPr="003723E4">
        <w:rPr>
          <w:rFonts w:ascii="Calibri" w:hAnsi="Calibri" w:cs="Calibri"/>
          <w:sz w:val="24"/>
          <w:szCs w:val="24"/>
        </w:rPr>
        <w:instrText>ADDIN CSL_CITATION {"citationItems":[{"id":"ITEM-1","itemData":{"id":"ITEM-1","issued":{"date-parts":[["0"]]},"title":"Health Protection Surveillance Centre: SARI Hospital Antimicrobial Stewardship Working Group: Guidelines for Antimicrobial Stewardship in hospitals in Ireland. Dublin: Health Protection Surveillance Centre, 2009.","type":"report"},"uris":["http://www.mendeley.com/documents/?uuid=95ec3122-3076-48db-b1f8-2fb4d13d6e6a"]}],"mendeley":{"formattedCitation":"(1)","plainTextFormattedCitation":"(1)","previouslyFormattedCitation":"(1)"},"properties":{"noteIndex":0},"schema":"https://github.com/citation-style-language/schema/raw/master/csl-citation.json"}</w:instrText>
      </w:r>
      <w:r w:rsidR="00B26031" w:rsidRPr="003723E4">
        <w:rPr>
          <w:rFonts w:ascii="Calibri" w:hAnsi="Calibri" w:cs="Calibri"/>
          <w:sz w:val="24"/>
          <w:szCs w:val="24"/>
        </w:rPr>
        <w:fldChar w:fldCharType="separate"/>
      </w:r>
      <w:r w:rsidR="003723E4" w:rsidRPr="003723E4">
        <w:rPr>
          <w:rFonts w:ascii="Calibri" w:hAnsi="Calibri" w:cs="Calibri"/>
          <w:noProof/>
          <w:sz w:val="24"/>
          <w:szCs w:val="24"/>
        </w:rPr>
        <w:t>[</w:t>
      </w:r>
      <w:r w:rsidR="00B26031" w:rsidRPr="003723E4">
        <w:rPr>
          <w:rFonts w:ascii="Calibri" w:hAnsi="Calibri" w:cs="Calibri"/>
          <w:noProof/>
          <w:sz w:val="24"/>
          <w:szCs w:val="24"/>
        </w:rPr>
        <w:t>1</w:t>
      </w:r>
      <w:r w:rsidR="003723E4" w:rsidRPr="003723E4">
        <w:rPr>
          <w:rFonts w:ascii="Calibri" w:hAnsi="Calibri" w:cs="Calibri"/>
          <w:noProof/>
          <w:sz w:val="24"/>
          <w:szCs w:val="24"/>
        </w:rPr>
        <w:t>]</w:t>
      </w:r>
      <w:r w:rsidR="00B26031" w:rsidRPr="003723E4">
        <w:rPr>
          <w:rFonts w:ascii="Calibri" w:hAnsi="Calibri" w:cs="Calibri"/>
          <w:sz w:val="24"/>
          <w:szCs w:val="24"/>
        </w:rPr>
        <w:fldChar w:fldCharType="end"/>
      </w:r>
      <w:r w:rsidR="003723E4" w:rsidRPr="003723E4">
        <w:rPr>
          <w:rFonts w:ascii="Calibri" w:hAnsi="Calibri" w:cs="Calibri"/>
          <w:b/>
          <w:bCs/>
          <w:sz w:val="24"/>
          <w:szCs w:val="24"/>
        </w:rPr>
        <w:t xml:space="preserve"> </w:t>
      </w:r>
    </w:p>
    <w:p w14:paraId="3B0241D2" w14:textId="77777777" w:rsidR="00A90B74" w:rsidRPr="003723E4" w:rsidRDefault="00A90B74" w:rsidP="00A90B74">
      <w:pPr>
        <w:pStyle w:val="ListParagraph"/>
        <w:numPr>
          <w:ilvl w:val="0"/>
          <w:numId w:val="1"/>
        </w:numPr>
        <w:spacing w:line="360" w:lineRule="auto"/>
        <w:rPr>
          <w:rFonts w:ascii="Calibri" w:hAnsi="Calibri" w:cs="Calibri"/>
          <w:sz w:val="24"/>
          <w:szCs w:val="24"/>
        </w:rPr>
      </w:pPr>
      <w:r w:rsidRPr="003723E4">
        <w:rPr>
          <w:rFonts w:ascii="Calibri" w:hAnsi="Calibri" w:cs="Calibri"/>
          <w:sz w:val="24"/>
          <w:szCs w:val="24"/>
        </w:rPr>
        <w:t>A: Structure and Organisation of Antimicrobial Stewardship</w:t>
      </w:r>
    </w:p>
    <w:p w14:paraId="0B05A314" w14:textId="77777777" w:rsidR="00A90B74" w:rsidRPr="003723E4" w:rsidRDefault="00A90B74" w:rsidP="00A90B74">
      <w:pPr>
        <w:pStyle w:val="ListParagraph"/>
        <w:numPr>
          <w:ilvl w:val="0"/>
          <w:numId w:val="1"/>
        </w:numPr>
        <w:spacing w:line="360" w:lineRule="auto"/>
        <w:rPr>
          <w:rFonts w:ascii="Calibri" w:hAnsi="Calibri" w:cs="Calibri"/>
          <w:sz w:val="24"/>
          <w:szCs w:val="24"/>
        </w:rPr>
      </w:pPr>
      <w:r w:rsidRPr="003723E4">
        <w:rPr>
          <w:rFonts w:ascii="Calibri" w:hAnsi="Calibri" w:cs="Calibri"/>
          <w:sz w:val="24"/>
          <w:szCs w:val="24"/>
        </w:rPr>
        <w:t>C: Antimicrobial Stewardship Interventions</w:t>
      </w:r>
    </w:p>
    <w:p w14:paraId="322C2DE2" w14:textId="282A6C0B" w:rsidR="00DD6CA7" w:rsidRPr="003723E4" w:rsidRDefault="00A90B74" w:rsidP="00A90B74">
      <w:pPr>
        <w:pStyle w:val="ListParagraph"/>
        <w:numPr>
          <w:ilvl w:val="0"/>
          <w:numId w:val="1"/>
        </w:numPr>
        <w:spacing w:line="360" w:lineRule="auto"/>
        <w:rPr>
          <w:rFonts w:ascii="Calibri" w:hAnsi="Calibri" w:cs="Calibri"/>
          <w:sz w:val="24"/>
          <w:szCs w:val="24"/>
        </w:rPr>
      </w:pPr>
      <w:r w:rsidRPr="003723E4">
        <w:rPr>
          <w:rFonts w:ascii="Calibri" w:hAnsi="Calibri" w:cs="Calibri"/>
          <w:sz w:val="24"/>
          <w:szCs w:val="24"/>
        </w:rPr>
        <w:t>D: Recommendations for Non-Acute Residential Healthcare Institutions</w:t>
      </w:r>
    </w:p>
    <w:tbl>
      <w:tblPr>
        <w:tblStyle w:val="TableGrid"/>
        <w:tblW w:w="0" w:type="auto"/>
        <w:tblLook w:val="04A0" w:firstRow="1" w:lastRow="0" w:firstColumn="1" w:lastColumn="0" w:noHBand="0" w:noVBand="1"/>
      </w:tblPr>
      <w:tblGrid>
        <w:gridCol w:w="1981"/>
        <w:gridCol w:w="7035"/>
      </w:tblGrid>
      <w:tr w:rsidR="0059720B" w:rsidRPr="003723E4" w14:paraId="0D801D22" w14:textId="77777777" w:rsidTr="0087653A">
        <w:tc>
          <w:tcPr>
            <w:tcW w:w="1271" w:type="dxa"/>
          </w:tcPr>
          <w:p w14:paraId="4090187A" w14:textId="649C2B9F" w:rsidR="0059720B" w:rsidRPr="003723E4" w:rsidRDefault="0059720B" w:rsidP="00DD6CA7">
            <w:pPr>
              <w:autoSpaceDE w:val="0"/>
              <w:autoSpaceDN w:val="0"/>
              <w:adjustRightInd w:val="0"/>
              <w:spacing w:line="276" w:lineRule="auto"/>
              <w:rPr>
                <w:rFonts w:ascii="Calibri" w:hAnsi="Calibri" w:cs="Calibri"/>
                <w:b/>
                <w:bCs/>
                <w:color w:val="000000" w:themeColor="text1"/>
                <w:sz w:val="24"/>
                <w:szCs w:val="24"/>
              </w:rPr>
            </w:pPr>
            <w:r w:rsidRPr="003723E4">
              <w:rPr>
                <w:rFonts w:ascii="Calibri" w:hAnsi="Calibri" w:cs="Calibri"/>
                <w:b/>
                <w:bCs/>
                <w:color w:val="000000" w:themeColor="text1"/>
                <w:sz w:val="24"/>
                <w:szCs w:val="24"/>
              </w:rPr>
              <w:t xml:space="preserve">Name of </w:t>
            </w:r>
            <w:r w:rsidR="00A90B74" w:rsidRPr="003723E4">
              <w:rPr>
                <w:rFonts w:ascii="Calibri" w:hAnsi="Calibri" w:cs="Calibri"/>
                <w:b/>
                <w:bCs/>
                <w:color w:val="000000" w:themeColor="text1"/>
                <w:sz w:val="24"/>
                <w:szCs w:val="24"/>
              </w:rPr>
              <w:t>Recommendation</w:t>
            </w:r>
          </w:p>
        </w:tc>
        <w:tc>
          <w:tcPr>
            <w:tcW w:w="11907" w:type="dxa"/>
          </w:tcPr>
          <w:p w14:paraId="7307CE3E" w14:textId="50DB7423" w:rsidR="0059720B" w:rsidRPr="003723E4" w:rsidRDefault="0059720B" w:rsidP="00DD6CA7">
            <w:pPr>
              <w:spacing w:line="276" w:lineRule="auto"/>
              <w:rPr>
                <w:rFonts w:ascii="Calibri" w:hAnsi="Calibri" w:cs="Calibri"/>
                <w:b/>
                <w:bCs/>
                <w:color w:val="000000" w:themeColor="text1"/>
                <w:sz w:val="24"/>
                <w:szCs w:val="24"/>
              </w:rPr>
            </w:pPr>
            <w:r w:rsidRPr="003723E4">
              <w:rPr>
                <w:rFonts w:ascii="Calibri" w:hAnsi="Calibri" w:cs="Calibri"/>
                <w:b/>
                <w:bCs/>
                <w:color w:val="000000" w:themeColor="text1"/>
                <w:sz w:val="24"/>
                <w:szCs w:val="24"/>
              </w:rPr>
              <w:t xml:space="preserve">Grey reports mapped to </w:t>
            </w:r>
            <w:r w:rsidR="00A90B74" w:rsidRPr="003723E4">
              <w:rPr>
                <w:rFonts w:ascii="Calibri" w:hAnsi="Calibri" w:cs="Calibri"/>
                <w:b/>
                <w:bCs/>
                <w:color w:val="000000" w:themeColor="text1"/>
                <w:sz w:val="24"/>
                <w:szCs w:val="24"/>
              </w:rPr>
              <w:t>Recommendation</w:t>
            </w:r>
            <w:r w:rsidRPr="003723E4">
              <w:rPr>
                <w:rFonts w:ascii="Calibri" w:hAnsi="Calibri" w:cs="Calibri"/>
                <w:b/>
                <w:bCs/>
                <w:color w:val="000000" w:themeColor="text1"/>
                <w:sz w:val="24"/>
                <w:szCs w:val="24"/>
              </w:rPr>
              <w:t xml:space="preserve"> only but not </w:t>
            </w:r>
            <w:r w:rsidR="00A90B74" w:rsidRPr="003723E4">
              <w:rPr>
                <w:rFonts w:ascii="Calibri" w:hAnsi="Calibri" w:cs="Calibri"/>
                <w:b/>
                <w:bCs/>
                <w:color w:val="000000" w:themeColor="text1"/>
                <w:sz w:val="24"/>
                <w:szCs w:val="24"/>
              </w:rPr>
              <w:t xml:space="preserve">the </w:t>
            </w:r>
            <w:r w:rsidRPr="003723E4">
              <w:rPr>
                <w:rFonts w:ascii="Calibri" w:hAnsi="Calibri" w:cs="Calibri"/>
                <w:b/>
                <w:bCs/>
                <w:color w:val="000000" w:themeColor="text1"/>
                <w:sz w:val="24"/>
                <w:szCs w:val="24"/>
              </w:rPr>
              <w:t xml:space="preserve">subcategories </w:t>
            </w:r>
          </w:p>
        </w:tc>
      </w:tr>
      <w:tr w:rsidR="0059720B" w:rsidRPr="003723E4" w14:paraId="60E3250F" w14:textId="77777777" w:rsidTr="0087653A">
        <w:tc>
          <w:tcPr>
            <w:tcW w:w="1271" w:type="dxa"/>
          </w:tcPr>
          <w:p w14:paraId="06EA5787" w14:textId="7F1D70C9" w:rsidR="0059720B" w:rsidRPr="003723E4" w:rsidRDefault="0059720B" w:rsidP="00DD6CA7">
            <w:pPr>
              <w:autoSpaceDE w:val="0"/>
              <w:autoSpaceDN w:val="0"/>
              <w:adjustRightInd w:val="0"/>
              <w:spacing w:line="276" w:lineRule="auto"/>
              <w:rPr>
                <w:rFonts w:ascii="Calibri" w:hAnsi="Calibri" w:cs="Calibri"/>
                <w:color w:val="000000" w:themeColor="text1"/>
                <w:sz w:val="24"/>
                <w:szCs w:val="24"/>
              </w:rPr>
            </w:pPr>
            <w:r w:rsidRPr="003723E4">
              <w:rPr>
                <w:rFonts w:ascii="Calibri" w:hAnsi="Calibri" w:cs="Calibri"/>
                <w:color w:val="000000" w:themeColor="text1"/>
                <w:sz w:val="24"/>
                <w:szCs w:val="24"/>
              </w:rPr>
              <w:t xml:space="preserve"> A</w:t>
            </w:r>
          </w:p>
        </w:tc>
        <w:tc>
          <w:tcPr>
            <w:tcW w:w="11907" w:type="dxa"/>
          </w:tcPr>
          <w:p w14:paraId="672C9608" w14:textId="4B98A23F" w:rsidR="0059720B" w:rsidRPr="003723E4" w:rsidRDefault="0059720B" w:rsidP="00F75FA6">
            <w:pPr>
              <w:pStyle w:val="ListParagraph"/>
              <w:numPr>
                <w:ilvl w:val="0"/>
                <w:numId w:val="15"/>
              </w:numPr>
              <w:autoSpaceDE w:val="0"/>
              <w:autoSpaceDN w:val="0"/>
              <w:adjustRightInd w:val="0"/>
              <w:spacing w:line="276" w:lineRule="auto"/>
              <w:rPr>
                <w:rFonts w:ascii="Calibri" w:hAnsi="Calibri" w:cs="Calibri"/>
                <w:color w:val="000000" w:themeColor="text1"/>
                <w:sz w:val="24"/>
                <w:szCs w:val="24"/>
              </w:rPr>
            </w:pPr>
            <w:r w:rsidRPr="003723E4">
              <w:rPr>
                <w:rFonts w:ascii="Calibri" w:hAnsi="Calibri" w:cs="Calibri"/>
                <w:b/>
                <w:bCs/>
                <w:noProof/>
                <w:color w:val="000000" w:themeColor="text1"/>
                <w:sz w:val="24"/>
                <w:szCs w:val="24"/>
              </w:rPr>
              <w:t>HIQA. iNAP 2</w:t>
            </w:r>
            <w:r w:rsidRPr="003723E4">
              <w:rPr>
                <w:rFonts w:ascii="Calibri" w:hAnsi="Calibri" w:cs="Calibri"/>
                <w:noProof/>
                <w:color w:val="000000" w:themeColor="text1"/>
                <w:sz w:val="24"/>
                <w:szCs w:val="24"/>
              </w:rPr>
              <w:t xml:space="preserve"> </w:t>
            </w:r>
            <w:r w:rsidRPr="003723E4">
              <w:rPr>
                <w:rFonts w:ascii="Calibri" w:hAnsi="Calibri" w:cs="Calibri"/>
                <w:b/>
                <w:bCs/>
                <w:noProof/>
                <w:color w:val="000000" w:themeColor="text1"/>
                <w:sz w:val="24"/>
                <w:szCs w:val="24"/>
              </w:rPr>
              <w:t>SUBMISSION. Vol. 3. 2021</w:t>
            </w:r>
            <w:r w:rsidRPr="003723E4">
              <w:rPr>
                <w:rFonts w:ascii="Calibri" w:hAnsi="Calibri" w:cs="Calibri"/>
                <w:noProof/>
                <w:color w:val="000000" w:themeColor="text1"/>
                <w:sz w:val="24"/>
                <w:szCs w:val="24"/>
              </w:rPr>
              <w:t xml:space="preserve">  </w:t>
            </w:r>
            <w:r w:rsidR="007477FF" w:rsidRPr="003723E4">
              <w:rPr>
                <w:rFonts w:ascii="Calibri" w:hAnsi="Calibri" w:cs="Calibri"/>
                <w:noProof/>
                <w:color w:val="000000" w:themeColor="text1"/>
                <w:sz w:val="24"/>
                <w:szCs w:val="24"/>
              </w:rPr>
              <w:fldChar w:fldCharType="begin" w:fldLock="1"/>
            </w:r>
            <w:r w:rsidR="007C4111" w:rsidRPr="003723E4">
              <w:rPr>
                <w:rFonts w:ascii="Calibri" w:hAnsi="Calibri" w:cs="Calibri"/>
                <w:noProof/>
                <w:color w:val="000000" w:themeColor="text1"/>
                <w:sz w:val="24"/>
                <w:szCs w:val="24"/>
              </w:rPr>
              <w:instrText>ADDIN CSL_CITATION {"citationItems":[{"id":"ITEM-1","itemData":{"author":[{"dropping-particle":"","family":"Health Information and Quality(HIQA)","given":"","non-dropping-particle":"","parse-names":false,"suffix":""}],"id":"ITEM-1","issue":"2","issued":{"date-parts":[["2021"]]},"number-of-pages":"6","title":"Health Information Quality Authority -iNAP 2 Submission","type":"report","volume":"3"},"uris":["http://www.mendeley.com/documents/?uuid=0d182d9c-f8c0-4559-8c85-78d496e6b812"]}],"mendeley":{"formattedCitation":"(8)","plainTextFormattedCitation":"(8)","previouslyFormattedCitation":"(8)"},"properties":{"noteIndex":0},"schema":"https://github.com/citation-style-language/schema/raw/master/csl-citation.json"}</w:instrText>
            </w:r>
            <w:r w:rsidR="007477FF" w:rsidRPr="003723E4">
              <w:rPr>
                <w:rFonts w:ascii="Calibri" w:hAnsi="Calibri" w:cs="Calibri"/>
                <w:noProof/>
                <w:color w:val="000000" w:themeColor="text1"/>
                <w:sz w:val="24"/>
                <w:szCs w:val="24"/>
              </w:rPr>
              <w:fldChar w:fldCharType="separate"/>
            </w:r>
            <w:r w:rsidR="003723E4" w:rsidRPr="003723E4">
              <w:rPr>
                <w:rFonts w:ascii="Calibri" w:hAnsi="Calibri" w:cs="Calibri"/>
                <w:noProof/>
                <w:color w:val="000000" w:themeColor="text1"/>
                <w:sz w:val="24"/>
                <w:szCs w:val="24"/>
              </w:rPr>
              <w:t>[</w:t>
            </w:r>
            <w:r w:rsidR="007477FF" w:rsidRPr="003723E4">
              <w:rPr>
                <w:rFonts w:ascii="Calibri" w:hAnsi="Calibri" w:cs="Calibri"/>
                <w:noProof/>
                <w:color w:val="000000" w:themeColor="text1"/>
                <w:sz w:val="24"/>
                <w:szCs w:val="24"/>
              </w:rPr>
              <w:t>8</w:t>
            </w:r>
            <w:r w:rsidR="003723E4" w:rsidRPr="003723E4">
              <w:rPr>
                <w:rFonts w:ascii="Calibri" w:hAnsi="Calibri" w:cs="Calibri"/>
                <w:noProof/>
                <w:color w:val="000000" w:themeColor="text1"/>
                <w:sz w:val="24"/>
                <w:szCs w:val="24"/>
              </w:rPr>
              <w:t>]</w:t>
            </w:r>
            <w:r w:rsidR="007477FF" w:rsidRPr="003723E4">
              <w:rPr>
                <w:rFonts w:ascii="Calibri" w:hAnsi="Calibri" w:cs="Calibri"/>
                <w:noProof/>
                <w:color w:val="000000" w:themeColor="text1"/>
                <w:sz w:val="24"/>
                <w:szCs w:val="24"/>
              </w:rPr>
              <w:fldChar w:fldCharType="end"/>
            </w:r>
            <w:r w:rsidR="003723E4" w:rsidRPr="003723E4">
              <w:rPr>
                <w:rFonts w:ascii="Calibri" w:hAnsi="Calibri" w:cs="Calibri"/>
                <w:color w:val="000000" w:themeColor="text1"/>
                <w:sz w:val="24"/>
                <w:szCs w:val="24"/>
              </w:rPr>
              <w:t xml:space="preserve"> </w:t>
            </w:r>
          </w:p>
          <w:p w14:paraId="34848F64" w14:textId="30B2192D" w:rsidR="0059720B" w:rsidRPr="003723E4" w:rsidRDefault="0059720B" w:rsidP="00F75FA6">
            <w:pPr>
              <w:pStyle w:val="ListParagraph"/>
              <w:numPr>
                <w:ilvl w:val="0"/>
                <w:numId w:val="15"/>
              </w:numPr>
              <w:autoSpaceDE w:val="0"/>
              <w:autoSpaceDN w:val="0"/>
              <w:adjustRightInd w:val="0"/>
              <w:spacing w:line="276" w:lineRule="auto"/>
              <w:rPr>
                <w:rFonts w:ascii="Calibri" w:hAnsi="Calibri" w:cs="Calibri"/>
                <w:color w:val="000000" w:themeColor="text1"/>
                <w:sz w:val="24"/>
                <w:szCs w:val="24"/>
              </w:rPr>
            </w:pPr>
            <w:r w:rsidRPr="003723E4">
              <w:rPr>
                <w:rFonts w:ascii="Calibri" w:hAnsi="Calibri" w:cs="Calibri"/>
                <w:b/>
                <w:bCs/>
                <w:color w:val="000000" w:themeColor="text1"/>
                <w:sz w:val="24"/>
                <w:szCs w:val="24"/>
              </w:rPr>
              <w:t>Department of Health (2017).</w:t>
            </w:r>
            <w:r w:rsidRPr="003723E4">
              <w:rPr>
                <w:rFonts w:ascii="Calibri" w:hAnsi="Calibri" w:cs="Calibri"/>
                <w:color w:val="000000" w:themeColor="text1"/>
                <w:sz w:val="24"/>
                <w:szCs w:val="24"/>
              </w:rPr>
              <w:t xml:space="preserve"> Ireland’s National Action Plan on Antimicrobial Resistance 2017-2020. (</w:t>
            </w:r>
            <w:proofErr w:type="spellStart"/>
            <w:r w:rsidRPr="003723E4">
              <w:rPr>
                <w:rFonts w:ascii="Calibri" w:hAnsi="Calibri" w:cs="Calibri"/>
                <w:color w:val="000000" w:themeColor="text1"/>
                <w:sz w:val="24"/>
                <w:szCs w:val="24"/>
              </w:rPr>
              <w:t>iNAP</w:t>
            </w:r>
            <w:proofErr w:type="spellEnd"/>
            <w:r w:rsidRPr="003723E4">
              <w:rPr>
                <w:rFonts w:ascii="Calibri" w:hAnsi="Calibri" w:cs="Calibri"/>
                <w:color w:val="000000" w:themeColor="text1"/>
                <w:sz w:val="24"/>
                <w:szCs w:val="24"/>
              </w:rPr>
              <w:t xml:space="preserve">) </w:t>
            </w:r>
            <w:r w:rsidR="00534F3F" w:rsidRPr="003723E4">
              <w:rPr>
                <w:rFonts w:ascii="Calibri" w:hAnsi="Calibri" w:cs="Calibri"/>
                <w:color w:val="000000" w:themeColor="text1"/>
                <w:sz w:val="24"/>
                <w:szCs w:val="24"/>
              </w:rPr>
              <w:fldChar w:fldCharType="begin" w:fldLock="1"/>
            </w:r>
            <w:r w:rsidR="00534F3F" w:rsidRPr="003723E4">
              <w:rPr>
                <w:rFonts w:ascii="Calibri" w:hAnsi="Calibri" w:cs="Calibri"/>
                <w:color w:val="000000" w:themeColor="text1"/>
                <w:sz w:val="24"/>
                <w:szCs w:val="24"/>
              </w:rPr>
              <w:instrText>ADDIN CSL_CITATION {"citationItems":[{"id":"ITEM-1","itemData":{"id":"ITEM-1","issued":{"date-parts":[["2017"]]},"title":"Department of Health (2017). Ireland’s National Action Plan on Antimicrobial Resistance 2017-2020. (iNAP) Available at http://health.gov.ie/national-patient-safety-office/patient-safety-surveillance/antimicrobialresistance- amr/","type":"report"},"uris":["http://www.mendeley.com/documents/?uuid=ad52018e-cc34-45c4-9921-5eb07a628f95"]}],"mendeley":{"formattedCitation":"(15)","plainTextFormattedCitation":"(15)","previouslyFormattedCitation":"(15)"},"properties":{"noteIndex":0},"schema":"https://github.com/citation-style-language/schema/raw/master/csl-citation.json"}</w:instrText>
            </w:r>
            <w:r w:rsidR="00534F3F" w:rsidRPr="003723E4">
              <w:rPr>
                <w:rFonts w:ascii="Calibri" w:hAnsi="Calibri" w:cs="Calibri"/>
                <w:color w:val="000000" w:themeColor="text1"/>
                <w:sz w:val="24"/>
                <w:szCs w:val="24"/>
              </w:rPr>
              <w:fldChar w:fldCharType="separate"/>
            </w:r>
            <w:r w:rsidR="003723E4" w:rsidRPr="003723E4">
              <w:rPr>
                <w:rFonts w:ascii="Calibri" w:hAnsi="Calibri" w:cs="Calibri"/>
                <w:noProof/>
                <w:color w:val="000000" w:themeColor="text1"/>
                <w:sz w:val="24"/>
                <w:szCs w:val="24"/>
              </w:rPr>
              <w:t>[</w:t>
            </w:r>
            <w:r w:rsidR="00534F3F" w:rsidRPr="003723E4">
              <w:rPr>
                <w:rFonts w:ascii="Calibri" w:hAnsi="Calibri" w:cs="Calibri"/>
                <w:noProof/>
                <w:color w:val="000000" w:themeColor="text1"/>
                <w:sz w:val="24"/>
                <w:szCs w:val="24"/>
              </w:rPr>
              <w:t>15</w:t>
            </w:r>
            <w:r w:rsidR="003723E4" w:rsidRPr="003723E4">
              <w:rPr>
                <w:rFonts w:ascii="Calibri" w:hAnsi="Calibri" w:cs="Calibri"/>
                <w:noProof/>
                <w:color w:val="000000" w:themeColor="text1"/>
                <w:sz w:val="24"/>
                <w:szCs w:val="24"/>
              </w:rPr>
              <w:t>]</w:t>
            </w:r>
            <w:r w:rsidR="00534F3F" w:rsidRPr="003723E4">
              <w:rPr>
                <w:rFonts w:ascii="Calibri" w:hAnsi="Calibri" w:cs="Calibri"/>
                <w:color w:val="000000" w:themeColor="text1"/>
                <w:sz w:val="24"/>
                <w:szCs w:val="24"/>
              </w:rPr>
              <w:fldChar w:fldCharType="end"/>
            </w:r>
            <w:r w:rsidR="003723E4" w:rsidRPr="003723E4">
              <w:rPr>
                <w:rFonts w:ascii="Calibri" w:hAnsi="Calibri" w:cs="Calibri"/>
                <w:color w:val="000000" w:themeColor="text1"/>
                <w:sz w:val="24"/>
                <w:szCs w:val="24"/>
              </w:rPr>
              <w:t xml:space="preserve"> </w:t>
            </w:r>
          </w:p>
          <w:p w14:paraId="5C7DCB0A" w14:textId="4802A7B3" w:rsidR="0059720B" w:rsidRPr="003723E4" w:rsidRDefault="0059720B" w:rsidP="00F75FA6">
            <w:pPr>
              <w:pStyle w:val="ListParagraph"/>
              <w:numPr>
                <w:ilvl w:val="0"/>
                <w:numId w:val="15"/>
              </w:numPr>
              <w:spacing w:line="276" w:lineRule="auto"/>
              <w:rPr>
                <w:rFonts w:ascii="Calibri" w:hAnsi="Calibri" w:cs="Calibri"/>
                <w:color w:val="000000" w:themeColor="text1"/>
                <w:sz w:val="24"/>
                <w:szCs w:val="24"/>
              </w:rPr>
            </w:pPr>
            <w:r w:rsidRPr="003723E4">
              <w:rPr>
                <w:rFonts w:ascii="Calibri" w:hAnsi="Calibri" w:cs="Calibri"/>
                <w:b/>
                <w:bCs/>
                <w:color w:val="000000" w:themeColor="text1"/>
                <w:sz w:val="24"/>
                <w:szCs w:val="24"/>
              </w:rPr>
              <w:t>Health Information and Quality Authority (HIQA) (2018)</w:t>
            </w:r>
            <w:r w:rsidRPr="003723E4">
              <w:rPr>
                <w:rFonts w:ascii="Calibri" w:hAnsi="Calibri" w:cs="Calibri"/>
                <w:color w:val="000000" w:themeColor="text1"/>
                <w:sz w:val="24"/>
                <w:szCs w:val="24"/>
              </w:rPr>
              <w:t xml:space="preserve"> National Standards for infection prevention and control in community services. Dublin: HIQA </w:t>
            </w:r>
            <w:r w:rsidR="00534F3F" w:rsidRPr="003723E4">
              <w:rPr>
                <w:rFonts w:ascii="Calibri" w:hAnsi="Calibri" w:cs="Calibri"/>
                <w:color w:val="000000" w:themeColor="text1"/>
                <w:sz w:val="24"/>
                <w:szCs w:val="24"/>
              </w:rPr>
              <w:fldChar w:fldCharType="begin" w:fldLock="1"/>
            </w:r>
            <w:r w:rsidR="00534F3F" w:rsidRPr="003723E4">
              <w:rPr>
                <w:rFonts w:ascii="Calibri" w:hAnsi="Calibri" w:cs="Calibri"/>
                <w:color w:val="000000" w:themeColor="text1"/>
                <w:sz w:val="24"/>
                <w:szCs w:val="24"/>
              </w:rPr>
              <w:instrText>ADDIN CSL_CITATION {"citationItems":[{"id":"ITEM-1","itemData":{"ISBN":"0504523163","author":[{"dropping-particle":"","family":"Health Information and Quality Authority (HIQA)","given":"","non-dropping-particle":"","parse-names":false,"suffix":""}],"id":"ITEM-1","issue":"21","issued":{"date-parts":[["2018"]]},"number-of-pages":"1-9","title":"National Standards for infection prevention and control in community services.","type":"report"},"uris":["http://www.mendeley.com/documents/?uuid=961a001c-6690-4353-a64f-694be2317465"]}],"mendeley":{"formattedCitation":"(13)","plainTextFormattedCitation":"(13)","previouslyFormattedCitation":"(13)"},"properties":{"noteIndex":0},"schema":"https://github.com/citation-style-language/schema/raw/master/csl-citation.json"}</w:instrText>
            </w:r>
            <w:r w:rsidR="00534F3F" w:rsidRPr="003723E4">
              <w:rPr>
                <w:rFonts w:ascii="Calibri" w:hAnsi="Calibri" w:cs="Calibri"/>
                <w:color w:val="000000" w:themeColor="text1"/>
                <w:sz w:val="24"/>
                <w:szCs w:val="24"/>
              </w:rPr>
              <w:fldChar w:fldCharType="separate"/>
            </w:r>
            <w:r w:rsidR="003723E4" w:rsidRPr="003723E4">
              <w:rPr>
                <w:rFonts w:ascii="Calibri" w:hAnsi="Calibri" w:cs="Calibri"/>
                <w:noProof/>
                <w:color w:val="000000" w:themeColor="text1"/>
                <w:sz w:val="24"/>
                <w:szCs w:val="24"/>
              </w:rPr>
              <w:t>[</w:t>
            </w:r>
            <w:r w:rsidR="00534F3F" w:rsidRPr="003723E4">
              <w:rPr>
                <w:rFonts w:ascii="Calibri" w:hAnsi="Calibri" w:cs="Calibri"/>
                <w:noProof/>
                <w:color w:val="000000" w:themeColor="text1"/>
                <w:sz w:val="24"/>
                <w:szCs w:val="24"/>
              </w:rPr>
              <w:t>13</w:t>
            </w:r>
            <w:r w:rsidR="003723E4" w:rsidRPr="003723E4">
              <w:rPr>
                <w:rFonts w:ascii="Calibri" w:hAnsi="Calibri" w:cs="Calibri"/>
                <w:noProof/>
                <w:color w:val="000000" w:themeColor="text1"/>
                <w:sz w:val="24"/>
                <w:szCs w:val="24"/>
              </w:rPr>
              <w:t>]</w:t>
            </w:r>
            <w:r w:rsidR="00534F3F" w:rsidRPr="003723E4">
              <w:rPr>
                <w:rFonts w:ascii="Calibri" w:hAnsi="Calibri" w:cs="Calibri"/>
                <w:color w:val="000000" w:themeColor="text1"/>
                <w:sz w:val="24"/>
                <w:szCs w:val="24"/>
              </w:rPr>
              <w:fldChar w:fldCharType="end"/>
            </w:r>
            <w:r w:rsidR="003723E4" w:rsidRPr="003723E4">
              <w:rPr>
                <w:rFonts w:ascii="Calibri" w:hAnsi="Calibri" w:cs="Calibri"/>
                <w:color w:val="000000" w:themeColor="text1"/>
                <w:sz w:val="24"/>
                <w:szCs w:val="24"/>
              </w:rPr>
              <w:t xml:space="preserve"> </w:t>
            </w:r>
          </w:p>
        </w:tc>
      </w:tr>
      <w:tr w:rsidR="0059720B" w:rsidRPr="003723E4" w14:paraId="0E5DD604" w14:textId="77777777" w:rsidTr="0087653A">
        <w:tc>
          <w:tcPr>
            <w:tcW w:w="1271" w:type="dxa"/>
          </w:tcPr>
          <w:p w14:paraId="051195E8" w14:textId="6AC489D3" w:rsidR="0059720B" w:rsidRPr="003723E4" w:rsidRDefault="0059720B" w:rsidP="00DD6CA7">
            <w:pPr>
              <w:autoSpaceDE w:val="0"/>
              <w:autoSpaceDN w:val="0"/>
              <w:adjustRightInd w:val="0"/>
              <w:spacing w:line="276" w:lineRule="auto"/>
              <w:rPr>
                <w:rFonts w:ascii="Calibri" w:hAnsi="Calibri" w:cs="Calibri"/>
                <w:b/>
                <w:bCs/>
                <w:color w:val="000000" w:themeColor="text1"/>
                <w:sz w:val="24"/>
                <w:szCs w:val="24"/>
              </w:rPr>
            </w:pPr>
            <w:r w:rsidRPr="003723E4">
              <w:rPr>
                <w:rFonts w:ascii="Calibri" w:hAnsi="Calibri" w:cs="Calibri"/>
                <w:color w:val="000000" w:themeColor="text1"/>
                <w:sz w:val="24"/>
                <w:szCs w:val="24"/>
              </w:rPr>
              <w:t xml:space="preserve"> C</w:t>
            </w:r>
          </w:p>
        </w:tc>
        <w:tc>
          <w:tcPr>
            <w:tcW w:w="11907" w:type="dxa"/>
          </w:tcPr>
          <w:p w14:paraId="0EB09683" w14:textId="1C1BB270" w:rsidR="0059720B" w:rsidRPr="003723E4" w:rsidRDefault="0059720B" w:rsidP="00F75FA6">
            <w:pPr>
              <w:pStyle w:val="ListParagraph"/>
              <w:numPr>
                <w:ilvl w:val="0"/>
                <w:numId w:val="16"/>
              </w:numPr>
              <w:autoSpaceDE w:val="0"/>
              <w:autoSpaceDN w:val="0"/>
              <w:adjustRightInd w:val="0"/>
              <w:spacing w:line="276" w:lineRule="auto"/>
              <w:rPr>
                <w:rFonts w:ascii="Calibri" w:hAnsi="Calibri" w:cs="Calibri"/>
                <w:color w:val="000000" w:themeColor="text1"/>
                <w:sz w:val="24"/>
                <w:szCs w:val="24"/>
              </w:rPr>
            </w:pPr>
            <w:r w:rsidRPr="003723E4">
              <w:rPr>
                <w:rFonts w:ascii="Calibri" w:hAnsi="Calibri" w:cs="Calibri"/>
                <w:b/>
                <w:bCs/>
                <w:noProof/>
                <w:color w:val="000000" w:themeColor="text1"/>
                <w:sz w:val="24"/>
                <w:szCs w:val="24"/>
              </w:rPr>
              <w:t>HIQA. iNAP 2</w:t>
            </w:r>
            <w:r w:rsidRPr="003723E4">
              <w:rPr>
                <w:rFonts w:ascii="Calibri" w:hAnsi="Calibri" w:cs="Calibri"/>
                <w:noProof/>
                <w:color w:val="000000" w:themeColor="text1"/>
                <w:sz w:val="24"/>
                <w:szCs w:val="24"/>
              </w:rPr>
              <w:t xml:space="preserve"> </w:t>
            </w:r>
            <w:r w:rsidRPr="003723E4">
              <w:rPr>
                <w:rFonts w:ascii="Calibri" w:hAnsi="Calibri" w:cs="Calibri"/>
                <w:b/>
                <w:bCs/>
                <w:noProof/>
                <w:color w:val="000000" w:themeColor="text1"/>
                <w:sz w:val="24"/>
                <w:szCs w:val="24"/>
              </w:rPr>
              <w:t>SUBMISSION. Vol. 3. 2021</w:t>
            </w:r>
            <w:r w:rsidRPr="003723E4">
              <w:rPr>
                <w:rFonts w:ascii="Calibri" w:hAnsi="Calibri" w:cs="Calibri"/>
                <w:noProof/>
                <w:color w:val="000000" w:themeColor="text1"/>
                <w:sz w:val="24"/>
                <w:szCs w:val="24"/>
              </w:rPr>
              <w:t xml:space="preserve">  </w:t>
            </w:r>
            <w:r w:rsidR="007C4111" w:rsidRPr="003723E4">
              <w:rPr>
                <w:rFonts w:ascii="Calibri" w:hAnsi="Calibri" w:cs="Calibri"/>
                <w:noProof/>
                <w:color w:val="000000" w:themeColor="text1"/>
                <w:sz w:val="24"/>
                <w:szCs w:val="24"/>
              </w:rPr>
              <w:fldChar w:fldCharType="begin" w:fldLock="1"/>
            </w:r>
            <w:r w:rsidR="007C4111" w:rsidRPr="003723E4">
              <w:rPr>
                <w:rFonts w:ascii="Calibri" w:hAnsi="Calibri" w:cs="Calibri"/>
                <w:noProof/>
                <w:color w:val="000000" w:themeColor="text1"/>
                <w:sz w:val="24"/>
                <w:szCs w:val="24"/>
              </w:rPr>
              <w:instrText>ADDIN CSL_CITATION {"citationItems":[{"id":"ITEM-1","itemData":{"author":[{"dropping-particle":"","family":"Health Information and Quality(HIQA)","given":"","non-dropping-particle":"","parse-names":false,"suffix":""}],"id":"ITEM-1","issue":"2","issued":{"date-parts":[["2021"]]},"number-of-pages":"6","title":"Health Information Quality Authority -iNAP 2 Submission","type":"report","volume":"3"},"uris":["http://www.mendeley.com/documents/?uuid=0d182d9c-f8c0-4559-8c85-78d496e6b812"]}],"mendeley":{"formattedCitation":"(8)","plainTextFormattedCitation":"(8)","previouslyFormattedCitation":"(8)"},"properties":{"noteIndex":0},"schema":"https://github.com/citation-style-language/schema/raw/master/csl-citation.json"}</w:instrText>
            </w:r>
            <w:r w:rsidR="007C4111" w:rsidRPr="003723E4">
              <w:rPr>
                <w:rFonts w:ascii="Calibri" w:hAnsi="Calibri" w:cs="Calibri"/>
                <w:noProof/>
                <w:color w:val="000000" w:themeColor="text1"/>
                <w:sz w:val="24"/>
                <w:szCs w:val="24"/>
              </w:rPr>
              <w:fldChar w:fldCharType="separate"/>
            </w:r>
            <w:r w:rsidR="003723E4" w:rsidRPr="003723E4">
              <w:rPr>
                <w:rFonts w:ascii="Calibri" w:hAnsi="Calibri" w:cs="Calibri"/>
                <w:noProof/>
                <w:color w:val="000000" w:themeColor="text1"/>
                <w:sz w:val="24"/>
                <w:szCs w:val="24"/>
              </w:rPr>
              <w:t>[</w:t>
            </w:r>
            <w:r w:rsidR="007C4111" w:rsidRPr="003723E4">
              <w:rPr>
                <w:rFonts w:ascii="Calibri" w:hAnsi="Calibri" w:cs="Calibri"/>
                <w:noProof/>
                <w:color w:val="000000" w:themeColor="text1"/>
                <w:sz w:val="24"/>
                <w:szCs w:val="24"/>
              </w:rPr>
              <w:t>8</w:t>
            </w:r>
            <w:r w:rsidR="003723E4" w:rsidRPr="003723E4">
              <w:rPr>
                <w:rFonts w:ascii="Calibri" w:hAnsi="Calibri" w:cs="Calibri"/>
                <w:noProof/>
                <w:color w:val="000000" w:themeColor="text1"/>
                <w:sz w:val="24"/>
                <w:szCs w:val="24"/>
              </w:rPr>
              <w:t>]</w:t>
            </w:r>
            <w:r w:rsidR="007C4111" w:rsidRPr="003723E4">
              <w:rPr>
                <w:rFonts w:ascii="Calibri" w:hAnsi="Calibri" w:cs="Calibri"/>
                <w:noProof/>
                <w:color w:val="000000" w:themeColor="text1"/>
                <w:sz w:val="24"/>
                <w:szCs w:val="24"/>
              </w:rPr>
              <w:fldChar w:fldCharType="end"/>
            </w:r>
            <w:r w:rsidR="003723E4" w:rsidRPr="003723E4">
              <w:rPr>
                <w:rFonts w:ascii="Calibri" w:hAnsi="Calibri" w:cs="Calibri"/>
                <w:color w:val="000000" w:themeColor="text1"/>
                <w:sz w:val="24"/>
                <w:szCs w:val="24"/>
              </w:rPr>
              <w:t xml:space="preserve"> </w:t>
            </w:r>
          </w:p>
          <w:p w14:paraId="278AE008" w14:textId="1BC88554" w:rsidR="0059720B" w:rsidRPr="003723E4" w:rsidRDefault="0059720B" w:rsidP="00F75FA6">
            <w:pPr>
              <w:pStyle w:val="ListParagraph"/>
              <w:numPr>
                <w:ilvl w:val="0"/>
                <w:numId w:val="16"/>
              </w:numPr>
              <w:autoSpaceDE w:val="0"/>
              <w:autoSpaceDN w:val="0"/>
              <w:adjustRightInd w:val="0"/>
              <w:spacing w:line="276" w:lineRule="auto"/>
              <w:rPr>
                <w:rFonts w:ascii="Calibri" w:hAnsi="Calibri" w:cs="Calibri"/>
                <w:color w:val="000000" w:themeColor="text1"/>
                <w:sz w:val="24"/>
                <w:szCs w:val="24"/>
              </w:rPr>
            </w:pPr>
            <w:r w:rsidRPr="003723E4">
              <w:rPr>
                <w:rFonts w:ascii="Calibri" w:hAnsi="Calibri" w:cs="Calibri"/>
                <w:b/>
                <w:bCs/>
                <w:noProof/>
                <w:color w:val="000000" w:themeColor="text1"/>
                <w:sz w:val="24"/>
                <w:szCs w:val="24"/>
              </w:rPr>
              <w:t>Health Service Executive (HSE)</w:t>
            </w:r>
            <w:r w:rsidRPr="003723E4">
              <w:rPr>
                <w:rFonts w:ascii="Calibri" w:hAnsi="Calibri" w:cs="Calibri"/>
                <w:noProof/>
                <w:color w:val="000000" w:themeColor="text1"/>
                <w:sz w:val="24"/>
                <w:szCs w:val="24"/>
              </w:rPr>
              <w:t xml:space="preserve"> Quality Improvement Division. Quality Improvement Division. Recommendations for Implementation of Key Performance Indicators for Antimicrobial Stewardship in Acute Hospitals in Ireland . 2017. </w:t>
            </w:r>
            <w:r w:rsidR="00534F3F" w:rsidRPr="003723E4">
              <w:rPr>
                <w:rFonts w:ascii="Calibri" w:hAnsi="Calibri" w:cs="Calibri"/>
                <w:noProof/>
                <w:color w:val="000000" w:themeColor="text1"/>
                <w:sz w:val="24"/>
                <w:szCs w:val="24"/>
              </w:rPr>
              <w:fldChar w:fldCharType="begin" w:fldLock="1"/>
            </w:r>
            <w:r w:rsidR="005707BA" w:rsidRPr="003723E4">
              <w:rPr>
                <w:rFonts w:ascii="Calibri" w:hAnsi="Calibri" w:cs="Calibri"/>
                <w:noProof/>
                <w:color w:val="000000" w:themeColor="text1"/>
                <w:sz w:val="24"/>
                <w:szCs w:val="24"/>
              </w:rPr>
              <w:instrText>ADDIN CSL_CITATION {"citationItems":[{"id":"ITEM-1","itemData":{"author":[{"dropping-particle":"","family":"Health Service Executive (HSE) Quality Improvement Division.","given":"","non-dropping-particle":"","parse-names":false,"suffix":""}],"id":"ITEM-1","issued":{"date-parts":[["2017"]]},"title":"Quality Improvement Division. Recommendations for Implementation of Key Performance Indicators for Antimicrobial Stewardship in Acute Hospitals in Ireland . 2017","type":"report"},"uris":["http://www.mendeley.com/documents/?uuid=d5f1767e-8c10-4e8f-916a-3bc4549fad27"]}],"mendeley":{"formattedCitation":"(14)","plainTextFormattedCitation":"(14)","previouslyFormattedCitation":"(14)"},"properties":{"noteIndex":0},"schema":"https://github.com/citation-style-language/schema/raw/master/csl-citation.json"}</w:instrText>
            </w:r>
            <w:r w:rsidR="00534F3F" w:rsidRPr="003723E4">
              <w:rPr>
                <w:rFonts w:ascii="Calibri" w:hAnsi="Calibri" w:cs="Calibri"/>
                <w:noProof/>
                <w:color w:val="000000" w:themeColor="text1"/>
                <w:sz w:val="24"/>
                <w:szCs w:val="24"/>
              </w:rPr>
              <w:fldChar w:fldCharType="separate"/>
            </w:r>
            <w:r w:rsidR="003723E4" w:rsidRPr="003723E4">
              <w:rPr>
                <w:rFonts w:ascii="Calibri" w:hAnsi="Calibri" w:cs="Calibri"/>
                <w:noProof/>
                <w:color w:val="000000" w:themeColor="text1"/>
                <w:sz w:val="24"/>
                <w:szCs w:val="24"/>
              </w:rPr>
              <w:t>[</w:t>
            </w:r>
            <w:r w:rsidR="00534F3F" w:rsidRPr="003723E4">
              <w:rPr>
                <w:rFonts w:ascii="Calibri" w:hAnsi="Calibri" w:cs="Calibri"/>
                <w:noProof/>
                <w:color w:val="000000" w:themeColor="text1"/>
                <w:sz w:val="24"/>
                <w:szCs w:val="24"/>
              </w:rPr>
              <w:t>14</w:t>
            </w:r>
            <w:r w:rsidR="003723E4" w:rsidRPr="003723E4">
              <w:rPr>
                <w:rFonts w:ascii="Calibri" w:hAnsi="Calibri" w:cs="Calibri"/>
                <w:noProof/>
                <w:color w:val="000000" w:themeColor="text1"/>
                <w:sz w:val="24"/>
                <w:szCs w:val="24"/>
              </w:rPr>
              <w:t>]</w:t>
            </w:r>
            <w:r w:rsidR="00534F3F" w:rsidRPr="003723E4">
              <w:rPr>
                <w:rFonts w:ascii="Calibri" w:hAnsi="Calibri" w:cs="Calibri"/>
                <w:noProof/>
                <w:color w:val="000000" w:themeColor="text1"/>
                <w:sz w:val="24"/>
                <w:szCs w:val="24"/>
              </w:rPr>
              <w:fldChar w:fldCharType="end"/>
            </w:r>
            <w:r w:rsidR="003723E4" w:rsidRPr="003723E4">
              <w:rPr>
                <w:rFonts w:ascii="Calibri" w:hAnsi="Calibri" w:cs="Calibri"/>
                <w:color w:val="000000" w:themeColor="text1"/>
                <w:sz w:val="24"/>
                <w:szCs w:val="24"/>
              </w:rPr>
              <w:t xml:space="preserve"> </w:t>
            </w:r>
          </w:p>
          <w:p w14:paraId="15C14E7A" w14:textId="3D8E8224" w:rsidR="0059720B" w:rsidRPr="003723E4" w:rsidRDefault="0059720B" w:rsidP="00F75FA6">
            <w:pPr>
              <w:pStyle w:val="ListParagraph"/>
              <w:numPr>
                <w:ilvl w:val="0"/>
                <w:numId w:val="16"/>
              </w:numPr>
              <w:autoSpaceDE w:val="0"/>
              <w:autoSpaceDN w:val="0"/>
              <w:adjustRightInd w:val="0"/>
              <w:spacing w:line="276" w:lineRule="auto"/>
              <w:rPr>
                <w:rFonts w:ascii="Calibri" w:hAnsi="Calibri" w:cs="Calibri"/>
                <w:color w:val="000000" w:themeColor="text1"/>
                <w:sz w:val="24"/>
                <w:szCs w:val="24"/>
              </w:rPr>
            </w:pPr>
            <w:r w:rsidRPr="003723E4">
              <w:rPr>
                <w:rFonts w:ascii="Calibri" w:hAnsi="Calibri" w:cs="Calibri"/>
                <w:b/>
                <w:bCs/>
                <w:color w:val="000000" w:themeColor="text1"/>
                <w:sz w:val="24"/>
                <w:szCs w:val="24"/>
              </w:rPr>
              <w:t>Health Information and Quality Authority (HIQA) (2018)</w:t>
            </w:r>
            <w:r w:rsidRPr="003723E4">
              <w:rPr>
                <w:rFonts w:ascii="Calibri" w:hAnsi="Calibri" w:cs="Calibri"/>
                <w:color w:val="000000" w:themeColor="text1"/>
                <w:sz w:val="24"/>
                <w:szCs w:val="24"/>
              </w:rPr>
              <w:t xml:space="preserve"> National Standards for infection prevention and control in community services. Dublin: HIQA </w:t>
            </w:r>
            <w:r w:rsidR="00534F3F" w:rsidRPr="003723E4">
              <w:rPr>
                <w:rFonts w:ascii="Calibri" w:hAnsi="Calibri" w:cs="Calibri"/>
                <w:color w:val="000000" w:themeColor="text1"/>
                <w:sz w:val="24"/>
                <w:szCs w:val="24"/>
              </w:rPr>
              <w:fldChar w:fldCharType="begin" w:fldLock="1"/>
            </w:r>
            <w:r w:rsidR="00534F3F" w:rsidRPr="003723E4">
              <w:rPr>
                <w:rFonts w:ascii="Calibri" w:hAnsi="Calibri" w:cs="Calibri"/>
                <w:color w:val="000000" w:themeColor="text1"/>
                <w:sz w:val="24"/>
                <w:szCs w:val="24"/>
              </w:rPr>
              <w:instrText>ADDIN CSL_CITATION {"citationItems":[{"id":"ITEM-1","itemData":{"ISBN":"0504523163","author":[{"dropping-particle":"","family":"Health Information and Quality Authority (HIQA)","given":"","non-dropping-particle":"","parse-names":false,"suffix":""}],"id":"ITEM-1","issue":"21","issued":{"date-parts":[["2018"]]},"number-of-pages":"1-9","title":"National Standards for infection prevention and control in community services.","type":"report"},"uris":["http://www.mendeley.com/documents/?uuid=961a001c-6690-4353-a64f-694be2317465"]}],"mendeley":{"formattedCitation":"(13)","plainTextFormattedCitation":"(13)","previouslyFormattedCitation":"(13)"},"properties":{"noteIndex":0},"schema":"https://github.com/citation-style-language/schema/raw/master/csl-citation.json"}</w:instrText>
            </w:r>
            <w:r w:rsidR="00534F3F" w:rsidRPr="003723E4">
              <w:rPr>
                <w:rFonts w:ascii="Calibri" w:hAnsi="Calibri" w:cs="Calibri"/>
                <w:color w:val="000000" w:themeColor="text1"/>
                <w:sz w:val="24"/>
                <w:szCs w:val="24"/>
              </w:rPr>
              <w:fldChar w:fldCharType="separate"/>
            </w:r>
            <w:r w:rsidR="003723E4" w:rsidRPr="003723E4">
              <w:rPr>
                <w:rFonts w:ascii="Calibri" w:hAnsi="Calibri" w:cs="Calibri"/>
                <w:noProof/>
                <w:color w:val="000000" w:themeColor="text1"/>
                <w:sz w:val="24"/>
                <w:szCs w:val="24"/>
              </w:rPr>
              <w:t>[</w:t>
            </w:r>
            <w:r w:rsidR="00534F3F" w:rsidRPr="003723E4">
              <w:rPr>
                <w:rFonts w:ascii="Calibri" w:hAnsi="Calibri" w:cs="Calibri"/>
                <w:noProof/>
                <w:color w:val="000000" w:themeColor="text1"/>
                <w:sz w:val="24"/>
                <w:szCs w:val="24"/>
              </w:rPr>
              <w:t>13</w:t>
            </w:r>
            <w:r w:rsidR="003723E4" w:rsidRPr="003723E4">
              <w:rPr>
                <w:rFonts w:ascii="Calibri" w:hAnsi="Calibri" w:cs="Calibri"/>
                <w:noProof/>
                <w:color w:val="000000" w:themeColor="text1"/>
                <w:sz w:val="24"/>
                <w:szCs w:val="24"/>
              </w:rPr>
              <w:t>]</w:t>
            </w:r>
            <w:r w:rsidR="00534F3F" w:rsidRPr="003723E4">
              <w:rPr>
                <w:rFonts w:ascii="Calibri" w:hAnsi="Calibri" w:cs="Calibri"/>
                <w:color w:val="000000" w:themeColor="text1"/>
                <w:sz w:val="24"/>
                <w:szCs w:val="24"/>
              </w:rPr>
              <w:fldChar w:fldCharType="end"/>
            </w:r>
            <w:r w:rsidR="003723E4" w:rsidRPr="003723E4">
              <w:rPr>
                <w:rFonts w:ascii="Calibri" w:hAnsi="Calibri" w:cs="Calibri"/>
                <w:color w:val="000000" w:themeColor="text1"/>
                <w:sz w:val="24"/>
                <w:szCs w:val="24"/>
              </w:rPr>
              <w:t xml:space="preserve"> </w:t>
            </w:r>
          </w:p>
          <w:p w14:paraId="33EC614F" w14:textId="2BE60626" w:rsidR="0059720B" w:rsidRPr="003723E4" w:rsidRDefault="0059720B" w:rsidP="00F75FA6">
            <w:pPr>
              <w:pStyle w:val="ListParagraph"/>
              <w:numPr>
                <w:ilvl w:val="0"/>
                <w:numId w:val="16"/>
              </w:numPr>
              <w:autoSpaceDE w:val="0"/>
              <w:autoSpaceDN w:val="0"/>
              <w:adjustRightInd w:val="0"/>
              <w:spacing w:line="276" w:lineRule="auto"/>
              <w:rPr>
                <w:rFonts w:ascii="Calibri" w:hAnsi="Calibri" w:cs="Calibri"/>
                <w:color w:val="000000" w:themeColor="text1"/>
                <w:sz w:val="24"/>
                <w:szCs w:val="24"/>
              </w:rPr>
            </w:pPr>
            <w:r w:rsidRPr="003723E4">
              <w:rPr>
                <w:rFonts w:ascii="Calibri" w:hAnsi="Calibri" w:cs="Calibri"/>
                <w:b/>
                <w:bCs/>
                <w:color w:val="000000" w:themeColor="text1"/>
                <w:sz w:val="24"/>
                <w:szCs w:val="24"/>
              </w:rPr>
              <w:t>Health Protection Surveillance Centre:</w:t>
            </w:r>
            <w:r w:rsidRPr="003723E4">
              <w:rPr>
                <w:rFonts w:ascii="Calibri" w:hAnsi="Calibri" w:cs="Calibri"/>
                <w:color w:val="000000" w:themeColor="text1"/>
                <w:sz w:val="24"/>
                <w:szCs w:val="24"/>
              </w:rPr>
              <w:t xml:space="preserve"> 9.4 Antimicrobial Resistance (2016) </w:t>
            </w:r>
            <w:r w:rsidR="00534F3F" w:rsidRPr="003723E4">
              <w:rPr>
                <w:rFonts w:ascii="Calibri" w:hAnsi="Calibri" w:cs="Calibri"/>
                <w:color w:val="000000" w:themeColor="text1"/>
                <w:sz w:val="24"/>
                <w:szCs w:val="24"/>
              </w:rPr>
              <w:fldChar w:fldCharType="begin" w:fldLock="1"/>
            </w:r>
            <w:r w:rsidR="00534F3F" w:rsidRPr="003723E4">
              <w:rPr>
                <w:rFonts w:ascii="Calibri" w:hAnsi="Calibri" w:cs="Calibri"/>
                <w:color w:val="000000" w:themeColor="text1"/>
                <w:sz w:val="24"/>
                <w:szCs w:val="24"/>
              </w:rPr>
              <w:instrText>ADDIN CSL_CITATION {"citationItems":[{"id":"ITEM-1","itemData":{"author":[{"dropping-particle":"","family":"Health Protection Surveillance Centre (HPSC)","given":"","non-dropping-particle":"","parse-names":false,"suffix":""}],"id":"ITEM-1","issued":{"date-parts":[["2016"]]},"title":"Annual Epidemiology Report 9.4 Antimicrobial Resistance","type":"report"},"uris":["http://www.mendeley.com/documents/?uuid=65905d34-99d8-42ee-bca5-70b617f95088"]}],"mendeley":{"formattedCitation":"(46)","plainTextFormattedCitation":"(46)","previouslyFormattedCitation":"(46)"},"properties":{"noteIndex":0},"schema":"https://github.com/citation-style-language/schema/raw/master/csl-citation.json"}</w:instrText>
            </w:r>
            <w:r w:rsidR="00534F3F" w:rsidRPr="003723E4">
              <w:rPr>
                <w:rFonts w:ascii="Calibri" w:hAnsi="Calibri" w:cs="Calibri"/>
                <w:color w:val="000000" w:themeColor="text1"/>
                <w:sz w:val="24"/>
                <w:szCs w:val="24"/>
              </w:rPr>
              <w:fldChar w:fldCharType="separate"/>
            </w:r>
            <w:r w:rsidR="003723E4" w:rsidRPr="003723E4">
              <w:rPr>
                <w:rFonts w:ascii="Calibri" w:hAnsi="Calibri" w:cs="Calibri"/>
                <w:noProof/>
                <w:color w:val="000000" w:themeColor="text1"/>
                <w:sz w:val="24"/>
                <w:szCs w:val="24"/>
              </w:rPr>
              <w:t>[</w:t>
            </w:r>
            <w:r w:rsidR="00534F3F" w:rsidRPr="003723E4">
              <w:rPr>
                <w:rFonts w:ascii="Calibri" w:hAnsi="Calibri" w:cs="Calibri"/>
                <w:noProof/>
                <w:color w:val="000000" w:themeColor="text1"/>
                <w:sz w:val="24"/>
                <w:szCs w:val="24"/>
              </w:rPr>
              <w:t>46</w:t>
            </w:r>
            <w:r w:rsidR="003723E4" w:rsidRPr="003723E4">
              <w:rPr>
                <w:rFonts w:ascii="Calibri" w:hAnsi="Calibri" w:cs="Calibri"/>
                <w:noProof/>
                <w:color w:val="000000" w:themeColor="text1"/>
                <w:sz w:val="24"/>
                <w:szCs w:val="24"/>
              </w:rPr>
              <w:t>]</w:t>
            </w:r>
            <w:r w:rsidR="00534F3F" w:rsidRPr="003723E4">
              <w:rPr>
                <w:rFonts w:ascii="Calibri" w:hAnsi="Calibri" w:cs="Calibri"/>
                <w:color w:val="000000" w:themeColor="text1"/>
                <w:sz w:val="24"/>
                <w:szCs w:val="24"/>
              </w:rPr>
              <w:fldChar w:fldCharType="end"/>
            </w:r>
            <w:r w:rsidR="003723E4" w:rsidRPr="003723E4">
              <w:rPr>
                <w:rFonts w:ascii="Calibri" w:hAnsi="Calibri" w:cs="Calibri"/>
                <w:color w:val="000000" w:themeColor="text1"/>
                <w:sz w:val="24"/>
                <w:szCs w:val="24"/>
              </w:rPr>
              <w:t xml:space="preserve"> </w:t>
            </w:r>
          </w:p>
        </w:tc>
      </w:tr>
      <w:tr w:rsidR="0059720B" w:rsidRPr="004876A4" w14:paraId="6A8D987F" w14:textId="77777777" w:rsidTr="0087653A">
        <w:tc>
          <w:tcPr>
            <w:tcW w:w="1271" w:type="dxa"/>
          </w:tcPr>
          <w:p w14:paraId="40E8016A" w14:textId="0DDB8A7D" w:rsidR="0059720B" w:rsidRPr="003723E4" w:rsidRDefault="0059720B" w:rsidP="00DD6CA7">
            <w:pPr>
              <w:autoSpaceDE w:val="0"/>
              <w:autoSpaceDN w:val="0"/>
              <w:adjustRightInd w:val="0"/>
              <w:spacing w:line="276" w:lineRule="auto"/>
              <w:rPr>
                <w:rFonts w:ascii="Calibri" w:hAnsi="Calibri" w:cs="Calibri"/>
                <w:color w:val="000000" w:themeColor="text1"/>
                <w:sz w:val="24"/>
                <w:szCs w:val="24"/>
              </w:rPr>
            </w:pPr>
            <w:r w:rsidRPr="003723E4">
              <w:rPr>
                <w:rFonts w:ascii="Calibri" w:hAnsi="Calibri" w:cs="Calibri"/>
                <w:color w:val="000000" w:themeColor="text1"/>
                <w:sz w:val="24"/>
                <w:szCs w:val="24"/>
              </w:rPr>
              <w:t xml:space="preserve"> D</w:t>
            </w:r>
          </w:p>
        </w:tc>
        <w:tc>
          <w:tcPr>
            <w:tcW w:w="11907" w:type="dxa"/>
          </w:tcPr>
          <w:p w14:paraId="1F8B0E8F" w14:textId="040C0DB4" w:rsidR="0059720B" w:rsidRPr="003723E4" w:rsidRDefault="0059720B" w:rsidP="00F75FA6">
            <w:pPr>
              <w:pStyle w:val="ListParagraph"/>
              <w:numPr>
                <w:ilvl w:val="0"/>
                <w:numId w:val="17"/>
              </w:numPr>
              <w:autoSpaceDE w:val="0"/>
              <w:autoSpaceDN w:val="0"/>
              <w:adjustRightInd w:val="0"/>
              <w:spacing w:line="276" w:lineRule="auto"/>
              <w:rPr>
                <w:rFonts w:ascii="Calibri" w:hAnsi="Calibri" w:cs="Calibri"/>
                <w:color w:val="000000" w:themeColor="text1"/>
                <w:sz w:val="24"/>
                <w:szCs w:val="24"/>
              </w:rPr>
            </w:pPr>
            <w:r w:rsidRPr="003723E4">
              <w:rPr>
                <w:rFonts w:ascii="Calibri" w:hAnsi="Calibri" w:cs="Calibri"/>
                <w:b/>
                <w:bCs/>
                <w:noProof/>
                <w:color w:val="000000" w:themeColor="text1"/>
                <w:sz w:val="24"/>
                <w:szCs w:val="24"/>
              </w:rPr>
              <w:t>HIQA. iNAP 2</w:t>
            </w:r>
            <w:r w:rsidRPr="003723E4">
              <w:rPr>
                <w:rFonts w:ascii="Calibri" w:hAnsi="Calibri" w:cs="Calibri"/>
                <w:noProof/>
                <w:color w:val="000000" w:themeColor="text1"/>
                <w:sz w:val="24"/>
                <w:szCs w:val="24"/>
              </w:rPr>
              <w:t xml:space="preserve"> </w:t>
            </w:r>
            <w:r w:rsidRPr="003723E4">
              <w:rPr>
                <w:rFonts w:ascii="Calibri" w:hAnsi="Calibri" w:cs="Calibri"/>
                <w:b/>
                <w:bCs/>
                <w:noProof/>
                <w:color w:val="000000" w:themeColor="text1"/>
                <w:sz w:val="24"/>
                <w:szCs w:val="24"/>
              </w:rPr>
              <w:t>SUBMISSION. Vol. 3. 2021</w:t>
            </w:r>
            <w:r w:rsidRPr="003723E4">
              <w:rPr>
                <w:rFonts w:ascii="Calibri" w:hAnsi="Calibri" w:cs="Calibri"/>
                <w:noProof/>
                <w:color w:val="000000" w:themeColor="text1"/>
                <w:sz w:val="24"/>
                <w:szCs w:val="24"/>
              </w:rPr>
              <w:t xml:space="preserve">  </w:t>
            </w:r>
            <w:r w:rsidR="007C4111" w:rsidRPr="003723E4">
              <w:rPr>
                <w:rFonts w:ascii="Calibri" w:hAnsi="Calibri" w:cs="Calibri"/>
                <w:noProof/>
                <w:color w:val="000000" w:themeColor="text1"/>
                <w:sz w:val="24"/>
                <w:szCs w:val="24"/>
              </w:rPr>
              <w:fldChar w:fldCharType="begin" w:fldLock="1"/>
            </w:r>
            <w:r w:rsidR="00B65758" w:rsidRPr="003723E4">
              <w:rPr>
                <w:rFonts w:ascii="Calibri" w:hAnsi="Calibri" w:cs="Calibri"/>
                <w:noProof/>
                <w:color w:val="000000" w:themeColor="text1"/>
                <w:sz w:val="24"/>
                <w:szCs w:val="24"/>
              </w:rPr>
              <w:instrText>ADDIN CSL_CITATION {"citationItems":[{"id":"ITEM-1","itemData":{"author":[{"dropping-particle":"","family":"Health Information and Quality(HIQA)","given":"","non-dropping-particle":"","parse-names":false,"suffix":""}],"id":"ITEM-1","issue":"2","issued":{"date-parts":[["2021"]]},"number-of-pages":"6","title":"Health Information Quality Authority -iNAP 2 Submission","type":"report","volume":"3"},"uris":["http://www.mendeley.com/documents/?uuid=0d182d9c-f8c0-4559-8c85-78d496e6b812"]}],"mendeley":{"formattedCitation":"(8)","plainTextFormattedCitation":"(8)","previouslyFormattedCitation":"(8)"},"properties":{"noteIndex":0},"schema":"https://github.com/citation-style-language/schema/raw/master/csl-citation.json"}</w:instrText>
            </w:r>
            <w:r w:rsidR="007C4111" w:rsidRPr="003723E4">
              <w:rPr>
                <w:rFonts w:ascii="Calibri" w:hAnsi="Calibri" w:cs="Calibri"/>
                <w:noProof/>
                <w:color w:val="000000" w:themeColor="text1"/>
                <w:sz w:val="24"/>
                <w:szCs w:val="24"/>
              </w:rPr>
              <w:fldChar w:fldCharType="separate"/>
            </w:r>
            <w:r w:rsidR="003723E4" w:rsidRPr="003723E4">
              <w:rPr>
                <w:rFonts w:ascii="Calibri" w:hAnsi="Calibri" w:cs="Calibri"/>
                <w:noProof/>
                <w:color w:val="000000" w:themeColor="text1"/>
                <w:sz w:val="24"/>
                <w:szCs w:val="24"/>
              </w:rPr>
              <w:t>[</w:t>
            </w:r>
            <w:r w:rsidR="007C4111" w:rsidRPr="003723E4">
              <w:rPr>
                <w:rFonts w:ascii="Calibri" w:hAnsi="Calibri" w:cs="Calibri"/>
                <w:noProof/>
                <w:color w:val="000000" w:themeColor="text1"/>
                <w:sz w:val="24"/>
                <w:szCs w:val="24"/>
              </w:rPr>
              <w:t>8</w:t>
            </w:r>
            <w:r w:rsidR="003723E4" w:rsidRPr="003723E4">
              <w:rPr>
                <w:rFonts w:ascii="Calibri" w:hAnsi="Calibri" w:cs="Calibri"/>
                <w:noProof/>
                <w:color w:val="000000" w:themeColor="text1"/>
                <w:sz w:val="24"/>
                <w:szCs w:val="24"/>
              </w:rPr>
              <w:t>]</w:t>
            </w:r>
            <w:r w:rsidR="007C4111" w:rsidRPr="003723E4">
              <w:rPr>
                <w:rFonts w:ascii="Calibri" w:hAnsi="Calibri" w:cs="Calibri"/>
                <w:noProof/>
                <w:color w:val="000000" w:themeColor="text1"/>
                <w:sz w:val="24"/>
                <w:szCs w:val="24"/>
              </w:rPr>
              <w:fldChar w:fldCharType="end"/>
            </w:r>
            <w:r w:rsidR="003723E4" w:rsidRPr="003723E4">
              <w:rPr>
                <w:rFonts w:ascii="Calibri" w:hAnsi="Calibri" w:cs="Calibri"/>
                <w:color w:val="000000" w:themeColor="text1"/>
                <w:sz w:val="24"/>
                <w:szCs w:val="24"/>
              </w:rPr>
              <w:t xml:space="preserve"> </w:t>
            </w:r>
          </w:p>
          <w:p w14:paraId="34BA4FA1" w14:textId="26E502ED" w:rsidR="0059720B" w:rsidRPr="003723E4" w:rsidRDefault="0059720B" w:rsidP="00F75FA6">
            <w:pPr>
              <w:pStyle w:val="ListParagraph"/>
              <w:numPr>
                <w:ilvl w:val="0"/>
                <w:numId w:val="17"/>
              </w:numPr>
              <w:autoSpaceDE w:val="0"/>
              <w:autoSpaceDN w:val="0"/>
              <w:adjustRightInd w:val="0"/>
              <w:spacing w:line="276" w:lineRule="auto"/>
              <w:rPr>
                <w:rFonts w:ascii="Calibri" w:hAnsi="Calibri" w:cs="Calibri"/>
                <w:color w:val="000000" w:themeColor="text1"/>
                <w:sz w:val="24"/>
                <w:szCs w:val="24"/>
              </w:rPr>
            </w:pPr>
            <w:r w:rsidRPr="003723E4">
              <w:rPr>
                <w:rFonts w:ascii="Calibri" w:hAnsi="Calibri" w:cs="Calibri"/>
                <w:b/>
                <w:bCs/>
                <w:color w:val="000000" w:themeColor="text1"/>
                <w:sz w:val="24"/>
                <w:szCs w:val="24"/>
              </w:rPr>
              <w:t>Health Information and Quality Authority (HIQA) (2018)</w:t>
            </w:r>
            <w:r w:rsidRPr="003723E4">
              <w:rPr>
                <w:rFonts w:ascii="Calibri" w:hAnsi="Calibri" w:cs="Calibri"/>
                <w:color w:val="000000" w:themeColor="text1"/>
                <w:sz w:val="24"/>
                <w:szCs w:val="24"/>
              </w:rPr>
              <w:t xml:space="preserve"> National Standards for infection prevention and control in community services. Dublin: HIQA </w:t>
            </w:r>
            <w:r w:rsidR="00534F3F" w:rsidRPr="003723E4">
              <w:rPr>
                <w:rFonts w:ascii="Calibri" w:hAnsi="Calibri" w:cs="Calibri"/>
                <w:color w:val="000000" w:themeColor="text1"/>
                <w:sz w:val="24"/>
                <w:szCs w:val="24"/>
              </w:rPr>
              <w:fldChar w:fldCharType="begin" w:fldLock="1"/>
            </w:r>
            <w:r w:rsidR="00534F3F" w:rsidRPr="003723E4">
              <w:rPr>
                <w:rFonts w:ascii="Calibri" w:hAnsi="Calibri" w:cs="Calibri"/>
                <w:color w:val="000000" w:themeColor="text1"/>
                <w:sz w:val="24"/>
                <w:szCs w:val="24"/>
              </w:rPr>
              <w:instrText>ADDIN CSL_CITATION {"citationItems":[{"id":"ITEM-1","itemData":{"ISBN":"0504523163","author":[{"dropping-particle":"","family":"Health Information and Quality Authority (HIQA)","given":"","non-dropping-particle":"","parse-names":false,"suffix":""}],"id":"ITEM-1","issue":"21","issued":{"date-parts":[["2018"]]},"number-of-pages":"1-9","title":"National Standards for infection prevention and control in community services.","type":"report"},"uris":["http://www.mendeley.com/documents/?uuid=961a001c-6690-4353-a64f-694be2317465"]}],"mendeley":{"formattedCitation":"(13)","plainTextFormattedCitation":"(13)","previouslyFormattedCitation":"(13)"},"properties":{"noteIndex":0},"schema":"https://github.com/citation-style-language/schema/raw/master/csl-citation.json"}</w:instrText>
            </w:r>
            <w:r w:rsidR="00534F3F" w:rsidRPr="003723E4">
              <w:rPr>
                <w:rFonts w:ascii="Calibri" w:hAnsi="Calibri" w:cs="Calibri"/>
                <w:color w:val="000000" w:themeColor="text1"/>
                <w:sz w:val="24"/>
                <w:szCs w:val="24"/>
              </w:rPr>
              <w:fldChar w:fldCharType="separate"/>
            </w:r>
            <w:r w:rsidR="003723E4" w:rsidRPr="003723E4">
              <w:rPr>
                <w:rFonts w:ascii="Calibri" w:hAnsi="Calibri" w:cs="Calibri"/>
                <w:noProof/>
                <w:color w:val="000000" w:themeColor="text1"/>
                <w:sz w:val="24"/>
                <w:szCs w:val="24"/>
              </w:rPr>
              <w:t>[</w:t>
            </w:r>
            <w:r w:rsidR="00534F3F" w:rsidRPr="003723E4">
              <w:rPr>
                <w:rFonts w:ascii="Calibri" w:hAnsi="Calibri" w:cs="Calibri"/>
                <w:noProof/>
                <w:color w:val="000000" w:themeColor="text1"/>
                <w:sz w:val="24"/>
                <w:szCs w:val="24"/>
              </w:rPr>
              <w:t>13</w:t>
            </w:r>
            <w:r w:rsidR="003723E4" w:rsidRPr="003723E4">
              <w:rPr>
                <w:rFonts w:ascii="Calibri" w:hAnsi="Calibri" w:cs="Calibri"/>
                <w:noProof/>
                <w:color w:val="000000" w:themeColor="text1"/>
                <w:sz w:val="24"/>
                <w:szCs w:val="24"/>
              </w:rPr>
              <w:t>]</w:t>
            </w:r>
            <w:r w:rsidR="00534F3F" w:rsidRPr="003723E4">
              <w:rPr>
                <w:rFonts w:ascii="Calibri" w:hAnsi="Calibri" w:cs="Calibri"/>
                <w:color w:val="000000" w:themeColor="text1"/>
                <w:sz w:val="24"/>
                <w:szCs w:val="24"/>
              </w:rPr>
              <w:fldChar w:fldCharType="end"/>
            </w:r>
            <w:r w:rsidR="003723E4" w:rsidRPr="003723E4">
              <w:rPr>
                <w:rFonts w:ascii="Calibri" w:hAnsi="Calibri" w:cs="Calibri"/>
                <w:color w:val="000000" w:themeColor="text1"/>
                <w:sz w:val="24"/>
                <w:szCs w:val="24"/>
              </w:rPr>
              <w:t xml:space="preserve"> </w:t>
            </w:r>
          </w:p>
        </w:tc>
      </w:tr>
    </w:tbl>
    <w:p w14:paraId="517D21AC" w14:textId="77777777" w:rsidR="00A020F5" w:rsidRDefault="00A020F5">
      <w:pPr>
        <w:rPr>
          <w:lang w:val="en-US"/>
        </w:rPr>
        <w:sectPr w:rsidR="00A020F5" w:rsidSect="00A020F5">
          <w:pgSz w:w="11906" w:h="16838"/>
          <w:pgMar w:top="1440" w:right="1440" w:bottom="1440" w:left="1440" w:header="709" w:footer="709" w:gutter="0"/>
          <w:cols w:space="708"/>
          <w:docGrid w:linePitch="360"/>
        </w:sectPr>
      </w:pPr>
    </w:p>
    <w:p w14:paraId="3844BA4C" w14:textId="56E3DD0F" w:rsidR="0059720B" w:rsidRPr="00555898" w:rsidRDefault="00AC210C" w:rsidP="00555898">
      <w:pPr>
        <w:spacing w:line="480" w:lineRule="auto"/>
        <w:rPr>
          <w:rFonts w:ascii="Calibri" w:hAnsi="Calibri" w:cs="Calibri"/>
          <w:b/>
          <w:bCs/>
          <w:color w:val="FF0000"/>
          <w:sz w:val="24"/>
          <w:szCs w:val="24"/>
          <w:lang w:val="en-US"/>
        </w:rPr>
      </w:pPr>
      <w:r w:rsidRPr="00555898">
        <w:rPr>
          <w:rFonts w:ascii="Calibri" w:hAnsi="Calibri" w:cs="Calibri"/>
          <w:b/>
          <w:bCs/>
          <w:sz w:val="24"/>
          <w:szCs w:val="24"/>
          <w:lang w:val="en-US"/>
        </w:rPr>
        <w:lastRenderedPageBreak/>
        <w:t>References</w:t>
      </w:r>
      <w:r w:rsidRPr="00555898">
        <w:rPr>
          <w:rFonts w:ascii="Calibri" w:hAnsi="Calibri" w:cs="Calibri"/>
          <w:sz w:val="24"/>
          <w:szCs w:val="24"/>
          <w:lang w:val="en-US"/>
        </w:rPr>
        <w:t xml:space="preserve"> </w:t>
      </w:r>
      <w:r w:rsidR="005707BA" w:rsidRPr="00555898">
        <w:rPr>
          <w:rFonts w:ascii="Calibri" w:hAnsi="Calibri" w:cs="Calibri"/>
          <w:sz w:val="24"/>
          <w:szCs w:val="24"/>
          <w:lang w:val="en-US"/>
        </w:rPr>
        <w:t xml:space="preserve">  </w:t>
      </w:r>
    </w:p>
    <w:p w14:paraId="595F2778" w14:textId="5E5C2A9E"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b/>
          <w:bCs/>
          <w:color w:val="FF0000"/>
          <w:sz w:val="24"/>
          <w:szCs w:val="24"/>
          <w:lang w:val="en-US"/>
        </w:rPr>
        <w:fldChar w:fldCharType="begin" w:fldLock="1"/>
      </w:r>
      <w:r w:rsidRPr="00555898">
        <w:rPr>
          <w:rFonts w:ascii="Calibri" w:hAnsi="Calibri" w:cs="Calibri"/>
          <w:b/>
          <w:bCs/>
          <w:color w:val="FF0000"/>
          <w:sz w:val="24"/>
          <w:szCs w:val="24"/>
          <w:lang w:val="en-US"/>
        </w:rPr>
        <w:instrText xml:space="preserve">ADDIN Mendeley Bibliography CSL_BIBLIOGRAPHY </w:instrText>
      </w:r>
      <w:r w:rsidRPr="00555898">
        <w:rPr>
          <w:rFonts w:ascii="Calibri" w:hAnsi="Calibri" w:cs="Calibri"/>
          <w:b/>
          <w:bCs/>
          <w:color w:val="FF0000"/>
          <w:sz w:val="24"/>
          <w:szCs w:val="24"/>
          <w:lang w:val="en-US"/>
        </w:rPr>
        <w:fldChar w:fldCharType="separate"/>
      </w:r>
      <w:r w:rsidRPr="00555898">
        <w:rPr>
          <w:rFonts w:ascii="Calibri" w:hAnsi="Calibri" w:cs="Calibri"/>
          <w:noProof/>
          <w:kern w:val="0"/>
          <w:sz w:val="24"/>
          <w:szCs w:val="24"/>
        </w:rPr>
        <w:t xml:space="preserve">1. </w:t>
      </w:r>
      <w:r w:rsidRPr="00555898">
        <w:rPr>
          <w:rFonts w:ascii="Calibri" w:hAnsi="Calibri" w:cs="Calibri"/>
          <w:noProof/>
          <w:kern w:val="0"/>
          <w:sz w:val="24"/>
          <w:szCs w:val="24"/>
        </w:rPr>
        <w:tab/>
        <w:t xml:space="preserve">Health Protection Surveillance Centre: SARI Hospital Antimicrobial Stewardship Working Group: Guidelines for Antimicrobial Stewardship in hospitals in Ireland. Dublin: Health Protection Surveillance Centre, 2009. </w:t>
      </w:r>
    </w:p>
    <w:p w14:paraId="327A0F1F"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2. </w:t>
      </w:r>
      <w:r w:rsidRPr="00555898">
        <w:rPr>
          <w:rFonts w:ascii="Calibri" w:hAnsi="Calibri" w:cs="Calibri"/>
          <w:noProof/>
          <w:kern w:val="0"/>
          <w:sz w:val="24"/>
          <w:szCs w:val="24"/>
        </w:rPr>
        <w:tab/>
        <w:t xml:space="preserve">Fleming A, Tonna A, O’Connor S, Byrne S, Stewart D. A cross-sectional survey of the profile and activities of Antimicrobial Management Teams in Irish Hospitals. Int J Clin Pharm. 2014;36(2):377–83. </w:t>
      </w:r>
    </w:p>
    <w:p w14:paraId="0FA2DAA7"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3. </w:t>
      </w:r>
      <w:r w:rsidRPr="00555898">
        <w:rPr>
          <w:rFonts w:ascii="Calibri" w:hAnsi="Calibri" w:cs="Calibri"/>
          <w:noProof/>
          <w:kern w:val="0"/>
          <w:sz w:val="24"/>
          <w:szCs w:val="24"/>
        </w:rPr>
        <w:tab/>
        <w:t xml:space="preserve">Fleming A, Tonna A, O’Connor S, Byrne S, Stewart D. Antimicrobial stewardship activities in hospitals in Ireland and the United Kingdom: a comparison of two national surveys. Int J Clin Pharm. 2015 Oct 1;37(5):776–81. </w:t>
      </w:r>
    </w:p>
    <w:p w14:paraId="75AAE998"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4. </w:t>
      </w:r>
      <w:r w:rsidRPr="00555898">
        <w:rPr>
          <w:rFonts w:ascii="Calibri" w:hAnsi="Calibri" w:cs="Calibri"/>
          <w:noProof/>
          <w:kern w:val="0"/>
          <w:sz w:val="24"/>
          <w:szCs w:val="24"/>
        </w:rPr>
        <w:tab/>
        <w:t xml:space="preserve">Martin E, Philbin M, Hughes G, Bergin C, Fe Talento A. Antimicrobial stewardship challenges and innovative initiatives in the acute hospital setting during the COVID-19 pandemic. J Antimicrob Chemother. 2021;76(1):272–5. </w:t>
      </w:r>
    </w:p>
    <w:p w14:paraId="38D05D83"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5. </w:t>
      </w:r>
      <w:r w:rsidRPr="00555898">
        <w:rPr>
          <w:rFonts w:ascii="Calibri" w:hAnsi="Calibri" w:cs="Calibri"/>
          <w:noProof/>
          <w:kern w:val="0"/>
          <w:sz w:val="24"/>
          <w:szCs w:val="24"/>
        </w:rPr>
        <w:tab/>
        <w:t xml:space="preserve">O’Sullivan CE. Antimicrobial stewardship failure: Time for a new model. J Antimicrob Chemother. 2020 May 1;75(5):1087–90. </w:t>
      </w:r>
    </w:p>
    <w:p w14:paraId="2CA036A5"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6. </w:t>
      </w:r>
      <w:r w:rsidRPr="00555898">
        <w:rPr>
          <w:rFonts w:ascii="Calibri" w:hAnsi="Calibri" w:cs="Calibri"/>
          <w:noProof/>
          <w:kern w:val="0"/>
          <w:sz w:val="24"/>
          <w:szCs w:val="24"/>
        </w:rPr>
        <w:tab/>
        <w:t xml:space="preserve">Plachouras D, Kärki T, Hansen S, Hopkins S, Lyytikäinen O, Moro ML, et al. Antimicrobial use in european acute care hospitals: Results from the second point prevalence survey (PPS) of healthcare-associated infections and antimicrobial use, 2016 to 2017. Eurosurveillance. 2018;23(46). </w:t>
      </w:r>
    </w:p>
    <w:p w14:paraId="195D196E"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7. </w:t>
      </w:r>
      <w:r w:rsidRPr="00555898">
        <w:rPr>
          <w:rFonts w:ascii="Calibri" w:hAnsi="Calibri" w:cs="Calibri"/>
          <w:noProof/>
          <w:kern w:val="0"/>
          <w:sz w:val="24"/>
          <w:szCs w:val="24"/>
        </w:rPr>
        <w:tab/>
        <w:t xml:space="preserve">Stevens NT, Bruen C, Boland F, Pawlikowska T, Fitzpatrick F, Humphreys H. Is online case-based learning effective in helping undergraduate medical students choose the appropriate antibiotics to treat important infections? JAC-Antimicrobial Resist. </w:t>
      </w:r>
      <w:r w:rsidRPr="00555898">
        <w:rPr>
          <w:rFonts w:ascii="Calibri" w:hAnsi="Calibri" w:cs="Calibri"/>
          <w:noProof/>
          <w:kern w:val="0"/>
          <w:sz w:val="24"/>
          <w:szCs w:val="24"/>
        </w:rPr>
        <w:lastRenderedPageBreak/>
        <w:t xml:space="preserve">2019;1(3):1–7. </w:t>
      </w:r>
    </w:p>
    <w:p w14:paraId="23A5615C"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8. </w:t>
      </w:r>
      <w:r w:rsidRPr="00555898">
        <w:rPr>
          <w:rFonts w:ascii="Calibri" w:hAnsi="Calibri" w:cs="Calibri"/>
          <w:noProof/>
          <w:kern w:val="0"/>
          <w:sz w:val="24"/>
          <w:szCs w:val="24"/>
        </w:rPr>
        <w:tab/>
        <w:t xml:space="preserve">Health Information and Quality(HIQA). Health Information Quality Authority -iNAP 2 Submission. Vol. 3. 2021. </w:t>
      </w:r>
    </w:p>
    <w:p w14:paraId="1A94DC71"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9. </w:t>
      </w:r>
      <w:r w:rsidRPr="00555898">
        <w:rPr>
          <w:rFonts w:ascii="Calibri" w:hAnsi="Calibri" w:cs="Calibri"/>
          <w:noProof/>
          <w:kern w:val="0"/>
          <w:sz w:val="24"/>
          <w:szCs w:val="24"/>
        </w:rPr>
        <w:tab/>
        <w:t xml:space="preserve">Government of Ireland (2021). Ireland’s One Health National Action Plan on Antimicrobial Resistance 2021 –2025 (known as iNAP2). Available at https://www.gov.ie/en/publication/d72f1-joint-action-on-antimicrobial-resistance/ www.gov.ie/amr. </w:t>
      </w:r>
    </w:p>
    <w:p w14:paraId="5BD9A29B"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10. </w:t>
      </w:r>
      <w:r w:rsidRPr="00555898">
        <w:rPr>
          <w:rFonts w:ascii="Calibri" w:hAnsi="Calibri" w:cs="Calibri"/>
          <w:noProof/>
          <w:kern w:val="0"/>
          <w:sz w:val="24"/>
          <w:szCs w:val="24"/>
        </w:rPr>
        <w:tab/>
        <w:t xml:space="preserve">Health Service Executive (HSE). Health Service Executive (2021). Health Service Executive 2022-2025 AMRIC Action Plan Available at https://bit.ly/3nWROS7. 2022. </w:t>
      </w:r>
    </w:p>
    <w:p w14:paraId="4740000E"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11. </w:t>
      </w:r>
      <w:r w:rsidRPr="00555898">
        <w:rPr>
          <w:rFonts w:ascii="Calibri" w:hAnsi="Calibri" w:cs="Calibri"/>
          <w:noProof/>
          <w:kern w:val="0"/>
          <w:sz w:val="24"/>
          <w:szCs w:val="24"/>
        </w:rPr>
        <w:tab/>
        <w:t xml:space="preserve">EUROPEAN COMMISSION DIRECTORATE-GENERAL FOR HEALTH AND FOOD SAFETY. European Centre for Disease Prevention and Control. Final Joint Report in respect of a One Health Country Visit to Ireland from 07 October 2019 to 11 October 2019 to discuss policies relating to Antimicrobial Resistance. (2020). 2020. </w:t>
      </w:r>
    </w:p>
    <w:p w14:paraId="7D4EFA90"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12. </w:t>
      </w:r>
      <w:r w:rsidRPr="00555898">
        <w:rPr>
          <w:rFonts w:ascii="Calibri" w:hAnsi="Calibri" w:cs="Calibri"/>
          <w:noProof/>
          <w:kern w:val="0"/>
          <w:sz w:val="24"/>
          <w:szCs w:val="24"/>
        </w:rPr>
        <w:tab/>
        <w:t xml:space="preserve">HSE Antimicrobial Resistance and Infection Control Team (AMRIC). Performance Assurance Process for key Performance Indicators For HCAI AMR in Acute Hospitals. 2018. 2018. </w:t>
      </w:r>
    </w:p>
    <w:p w14:paraId="59EF7294"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13. </w:t>
      </w:r>
      <w:r w:rsidRPr="00555898">
        <w:rPr>
          <w:rFonts w:ascii="Calibri" w:hAnsi="Calibri" w:cs="Calibri"/>
          <w:noProof/>
          <w:kern w:val="0"/>
          <w:sz w:val="24"/>
          <w:szCs w:val="24"/>
        </w:rPr>
        <w:tab/>
        <w:t xml:space="preserve">Health Information and Quality Authority (HIQA). National Standards for infection prevention and control in community services. 2018. </w:t>
      </w:r>
    </w:p>
    <w:p w14:paraId="520B72CD"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14. </w:t>
      </w:r>
      <w:r w:rsidRPr="00555898">
        <w:rPr>
          <w:rFonts w:ascii="Calibri" w:hAnsi="Calibri" w:cs="Calibri"/>
          <w:noProof/>
          <w:kern w:val="0"/>
          <w:sz w:val="24"/>
          <w:szCs w:val="24"/>
        </w:rPr>
        <w:tab/>
        <w:t xml:space="preserve">Health Service Executive (HSE) Quality Improvement Division. Quality Improvement Division. Recommendations for Implementation of Key Performance Indicators for Antimicrobial Stewardship in Acute Hospitals in Ireland . 2017. 2017. </w:t>
      </w:r>
    </w:p>
    <w:p w14:paraId="1C4016EA"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15. </w:t>
      </w:r>
      <w:r w:rsidRPr="00555898">
        <w:rPr>
          <w:rFonts w:ascii="Calibri" w:hAnsi="Calibri" w:cs="Calibri"/>
          <w:noProof/>
          <w:kern w:val="0"/>
          <w:sz w:val="24"/>
          <w:szCs w:val="24"/>
        </w:rPr>
        <w:tab/>
        <w:t xml:space="preserve">Department of Health (2017). Ireland’s National Action Plan on Antimicrobial </w:t>
      </w:r>
      <w:r w:rsidRPr="00555898">
        <w:rPr>
          <w:rFonts w:ascii="Calibri" w:hAnsi="Calibri" w:cs="Calibri"/>
          <w:noProof/>
          <w:kern w:val="0"/>
          <w:sz w:val="24"/>
          <w:szCs w:val="24"/>
        </w:rPr>
        <w:lastRenderedPageBreak/>
        <w:t xml:space="preserve">Resistance 2017-2020. (iNAP) Available at http://health.gov.ie/national-patient-safety-office/patient-safety-surveillance/antimicrobialresistance- amr/. 2017. </w:t>
      </w:r>
    </w:p>
    <w:p w14:paraId="61BBCCD2"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16. </w:t>
      </w:r>
      <w:r w:rsidRPr="00555898">
        <w:rPr>
          <w:rFonts w:ascii="Calibri" w:hAnsi="Calibri" w:cs="Calibri"/>
          <w:noProof/>
          <w:kern w:val="0"/>
          <w:sz w:val="24"/>
          <w:szCs w:val="24"/>
        </w:rPr>
        <w:tab/>
        <w:t xml:space="preserve">Health Information and Quality Authority(HIQA). National Standards for the prevention and control of healthcare-associated infections in acute healthcare services. 2017. </w:t>
      </w:r>
    </w:p>
    <w:p w14:paraId="7CAD8EDE"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17. </w:t>
      </w:r>
      <w:r w:rsidRPr="00555898">
        <w:rPr>
          <w:rFonts w:ascii="Calibri" w:hAnsi="Calibri" w:cs="Calibri"/>
          <w:noProof/>
          <w:kern w:val="0"/>
          <w:sz w:val="24"/>
          <w:szCs w:val="24"/>
        </w:rPr>
        <w:tab/>
        <w:t xml:space="preserve">Health Information and Quality Authority (HIQA). Report of the review of antimicrobial stewardship in public acute hospitals. 2016. </w:t>
      </w:r>
    </w:p>
    <w:p w14:paraId="294EE125"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18. </w:t>
      </w:r>
      <w:r w:rsidRPr="00555898">
        <w:rPr>
          <w:rFonts w:ascii="Calibri" w:hAnsi="Calibri" w:cs="Calibri"/>
          <w:noProof/>
          <w:kern w:val="0"/>
          <w:sz w:val="24"/>
          <w:szCs w:val="24"/>
        </w:rPr>
        <w:tab/>
        <w:t xml:space="preserve">Cunney R, Kirrane-Scott M, Rafferty A, Stapleton P, Okafor I, Mcnamara R. Start smart’: Using front-line ownership to improve the quality of empiric antibiotic prescribing in a paediatric hospital. BMJ Open Qual. 2019 Aug 1;8(3). </w:t>
      </w:r>
    </w:p>
    <w:p w14:paraId="52202414"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19. </w:t>
      </w:r>
      <w:r w:rsidRPr="00555898">
        <w:rPr>
          <w:rFonts w:ascii="Calibri" w:hAnsi="Calibri" w:cs="Calibri"/>
          <w:noProof/>
          <w:kern w:val="0"/>
          <w:sz w:val="24"/>
          <w:szCs w:val="24"/>
        </w:rPr>
        <w:tab/>
        <w:t xml:space="preserve">Maguire F, Murphy ME, Rourke M, et al. A Cross-Sectional Study of Antibiotic Prescribing for Childhood Upper Respiratory Tract Infections in Irish General Practice Irish Medical Journal. 2018 Dec;111(10):835. PMID: 30558408. </w:t>
      </w:r>
    </w:p>
    <w:p w14:paraId="3614F2BA"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20. </w:t>
      </w:r>
      <w:r w:rsidRPr="00555898">
        <w:rPr>
          <w:rFonts w:ascii="Calibri" w:hAnsi="Calibri" w:cs="Calibri"/>
          <w:noProof/>
          <w:kern w:val="0"/>
          <w:sz w:val="24"/>
          <w:szCs w:val="24"/>
        </w:rPr>
        <w:tab/>
        <w:t xml:space="preserve">Ni Riain U, Tierney M, Doyle C, Vellinga A, Fleming C, Cormican M. Targeted de-escalation rounds may effectively and safely reduce meropenem use. Ir J Med Sci. 2017 Aug 1;186(3):729–32. </w:t>
      </w:r>
    </w:p>
    <w:p w14:paraId="5CB08CC8"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21. </w:t>
      </w:r>
      <w:r w:rsidRPr="00555898">
        <w:rPr>
          <w:rFonts w:ascii="Calibri" w:hAnsi="Calibri" w:cs="Calibri"/>
          <w:noProof/>
          <w:kern w:val="0"/>
          <w:sz w:val="24"/>
          <w:szCs w:val="24"/>
        </w:rPr>
        <w:tab/>
        <w:t xml:space="preserve">O’Doherty J, Leader LFW, O’Regan A, Dunne C, Puthoopparambil SJ, O’Connor R. Over prescribing of antibiotics for acute respiratory tract infections; A qualitative study to explore Irish general practitioners’ perspectives. BMC Fam Pract. 2019 Feb 14;20(1). </w:t>
      </w:r>
    </w:p>
    <w:p w14:paraId="7C15ABDF"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22. </w:t>
      </w:r>
      <w:r w:rsidRPr="00555898">
        <w:rPr>
          <w:rFonts w:ascii="Calibri" w:hAnsi="Calibri" w:cs="Calibri"/>
          <w:noProof/>
          <w:kern w:val="0"/>
          <w:sz w:val="24"/>
          <w:szCs w:val="24"/>
        </w:rPr>
        <w:tab/>
        <w:t xml:space="preserve">O’Connor N, Breen R, Carton M, Mc Grath I, Deasy N, Collins C, et al. Improving the quality of antibiotic prescribing through an educational intervention delivered through the out-of-hours general practice service in Ireland. Eur J Gen Pract. 2020 </w:t>
      </w:r>
      <w:r w:rsidRPr="00555898">
        <w:rPr>
          <w:rFonts w:ascii="Calibri" w:hAnsi="Calibri" w:cs="Calibri"/>
          <w:noProof/>
          <w:kern w:val="0"/>
          <w:sz w:val="24"/>
          <w:szCs w:val="24"/>
        </w:rPr>
        <w:lastRenderedPageBreak/>
        <w:t xml:space="preserve">Dec 16;26(1):119–24. </w:t>
      </w:r>
    </w:p>
    <w:p w14:paraId="666F7455"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23. </w:t>
      </w:r>
      <w:r w:rsidRPr="00555898">
        <w:rPr>
          <w:rFonts w:ascii="Calibri" w:hAnsi="Calibri" w:cs="Calibri"/>
          <w:noProof/>
          <w:kern w:val="0"/>
          <w:sz w:val="24"/>
          <w:szCs w:val="24"/>
        </w:rPr>
        <w:tab/>
        <w:t xml:space="preserve">O’Riordan F, Shiely F, Byrne S, Fleming A, O’Riordan F, Shiely F, et al. A qualitative process evaluation of the introduction of procalcitonin testing as an antimicrobial stewardship intervention. Int J Clin Pharm. 2020 Jun;43(3):532–40. </w:t>
      </w:r>
    </w:p>
    <w:p w14:paraId="5CCED77D"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24. </w:t>
      </w:r>
      <w:r w:rsidRPr="00555898">
        <w:rPr>
          <w:rFonts w:ascii="Calibri" w:hAnsi="Calibri" w:cs="Calibri"/>
          <w:noProof/>
          <w:kern w:val="0"/>
          <w:sz w:val="24"/>
          <w:szCs w:val="24"/>
        </w:rPr>
        <w:tab/>
        <w:t xml:space="preserve">Vellinga A, Cormican M, Hanahoe B, Bennett K, Murphy AW. Antimicrobial management and appropriateness of treatment of urinary tract infection in general practice in Ireland. BMC Fam Pract. 2011;12. </w:t>
      </w:r>
    </w:p>
    <w:p w14:paraId="062DC4DC"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25. </w:t>
      </w:r>
      <w:r w:rsidRPr="00555898">
        <w:rPr>
          <w:rFonts w:ascii="Calibri" w:hAnsi="Calibri" w:cs="Calibri"/>
          <w:noProof/>
          <w:kern w:val="0"/>
          <w:sz w:val="24"/>
          <w:szCs w:val="24"/>
        </w:rPr>
        <w:tab/>
        <w:t xml:space="preserve">Health Service Executive (HSE)/Royal College of Surgeons in Ireland (RCSI) (2021) Surgical antibiotic prophylaxis duration position paper October 2021. Dublin: HSE/RCSI. 2021. </w:t>
      </w:r>
    </w:p>
    <w:p w14:paraId="24E5D55C"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26. </w:t>
      </w:r>
      <w:r w:rsidRPr="00555898">
        <w:rPr>
          <w:rFonts w:ascii="Calibri" w:hAnsi="Calibri" w:cs="Calibri"/>
          <w:noProof/>
          <w:kern w:val="0"/>
          <w:sz w:val="24"/>
          <w:szCs w:val="24"/>
        </w:rPr>
        <w:tab/>
        <w:t xml:space="preserve">AMRIC Oversight Group &amp; Antimicrobial Stewardship Advisory Group. Summary of PCRS AMRIC GP Green Red Reports 2019/2020 for AMRIC Oversight Group &amp; Antimicrobial Stewardship Advisory Group Key. Vol. 3. 2020. </w:t>
      </w:r>
    </w:p>
    <w:p w14:paraId="2036EF0F"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27. </w:t>
      </w:r>
      <w:r w:rsidRPr="00555898">
        <w:rPr>
          <w:rFonts w:ascii="Calibri" w:hAnsi="Calibri" w:cs="Calibri"/>
          <w:noProof/>
          <w:kern w:val="0"/>
          <w:sz w:val="24"/>
          <w:szCs w:val="24"/>
        </w:rPr>
        <w:tab/>
        <w:t xml:space="preserve">Health Service Executive. Antimicobial Resistance and Infection Control Team. Antimicrobial Stewardship in COVID-19 (Version 1 23/04/20). Vol. 19. 2020. 2020. </w:t>
      </w:r>
    </w:p>
    <w:p w14:paraId="767DD49C"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28. </w:t>
      </w:r>
      <w:r w:rsidRPr="00555898">
        <w:rPr>
          <w:rFonts w:ascii="Calibri" w:hAnsi="Calibri" w:cs="Calibri"/>
          <w:noProof/>
          <w:kern w:val="0"/>
          <w:sz w:val="24"/>
          <w:szCs w:val="24"/>
        </w:rPr>
        <w:tab/>
        <w:t xml:space="preserve">Royal College of Physicians of Ireland Hospital Antimicrobial Stewardship Working Group. Start smart, then focus An antibiotic care bundle for hospitals. 2012. </w:t>
      </w:r>
    </w:p>
    <w:p w14:paraId="54524D6C"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29. </w:t>
      </w:r>
      <w:r w:rsidRPr="00555898">
        <w:rPr>
          <w:rFonts w:ascii="Calibri" w:hAnsi="Calibri" w:cs="Calibri"/>
          <w:noProof/>
          <w:kern w:val="0"/>
          <w:sz w:val="24"/>
          <w:szCs w:val="24"/>
        </w:rPr>
        <w:tab/>
        <w:t xml:space="preserve">Burns K, Roche F, Donlon S. Healthcare-associated infections and antimicrobial use in long-term care facilities: The Irish experience with the HALT surveys. Vol. 89, Journal of Hospital Infection. W.B. Saunders Ltd; 2015. </w:t>
      </w:r>
    </w:p>
    <w:p w14:paraId="7470FFAC"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30. </w:t>
      </w:r>
      <w:r w:rsidRPr="00555898">
        <w:rPr>
          <w:rFonts w:ascii="Calibri" w:hAnsi="Calibri" w:cs="Calibri"/>
          <w:noProof/>
          <w:kern w:val="0"/>
          <w:sz w:val="24"/>
          <w:szCs w:val="24"/>
        </w:rPr>
        <w:tab/>
        <w:t xml:space="preserve">Dunn K, O’Reilly A, Silke B, Rogers T, Bergin C. Implementing a pharmacist-led sequential antimicrobial therapy strategy: A controlled before-and-after study. Int J </w:t>
      </w:r>
      <w:r w:rsidRPr="00555898">
        <w:rPr>
          <w:rFonts w:ascii="Calibri" w:hAnsi="Calibri" w:cs="Calibri"/>
          <w:noProof/>
          <w:kern w:val="0"/>
          <w:sz w:val="24"/>
          <w:szCs w:val="24"/>
        </w:rPr>
        <w:lastRenderedPageBreak/>
        <w:t xml:space="preserve">Clin Pharm. 2011 Apr;33(2):208–14. </w:t>
      </w:r>
    </w:p>
    <w:p w14:paraId="2E0D68B7"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31. </w:t>
      </w:r>
      <w:r w:rsidRPr="00555898">
        <w:rPr>
          <w:rFonts w:ascii="Calibri" w:hAnsi="Calibri" w:cs="Calibri"/>
          <w:noProof/>
          <w:kern w:val="0"/>
          <w:sz w:val="24"/>
          <w:szCs w:val="24"/>
        </w:rPr>
        <w:tab/>
        <w:t xml:space="preserve">Fitzgerald DJ, Knowles SJ, Downey P, Robson MS. Examining the infectious aetiology and diagnostic criteria of maternal pyrexia in labour to improve antibiotic stewardship. Eur J Obstet Gynecol Reprod Biol X. 2019 Jan 1;1. </w:t>
      </w:r>
    </w:p>
    <w:p w14:paraId="5376F871"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32. </w:t>
      </w:r>
      <w:r w:rsidRPr="00555898">
        <w:rPr>
          <w:rFonts w:ascii="Calibri" w:hAnsi="Calibri" w:cs="Calibri"/>
          <w:noProof/>
          <w:kern w:val="0"/>
          <w:sz w:val="24"/>
          <w:szCs w:val="24"/>
        </w:rPr>
        <w:tab/>
        <w:t xml:space="preserve">Hsia YF, Lee BR, Versporten A, Yang YH, Bielicki J, Jackson C, et al. Use of the WHO Access, Watch, and Reserve classification to define patterns of hospital antibiotic use (AWaRe): an analysis of paediatric survey data from 56 countries. LANCET Glob Heal. 2019;7(7):E861–71. </w:t>
      </w:r>
    </w:p>
    <w:p w14:paraId="1625D73A"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33. </w:t>
      </w:r>
      <w:r w:rsidRPr="00555898">
        <w:rPr>
          <w:rFonts w:ascii="Calibri" w:hAnsi="Calibri" w:cs="Calibri"/>
          <w:noProof/>
          <w:kern w:val="0"/>
          <w:sz w:val="24"/>
          <w:szCs w:val="24"/>
        </w:rPr>
        <w:tab/>
        <w:t xml:space="preserve">McCarthy KN, Hawke A, Dempsey EM. Antimicrobial stewardship in the neonatal unit reduces antibiotic exposure. Acta Paediatr Int J Paediatr. 2018;107(10):1716–21. </w:t>
      </w:r>
    </w:p>
    <w:p w14:paraId="44BE8D2F"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34. </w:t>
      </w:r>
      <w:r w:rsidRPr="00555898">
        <w:rPr>
          <w:rFonts w:ascii="Calibri" w:hAnsi="Calibri" w:cs="Calibri"/>
          <w:noProof/>
          <w:kern w:val="0"/>
          <w:sz w:val="24"/>
          <w:szCs w:val="24"/>
        </w:rPr>
        <w:tab/>
        <w:t xml:space="preserve">O’Kelly B, Rueda-Benito A, O’Regan M, Finan K. An audit of community-acquired pneumonia antimicrobial compliance using an intervention bundle in an Irish hospital. J Glob Antimicrob Resist. 2020 Dec 1;23:38–45. </w:t>
      </w:r>
    </w:p>
    <w:p w14:paraId="5D3B17FE"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35. </w:t>
      </w:r>
      <w:r w:rsidRPr="00555898">
        <w:rPr>
          <w:rFonts w:ascii="Calibri" w:hAnsi="Calibri" w:cs="Calibri"/>
          <w:noProof/>
          <w:kern w:val="0"/>
          <w:sz w:val="24"/>
          <w:szCs w:val="24"/>
        </w:rPr>
        <w:tab/>
        <w:t xml:space="preserve">O’Riordan F, Shiely F, Byrne S, O’Brien D, Palmer B, Dahly D, et al. An investigation of the effects of procalcitonin testing on antimicrobial prescribing in respiratory tract infections in an Irish university hospital setting: A feasibility study. J Antimicrob Chemother. 2019;74(11):3352–61. </w:t>
      </w:r>
    </w:p>
    <w:p w14:paraId="3F1455E6"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36. </w:t>
      </w:r>
      <w:r w:rsidRPr="00555898">
        <w:rPr>
          <w:rFonts w:ascii="Calibri" w:hAnsi="Calibri" w:cs="Calibri"/>
          <w:noProof/>
          <w:kern w:val="0"/>
          <w:sz w:val="24"/>
          <w:szCs w:val="24"/>
        </w:rPr>
        <w:tab/>
        <w:t xml:space="preserve">Pulcini C, Beovic B, Béraud G, Carlet J, Cars O, Howard P, et al. Ensuring universal access to old antibiotics: a critical but neglected priority. Clin Microbiol Infect. 2017 Sep 1;23(9):590–2. </w:t>
      </w:r>
    </w:p>
    <w:p w14:paraId="0A301E3E"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37. </w:t>
      </w:r>
      <w:r w:rsidRPr="00555898">
        <w:rPr>
          <w:rFonts w:ascii="Calibri" w:hAnsi="Calibri" w:cs="Calibri"/>
          <w:noProof/>
          <w:kern w:val="0"/>
          <w:sz w:val="24"/>
          <w:szCs w:val="24"/>
        </w:rPr>
        <w:tab/>
        <w:t xml:space="preserve">Tandan M, O’connor R, Burns K, Murphy H, Hennessy S, Roche F, et al. A comparative analysis of prophylactic antimicrobial use in long-term care facilities in Ireland, 2013 </w:t>
      </w:r>
      <w:r w:rsidRPr="00555898">
        <w:rPr>
          <w:rFonts w:ascii="Calibri" w:hAnsi="Calibri" w:cs="Calibri"/>
          <w:noProof/>
          <w:kern w:val="0"/>
          <w:sz w:val="24"/>
          <w:szCs w:val="24"/>
        </w:rPr>
        <w:lastRenderedPageBreak/>
        <w:t xml:space="preserve">and 2016. Eurosurveillance. 2019;24(11):1–10. </w:t>
      </w:r>
    </w:p>
    <w:p w14:paraId="7304E126"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38. </w:t>
      </w:r>
      <w:r w:rsidRPr="00555898">
        <w:rPr>
          <w:rFonts w:ascii="Calibri" w:hAnsi="Calibri" w:cs="Calibri"/>
          <w:noProof/>
          <w:kern w:val="0"/>
          <w:sz w:val="24"/>
          <w:szCs w:val="24"/>
        </w:rPr>
        <w:tab/>
        <w:t xml:space="preserve">Tandan M, Burns K, Murphy H, Hennessy S, Cormican M, Vellinga A. Antimicrobial prescribing and infections in long-term care facilities (LTCF): a multilevel analysis of the HALT 2016 study, Ireland, 2017. EUROSURVEILLANCE. 2018;23(46):64–74. </w:t>
      </w:r>
    </w:p>
    <w:p w14:paraId="1D3E6A97"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39. </w:t>
      </w:r>
      <w:r w:rsidRPr="00555898">
        <w:rPr>
          <w:rFonts w:ascii="Calibri" w:hAnsi="Calibri" w:cs="Calibri"/>
          <w:noProof/>
          <w:kern w:val="0"/>
          <w:sz w:val="24"/>
          <w:szCs w:val="24"/>
        </w:rPr>
        <w:tab/>
        <w:t xml:space="preserve">Tandan M, Burns K, Murphy H, Hennessy S, Cormican M, Vellinga A. Improving Antimicrobial Prescribing: A Multinomial Model Identifying Factors Associated With First- and Second-Line Prescribing. J Am Med Dir Assoc. 2019 May 1;20(5):624–8. </w:t>
      </w:r>
    </w:p>
    <w:p w14:paraId="7E8BD906"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40. </w:t>
      </w:r>
      <w:r w:rsidRPr="00555898">
        <w:rPr>
          <w:rFonts w:ascii="Calibri" w:hAnsi="Calibri" w:cs="Calibri"/>
          <w:noProof/>
          <w:kern w:val="0"/>
          <w:sz w:val="24"/>
          <w:szCs w:val="24"/>
        </w:rPr>
        <w:tab/>
        <w:t xml:space="preserve">Tiszai-Szucs T, Mac Sweeney C, Keaveny J, Bozza FA, O Hagan Z, Martin-Loeches I. Feasibility of Antimicrobial Stewardship (AMS) in Critical Care Settings: A Multidisciplinary Approach Strategy. Med Sci (Basel, Switzerland). 2018 May 25;6(2). </w:t>
      </w:r>
    </w:p>
    <w:p w14:paraId="5611C7E5"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41. </w:t>
      </w:r>
      <w:r w:rsidRPr="00555898">
        <w:rPr>
          <w:rFonts w:ascii="Calibri" w:hAnsi="Calibri" w:cs="Calibri"/>
          <w:noProof/>
          <w:kern w:val="0"/>
          <w:sz w:val="24"/>
          <w:szCs w:val="24"/>
        </w:rPr>
        <w:tab/>
        <w:t xml:space="preserve">Global antimicrobial resistance surveillance system (GLASS) report: early implementation 2020. Geneva: World Health Organization; 2020. Licence: CC BY-NC-SA 3.0 IGO. 2021. </w:t>
      </w:r>
    </w:p>
    <w:p w14:paraId="032E7AD4"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42. </w:t>
      </w:r>
      <w:r w:rsidRPr="00555898">
        <w:rPr>
          <w:rFonts w:ascii="Calibri" w:hAnsi="Calibri" w:cs="Calibri"/>
          <w:noProof/>
          <w:kern w:val="0"/>
          <w:sz w:val="24"/>
          <w:szCs w:val="24"/>
        </w:rPr>
        <w:tab/>
        <w:t xml:space="preserve">Breslin R, Fenton S, Oza A, Burns K, Philbin M. Annual Hospital Antimicrobial Point Prevalence Survey in Ireland : 2019. 2020. </w:t>
      </w:r>
    </w:p>
    <w:p w14:paraId="292ADA4E"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43. </w:t>
      </w:r>
      <w:r w:rsidRPr="00555898">
        <w:rPr>
          <w:rFonts w:ascii="Calibri" w:hAnsi="Calibri" w:cs="Calibri"/>
          <w:noProof/>
          <w:kern w:val="0"/>
          <w:sz w:val="24"/>
          <w:szCs w:val="24"/>
        </w:rPr>
        <w:tab/>
        <w:t xml:space="preserve">Health Protection Surveillance Centre (HPSC). Health Protection Surveillance Centre, Point Prevalence Survey of Hospital Acquired Infections &amp; Antimicrobial Use in European Acute Care Hospitals, May 2017: Intensive Care Unit Report Ireland. J Med Microbiol. 2017;32(May 2017):25–7. </w:t>
      </w:r>
    </w:p>
    <w:p w14:paraId="6C059A28"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44. </w:t>
      </w:r>
      <w:r w:rsidRPr="00555898">
        <w:rPr>
          <w:rFonts w:ascii="Calibri" w:hAnsi="Calibri" w:cs="Calibri"/>
          <w:noProof/>
          <w:kern w:val="0"/>
          <w:sz w:val="24"/>
          <w:szCs w:val="24"/>
        </w:rPr>
        <w:tab/>
        <w:t xml:space="preserve">Health Protection Surveillance Centre, Point Prevalence Survey of Hospital Acquired Infections &amp; Antimicrobial Use in European Acute Care Hospitals, May 2017: Summary of the National Report: Ireland. </w:t>
      </w:r>
    </w:p>
    <w:p w14:paraId="2DF7EDBD"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lastRenderedPageBreak/>
        <w:t xml:space="preserve">45. </w:t>
      </w:r>
      <w:r w:rsidRPr="00555898">
        <w:rPr>
          <w:rFonts w:ascii="Calibri" w:hAnsi="Calibri" w:cs="Calibri"/>
          <w:noProof/>
          <w:kern w:val="0"/>
          <w:sz w:val="24"/>
          <w:szCs w:val="24"/>
        </w:rPr>
        <w:tab/>
        <w:t xml:space="preserve">Health Protection Surveillance Centre, Point Prevalence Survey of Healthcare-Associated Infections &amp; Antimicobial use in Long-Term Care Facilities: May 2016 – Ireland National Report: March 2017 HALT. </w:t>
      </w:r>
    </w:p>
    <w:p w14:paraId="1B683338"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46. </w:t>
      </w:r>
      <w:r w:rsidRPr="00555898">
        <w:rPr>
          <w:rFonts w:ascii="Calibri" w:hAnsi="Calibri" w:cs="Calibri"/>
          <w:noProof/>
          <w:kern w:val="0"/>
          <w:sz w:val="24"/>
          <w:szCs w:val="24"/>
        </w:rPr>
        <w:tab/>
        <w:t xml:space="preserve">Health Protection Surveillance Centre (HPSC). Annual Epidemiology Report 9.4 Antimicrobial Resistance. 2016. </w:t>
      </w:r>
    </w:p>
    <w:p w14:paraId="0781B0BB"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47. </w:t>
      </w:r>
      <w:r w:rsidRPr="00555898">
        <w:rPr>
          <w:rFonts w:ascii="Calibri" w:hAnsi="Calibri" w:cs="Calibri"/>
          <w:noProof/>
          <w:kern w:val="0"/>
          <w:sz w:val="24"/>
          <w:szCs w:val="24"/>
        </w:rPr>
        <w:tab/>
        <w:t xml:space="preserve">Burns K, Foley M, Donlon S. Health Protection Surveillance Centre, Point Prevalence Survey of Hospital Acquired Infections &amp; Antimicrobial Use in European Acute Care Hospitals: May 2012 – Republic of Ireland Critical Care Report: February 2013. 2012. </w:t>
      </w:r>
    </w:p>
    <w:p w14:paraId="1565B10E"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48. </w:t>
      </w:r>
      <w:r w:rsidRPr="00555898">
        <w:rPr>
          <w:rFonts w:ascii="Calibri" w:hAnsi="Calibri" w:cs="Calibri"/>
          <w:noProof/>
          <w:kern w:val="0"/>
          <w:sz w:val="24"/>
          <w:szCs w:val="24"/>
        </w:rPr>
        <w:tab/>
        <w:t xml:space="preserve">Health Protection Surveillance Centre (HPSC). Annual Epidemiological Report 2014. Vol. 5. 2014. </w:t>
      </w:r>
    </w:p>
    <w:p w14:paraId="7946259F"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49. </w:t>
      </w:r>
      <w:r w:rsidRPr="00555898">
        <w:rPr>
          <w:rFonts w:ascii="Calibri" w:hAnsi="Calibri" w:cs="Calibri"/>
          <w:noProof/>
          <w:kern w:val="0"/>
          <w:sz w:val="24"/>
          <w:szCs w:val="24"/>
        </w:rPr>
        <w:tab/>
        <w:t xml:space="preserve">Health Protection Surveillance Centre (HPSC). Point Prevalence Survey of Healthcare ‐ Associated Infections &amp; Antimicrobial Use in Long ‐ Term Care Facilities ( HALT ): May 2013. 2014. </w:t>
      </w:r>
    </w:p>
    <w:p w14:paraId="131E462A"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50. </w:t>
      </w:r>
      <w:r w:rsidRPr="00555898">
        <w:rPr>
          <w:rFonts w:ascii="Calibri" w:hAnsi="Calibri" w:cs="Calibri"/>
          <w:noProof/>
          <w:kern w:val="0"/>
          <w:sz w:val="24"/>
          <w:szCs w:val="24"/>
        </w:rPr>
        <w:tab/>
        <w:t xml:space="preserve">Donlon S, Roche F, Byrne H, Dowling S, Cotter M, Fitzpatrick F. A national survey of infection control and antimicrobial stewardship structures in Irish long-term care facilities. Am J Infect Control. 2013 Jun;41(6):554–7. </w:t>
      </w:r>
    </w:p>
    <w:p w14:paraId="0B768769"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51. </w:t>
      </w:r>
      <w:r w:rsidRPr="00555898">
        <w:rPr>
          <w:rFonts w:ascii="Calibri" w:hAnsi="Calibri" w:cs="Calibri"/>
          <w:noProof/>
          <w:kern w:val="0"/>
          <w:sz w:val="24"/>
          <w:szCs w:val="24"/>
        </w:rPr>
        <w:tab/>
        <w:t xml:space="preserve">Fleming A, Bradley C, Cullinan S, Byrne S. Antibiotic prescribing in long-term care facilities: A qualitative, multidisciplinary investigation. BMJ Open. 2014;4(11):1–13. </w:t>
      </w:r>
    </w:p>
    <w:p w14:paraId="5D358BED"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52. </w:t>
      </w:r>
      <w:r w:rsidRPr="00555898">
        <w:rPr>
          <w:rFonts w:ascii="Calibri" w:hAnsi="Calibri" w:cs="Calibri"/>
          <w:noProof/>
          <w:kern w:val="0"/>
          <w:sz w:val="24"/>
          <w:szCs w:val="24"/>
        </w:rPr>
        <w:tab/>
        <w:t xml:space="preserve">Fleming A, Barry L, Byrne S, Prentice M. Antimicrobial susceptibility of long term care facility and general practice urine samples in patients 65 years and older: An observational study. Eur J Public Health. 2017 Apr 1;27(2):307–12. </w:t>
      </w:r>
    </w:p>
    <w:p w14:paraId="6A45F98F"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53. </w:t>
      </w:r>
      <w:r w:rsidRPr="00555898">
        <w:rPr>
          <w:rFonts w:ascii="Calibri" w:hAnsi="Calibri" w:cs="Calibri"/>
          <w:noProof/>
          <w:kern w:val="0"/>
          <w:sz w:val="24"/>
          <w:szCs w:val="24"/>
        </w:rPr>
        <w:tab/>
        <w:t xml:space="preserve">Ricchizzi E, Latour K, Kärki T, Buttazzi R, Jans B, Moro ML, et al. Antimicrobial use in </w:t>
      </w:r>
      <w:r w:rsidRPr="00555898">
        <w:rPr>
          <w:rFonts w:ascii="Calibri" w:hAnsi="Calibri" w:cs="Calibri"/>
          <w:noProof/>
          <w:kern w:val="0"/>
          <w:sz w:val="24"/>
          <w:szCs w:val="24"/>
        </w:rPr>
        <w:lastRenderedPageBreak/>
        <w:t xml:space="preserve">european long-term care facilities: Results from the third point prevalence survey of healthcare-associated infections and antimicrobial use, 2016 to 2017. Eurosurveillance. 2018;23(46). </w:t>
      </w:r>
    </w:p>
    <w:p w14:paraId="1983C376"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kern w:val="0"/>
          <w:sz w:val="24"/>
          <w:szCs w:val="24"/>
        </w:rPr>
      </w:pPr>
      <w:r w:rsidRPr="00555898">
        <w:rPr>
          <w:rFonts w:ascii="Calibri" w:hAnsi="Calibri" w:cs="Calibri"/>
          <w:noProof/>
          <w:kern w:val="0"/>
          <w:sz w:val="24"/>
          <w:szCs w:val="24"/>
        </w:rPr>
        <w:t xml:space="preserve">54. </w:t>
      </w:r>
      <w:r w:rsidRPr="00555898">
        <w:rPr>
          <w:rFonts w:ascii="Calibri" w:hAnsi="Calibri" w:cs="Calibri"/>
          <w:noProof/>
          <w:kern w:val="0"/>
          <w:sz w:val="24"/>
          <w:szCs w:val="24"/>
        </w:rPr>
        <w:tab/>
        <w:t xml:space="preserve">Government of Ireland. Ireland ’s Second One Health National Action Plan on Antimicrobial Resistance 2021-2025. 2021. </w:t>
      </w:r>
    </w:p>
    <w:p w14:paraId="6EEE378B" w14:textId="77777777" w:rsidR="005707BA" w:rsidRPr="00555898" w:rsidRDefault="005707BA" w:rsidP="00555898">
      <w:pPr>
        <w:widowControl w:val="0"/>
        <w:autoSpaceDE w:val="0"/>
        <w:autoSpaceDN w:val="0"/>
        <w:adjustRightInd w:val="0"/>
        <w:spacing w:line="480" w:lineRule="auto"/>
        <w:ind w:left="640" w:hanging="640"/>
        <w:rPr>
          <w:rFonts w:ascii="Calibri" w:hAnsi="Calibri" w:cs="Calibri"/>
          <w:noProof/>
          <w:sz w:val="24"/>
          <w:szCs w:val="24"/>
        </w:rPr>
      </w:pPr>
      <w:r w:rsidRPr="00555898">
        <w:rPr>
          <w:rFonts w:ascii="Calibri" w:hAnsi="Calibri" w:cs="Calibri"/>
          <w:noProof/>
          <w:kern w:val="0"/>
          <w:sz w:val="24"/>
          <w:szCs w:val="24"/>
        </w:rPr>
        <w:t xml:space="preserve">55. </w:t>
      </w:r>
      <w:r w:rsidRPr="00555898">
        <w:rPr>
          <w:rFonts w:ascii="Calibri" w:hAnsi="Calibri" w:cs="Calibri"/>
          <w:noProof/>
          <w:kern w:val="0"/>
          <w:sz w:val="24"/>
          <w:szCs w:val="24"/>
        </w:rPr>
        <w:tab/>
        <w:t xml:space="preserve">Health Service Executive. Report of the findings of the Point Prevalence Survey of Antimicrobial Use in HSE Older Persons Residential Care Facilities. HSE Ireland. 2021. </w:t>
      </w:r>
    </w:p>
    <w:p w14:paraId="0973AD53" w14:textId="32075532" w:rsidR="005707BA" w:rsidRPr="00555898" w:rsidRDefault="005707BA" w:rsidP="00555898">
      <w:pPr>
        <w:spacing w:line="480" w:lineRule="auto"/>
        <w:rPr>
          <w:rFonts w:ascii="Calibri" w:hAnsi="Calibri" w:cs="Calibri"/>
          <w:b/>
          <w:bCs/>
          <w:color w:val="FF0000"/>
          <w:sz w:val="24"/>
          <w:szCs w:val="24"/>
          <w:lang w:val="en-US"/>
        </w:rPr>
      </w:pPr>
      <w:r w:rsidRPr="00555898">
        <w:rPr>
          <w:rFonts w:ascii="Calibri" w:hAnsi="Calibri" w:cs="Calibri"/>
          <w:b/>
          <w:bCs/>
          <w:color w:val="FF0000"/>
          <w:sz w:val="24"/>
          <w:szCs w:val="24"/>
          <w:lang w:val="en-US"/>
        </w:rPr>
        <w:fldChar w:fldCharType="end"/>
      </w:r>
    </w:p>
    <w:p w14:paraId="3BE737A0" w14:textId="77777777" w:rsidR="0059720B" w:rsidRPr="00555898" w:rsidRDefault="0059720B" w:rsidP="00555898">
      <w:pPr>
        <w:spacing w:line="480" w:lineRule="auto"/>
        <w:rPr>
          <w:rFonts w:ascii="Calibri" w:hAnsi="Calibri" w:cs="Calibri"/>
          <w:sz w:val="24"/>
          <w:szCs w:val="24"/>
          <w:lang w:val="en-US"/>
        </w:rPr>
      </w:pPr>
    </w:p>
    <w:sectPr w:rsidR="0059720B" w:rsidRPr="00555898" w:rsidSect="003F489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3F426" w14:textId="77777777" w:rsidR="00EF55C3" w:rsidRDefault="00EF55C3" w:rsidP="0011540A">
      <w:pPr>
        <w:spacing w:after="0" w:line="240" w:lineRule="auto"/>
      </w:pPr>
      <w:r>
        <w:separator/>
      </w:r>
    </w:p>
  </w:endnote>
  <w:endnote w:type="continuationSeparator" w:id="0">
    <w:p w14:paraId="04493E10" w14:textId="77777777" w:rsidR="00EF55C3" w:rsidRDefault="00EF55C3" w:rsidP="00115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SourceSansPro-Regular">
    <w:altName w:val="Yu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51231"/>
      <w:docPartObj>
        <w:docPartGallery w:val="Page Numbers (Bottom of Page)"/>
        <w:docPartUnique/>
      </w:docPartObj>
    </w:sdtPr>
    <w:sdtEndPr>
      <w:rPr>
        <w:noProof/>
      </w:rPr>
    </w:sdtEndPr>
    <w:sdtContent>
      <w:p w14:paraId="179F36F8" w14:textId="77777777" w:rsidR="00B34E16" w:rsidRDefault="00B34E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0C8E13" w14:textId="77777777" w:rsidR="00B34E16" w:rsidRDefault="00B34E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942438"/>
      <w:docPartObj>
        <w:docPartGallery w:val="Page Numbers (Bottom of Page)"/>
        <w:docPartUnique/>
      </w:docPartObj>
    </w:sdtPr>
    <w:sdtEndPr>
      <w:rPr>
        <w:noProof/>
      </w:rPr>
    </w:sdtEndPr>
    <w:sdtContent>
      <w:p w14:paraId="521C7EF4" w14:textId="192E06C2" w:rsidR="0011540A" w:rsidRDefault="001154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672E4D" w14:textId="77777777" w:rsidR="0011540A" w:rsidRDefault="0011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B7A6C" w14:textId="77777777" w:rsidR="00EF55C3" w:rsidRDefault="00EF55C3" w:rsidP="0011540A">
      <w:pPr>
        <w:spacing w:after="0" w:line="240" w:lineRule="auto"/>
      </w:pPr>
      <w:r>
        <w:separator/>
      </w:r>
    </w:p>
  </w:footnote>
  <w:footnote w:type="continuationSeparator" w:id="0">
    <w:p w14:paraId="57D12FD2" w14:textId="77777777" w:rsidR="00EF55C3" w:rsidRDefault="00EF55C3" w:rsidP="001154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038F"/>
    <w:multiLevelType w:val="hybridMultilevel"/>
    <w:tmpl w:val="A8EE55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5FC25A6"/>
    <w:multiLevelType w:val="hybridMultilevel"/>
    <w:tmpl w:val="1366B2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F94D5A"/>
    <w:multiLevelType w:val="hybridMultilevel"/>
    <w:tmpl w:val="6F405070"/>
    <w:lvl w:ilvl="0" w:tplc="18090001">
      <w:start w:val="1"/>
      <w:numFmt w:val="bullet"/>
      <w:lvlText w:val=""/>
      <w:lvlJc w:val="left"/>
      <w:pPr>
        <w:ind w:left="1370" w:hanging="360"/>
      </w:pPr>
      <w:rPr>
        <w:rFonts w:ascii="Symbol" w:hAnsi="Symbol" w:hint="default"/>
      </w:rPr>
    </w:lvl>
    <w:lvl w:ilvl="1" w:tplc="18090003" w:tentative="1">
      <w:start w:val="1"/>
      <w:numFmt w:val="bullet"/>
      <w:lvlText w:val="o"/>
      <w:lvlJc w:val="left"/>
      <w:pPr>
        <w:ind w:left="2090" w:hanging="360"/>
      </w:pPr>
      <w:rPr>
        <w:rFonts w:ascii="Courier New" w:hAnsi="Courier New" w:cs="Courier New" w:hint="default"/>
      </w:rPr>
    </w:lvl>
    <w:lvl w:ilvl="2" w:tplc="18090005" w:tentative="1">
      <w:start w:val="1"/>
      <w:numFmt w:val="bullet"/>
      <w:lvlText w:val=""/>
      <w:lvlJc w:val="left"/>
      <w:pPr>
        <w:ind w:left="2810" w:hanging="360"/>
      </w:pPr>
      <w:rPr>
        <w:rFonts w:ascii="Wingdings" w:hAnsi="Wingdings" w:hint="default"/>
      </w:rPr>
    </w:lvl>
    <w:lvl w:ilvl="3" w:tplc="18090001" w:tentative="1">
      <w:start w:val="1"/>
      <w:numFmt w:val="bullet"/>
      <w:lvlText w:val=""/>
      <w:lvlJc w:val="left"/>
      <w:pPr>
        <w:ind w:left="3530" w:hanging="360"/>
      </w:pPr>
      <w:rPr>
        <w:rFonts w:ascii="Symbol" w:hAnsi="Symbol" w:hint="default"/>
      </w:rPr>
    </w:lvl>
    <w:lvl w:ilvl="4" w:tplc="18090003" w:tentative="1">
      <w:start w:val="1"/>
      <w:numFmt w:val="bullet"/>
      <w:lvlText w:val="o"/>
      <w:lvlJc w:val="left"/>
      <w:pPr>
        <w:ind w:left="4250" w:hanging="360"/>
      </w:pPr>
      <w:rPr>
        <w:rFonts w:ascii="Courier New" w:hAnsi="Courier New" w:cs="Courier New" w:hint="default"/>
      </w:rPr>
    </w:lvl>
    <w:lvl w:ilvl="5" w:tplc="18090005" w:tentative="1">
      <w:start w:val="1"/>
      <w:numFmt w:val="bullet"/>
      <w:lvlText w:val=""/>
      <w:lvlJc w:val="left"/>
      <w:pPr>
        <w:ind w:left="4970" w:hanging="360"/>
      </w:pPr>
      <w:rPr>
        <w:rFonts w:ascii="Wingdings" w:hAnsi="Wingdings" w:hint="default"/>
      </w:rPr>
    </w:lvl>
    <w:lvl w:ilvl="6" w:tplc="18090001" w:tentative="1">
      <w:start w:val="1"/>
      <w:numFmt w:val="bullet"/>
      <w:lvlText w:val=""/>
      <w:lvlJc w:val="left"/>
      <w:pPr>
        <w:ind w:left="5690" w:hanging="360"/>
      </w:pPr>
      <w:rPr>
        <w:rFonts w:ascii="Symbol" w:hAnsi="Symbol" w:hint="default"/>
      </w:rPr>
    </w:lvl>
    <w:lvl w:ilvl="7" w:tplc="18090003" w:tentative="1">
      <w:start w:val="1"/>
      <w:numFmt w:val="bullet"/>
      <w:lvlText w:val="o"/>
      <w:lvlJc w:val="left"/>
      <w:pPr>
        <w:ind w:left="6410" w:hanging="360"/>
      </w:pPr>
      <w:rPr>
        <w:rFonts w:ascii="Courier New" w:hAnsi="Courier New" w:cs="Courier New" w:hint="default"/>
      </w:rPr>
    </w:lvl>
    <w:lvl w:ilvl="8" w:tplc="18090005" w:tentative="1">
      <w:start w:val="1"/>
      <w:numFmt w:val="bullet"/>
      <w:lvlText w:val=""/>
      <w:lvlJc w:val="left"/>
      <w:pPr>
        <w:ind w:left="7130" w:hanging="360"/>
      </w:pPr>
      <w:rPr>
        <w:rFonts w:ascii="Wingdings" w:hAnsi="Wingdings" w:hint="default"/>
      </w:rPr>
    </w:lvl>
  </w:abstractNum>
  <w:abstractNum w:abstractNumId="3" w15:restartNumberingAfterBreak="0">
    <w:nsid w:val="18FA6638"/>
    <w:multiLevelType w:val="hybridMultilevel"/>
    <w:tmpl w:val="5E2671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E7F6FCC"/>
    <w:multiLevelType w:val="hybridMultilevel"/>
    <w:tmpl w:val="8AEAB0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1CC2DCA"/>
    <w:multiLevelType w:val="hybridMultilevel"/>
    <w:tmpl w:val="6A4E97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27441C7"/>
    <w:multiLevelType w:val="hybridMultilevel"/>
    <w:tmpl w:val="701EB6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BC83667"/>
    <w:multiLevelType w:val="hybridMultilevel"/>
    <w:tmpl w:val="A7CE30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3F13F83"/>
    <w:multiLevelType w:val="hybridMultilevel"/>
    <w:tmpl w:val="9BFC9A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CE356B9"/>
    <w:multiLevelType w:val="hybridMultilevel"/>
    <w:tmpl w:val="9550B5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65E2869"/>
    <w:multiLevelType w:val="hybridMultilevel"/>
    <w:tmpl w:val="E654D8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AEE36D1"/>
    <w:multiLevelType w:val="hybridMultilevel"/>
    <w:tmpl w:val="3DE86E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B41286D"/>
    <w:multiLevelType w:val="hybridMultilevel"/>
    <w:tmpl w:val="5530A5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DA42EE2"/>
    <w:multiLevelType w:val="hybridMultilevel"/>
    <w:tmpl w:val="BEBE14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A6D3445"/>
    <w:multiLevelType w:val="hybridMultilevel"/>
    <w:tmpl w:val="D4740C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D826346"/>
    <w:multiLevelType w:val="hybridMultilevel"/>
    <w:tmpl w:val="6A0A6D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E340DCF"/>
    <w:multiLevelType w:val="hybridMultilevel"/>
    <w:tmpl w:val="BC7440E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6F8A565F"/>
    <w:multiLevelType w:val="hybridMultilevel"/>
    <w:tmpl w:val="6040E6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FEB5EBC"/>
    <w:multiLevelType w:val="hybridMultilevel"/>
    <w:tmpl w:val="9B1A9F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08993543">
    <w:abstractNumId w:val="18"/>
  </w:num>
  <w:num w:numId="2" w16cid:durableId="831215510">
    <w:abstractNumId w:val="7"/>
  </w:num>
  <w:num w:numId="3" w16cid:durableId="2124878060">
    <w:abstractNumId w:val="16"/>
  </w:num>
  <w:num w:numId="4" w16cid:durableId="413554289">
    <w:abstractNumId w:val="13"/>
  </w:num>
  <w:num w:numId="5" w16cid:durableId="1858273780">
    <w:abstractNumId w:val="15"/>
  </w:num>
  <w:num w:numId="6" w16cid:durableId="1340237716">
    <w:abstractNumId w:val="10"/>
  </w:num>
  <w:num w:numId="7" w16cid:durableId="1294363919">
    <w:abstractNumId w:val="5"/>
  </w:num>
  <w:num w:numId="8" w16cid:durableId="311250340">
    <w:abstractNumId w:val="9"/>
  </w:num>
  <w:num w:numId="9" w16cid:durableId="602764650">
    <w:abstractNumId w:val="4"/>
  </w:num>
  <w:num w:numId="10" w16cid:durableId="2107797955">
    <w:abstractNumId w:val="0"/>
  </w:num>
  <w:num w:numId="11" w16cid:durableId="876430479">
    <w:abstractNumId w:val="17"/>
  </w:num>
  <w:num w:numId="12" w16cid:durableId="1124541503">
    <w:abstractNumId w:val="8"/>
  </w:num>
  <w:num w:numId="13" w16cid:durableId="1311866166">
    <w:abstractNumId w:val="11"/>
  </w:num>
  <w:num w:numId="14" w16cid:durableId="1019547124">
    <w:abstractNumId w:val="14"/>
  </w:num>
  <w:num w:numId="15" w16cid:durableId="2145076038">
    <w:abstractNumId w:val="1"/>
  </w:num>
  <w:num w:numId="16" w16cid:durableId="1976831499">
    <w:abstractNumId w:val="12"/>
  </w:num>
  <w:num w:numId="17" w16cid:durableId="814763310">
    <w:abstractNumId w:val="6"/>
  </w:num>
  <w:num w:numId="18" w16cid:durableId="1694113363">
    <w:abstractNumId w:val="3"/>
  </w:num>
  <w:num w:numId="19" w16cid:durableId="834031941">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999"/>
    <w:rsid w:val="000011F7"/>
    <w:rsid w:val="00002ED1"/>
    <w:rsid w:val="000076C9"/>
    <w:rsid w:val="0001430C"/>
    <w:rsid w:val="00036440"/>
    <w:rsid w:val="00044F45"/>
    <w:rsid w:val="00077FFC"/>
    <w:rsid w:val="0008420D"/>
    <w:rsid w:val="00090804"/>
    <w:rsid w:val="00092A95"/>
    <w:rsid w:val="00095430"/>
    <w:rsid w:val="000B36D3"/>
    <w:rsid w:val="000C108A"/>
    <w:rsid w:val="000C4522"/>
    <w:rsid w:val="000F08FF"/>
    <w:rsid w:val="000F0CE5"/>
    <w:rsid w:val="000F46CD"/>
    <w:rsid w:val="00113D85"/>
    <w:rsid w:val="0011540A"/>
    <w:rsid w:val="0012110D"/>
    <w:rsid w:val="001324DD"/>
    <w:rsid w:val="00133BD9"/>
    <w:rsid w:val="00133CF8"/>
    <w:rsid w:val="00186445"/>
    <w:rsid w:val="0019522E"/>
    <w:rsid w:val="001B0FF9"/>
    <w:rsid w:val="001C5D47"/>
    <w:rsid w:val="00212494"/>
    <w:rsid w:val="002374B9"/>
    <w:rsid w:val="002406E9"/>
    <w:rsid w:val="002557F6"/>
    <w:rsid w:val="00263E13"/>
    <w:rsid w:val="00267324"/>
    <w:rsid w:val="0029070D"/>
    <w:rsid w:val="002B1ECA"/>
    <w:rsid w:val="002D233A"/>
    <w:rsid w:val="002D403F"/>
    <w:rsid w:val="003041A4"/>
    <w:rsid w:val="003108D2"/>
    <w:rsid w:val="00325025"/>
    <w:rsid w:val="00327E03"/>
    <w:rsid w:val="00360801"/>
    <w:rsid w:val="003723E4"/>
    <w:rsid w:val="00373EC2"/>
    <w:rsid w:val="00374044"/>
    <w:rsid w:val="00380A37"/>
    <w:rsid w:val="00396E50"/>
    <w:rsid w:val="003B41F8"/>
    <w:rsid w:val="003B47FD"/>
    <w:rsid w:val="003C2E0A"/>
    <w:rsid w:val="003D0183"/>
    <w:rsid w:val="003F4891"/>
    <w:rsid w:val="00400D7A"/>
    <w:rsid w:val="00413948"/>
    <w:rsid w:val="00434A68"/>
    <w:rsid w:val="00443DC1"/>
    <w:rsid w:val="00464DD4"/>
    <w:rsid w:val="0047557D"/>
    <w:rsid w:val="004B2C56"/>
    <w:rsid w:val="004C6A28"/>
    <w:rsid w:val="004F7409"/>
    <w:rsid w:val="0050604F"/>
    <w:rsid w:val="005060F4"/>
    <w:rsid w:val="00511599"/>
    <w:rsid w:val="005171C6"/>
    <w:rsid w:val="00531F0B"/>
    <w:rsid w:val="00534F3F"/>
    <w:rsid w:val="00555898"/>
    <w:rsid w:val="005662EA"/>
    <w:rsid w:val="00566C93"/>
    <w:rsid w:val="005707BA"/>
    <w:rsid w:val="00574DEA"/>
    <w:rsid w:val="0058034C"/>
    <w:rsid w:val="00582D1C"/>
    <w:rsid w:val="00583807"/>
    <w:rsid w:val="00583C61"/>
    <w:rsid w:val="0059720B"/>
    <w:rsid w:val="005A1AF4"/>
    <w:rsid w:val="005C0661"/>
    <w:rsid w:val="005C1DF6"/>
    <w:rsid w:val="005C2D38"/>
    <w:rsid w:val="005E5532"/>
    <w:rsid w:val="00627FDA"/>
    <w:rsid w:val="00637171"/>
    <w:rsid w:val="0066679D"/>
    <w:rsid w:val="00667F96"/>
    <w:rsid w:val="00676819"/>
    <w:rsid w:val="00695008"/>
    <w:rsid w:val="00697D68"/>
    <w:rsid w:val="006A4899"/>
    <w:rsid w:val="006D4809"/>
    <w:rsid w:val="00714FD5"/>
    <w:rsid w:val="00715972"/>
    <w:rsid w:val="007477FF"/>
    <w:rsid w:val="00762997"/>
    <w:rsid w:val="00791CFF"/>
    <w:rsid w:val="007A3A76"/>
    <w:rsid w:val="007C4111"/>
    <w:rsid w:val="007E19D6"/>
    <w:rsid w:val="007F6257"/>
    <w:rsid w:val="00813225"/>
    <w:rsid w:val="00832DA3"/>
    <w:rsid w:val="00835F1B"/>
    <w:rsid w:val="00844A1B"/>
    <w:rsid w:val="00874CC5"/>
    <w:rsid w:val="008B493F"/>
    <w:rsid w:val="008C0FFE"/>
    <w:rsid w:val="008D2F97"/>
    <w:rsid w:val="008D405D"/>
    <w:rsid w:val="008D7F7B"/>
    <w:rsid w:val="008E4608"/>
    <w:rsid w:val="008F06AD"/>
    <w:rsid w:val="00906925"/>
    <w:rsid w:val="00912E9B"/>
    <w:rsid w:val="00933928"/>
    <w:rsid w:val="0094788B"/>
    <w:rsid w:val="00961FD2"/>
    <w:rsid w:val="00980364"/>
    <w:rsid w:val="009B561A"/>
    <w:rsid w:val="009C43EF"/>
    <w:rsid w:val="009C4E60"/>
    <w:rsid w:val="009C71BB"/>
    <w:rsid w:val="009E4C31"/>
    <w:rsid w:val="00A020F5"/>
    <w:rsid w:val="00A34CBB"/>
    <w:rsid w:val="00A4742E"/>
    <w:rsid w:val="00A51556"/>
    <w:rsid w:val="00A70D06"/>
    <w:rsid w:val="00A752FB"/>
    <w:rsid w:val="00A87B3E"/>
    <w:rsid w:val="00A90B74"/>
    <w:rsid w:val="00A93A49"/>
    <w:rsid w:val="00AA682C"/>
    <w:rsid w:val="00AA708E"/>
    <w:rsid w:val="00AB0104"/>
    <w:rsid w:val="00AC210C"/>
    <w:rsid w:val="00AD772A"/>
    <w:rsid w:val="00AE2577"/>
    <w:rsid w:val="00AF030F"/>
    <w:rsid w:val="00AF30F5"/>
    <w:rsid w:val="00AF54CE"/>
    <w:rsid w:val="00B047B2"/>
    <w:rsid w:val="00B17730"/>
    <w:rsid w:val="00B26031"/>
    <w:rsid w:val="00B34E0B"/>
    <w:rsid w:val="00B34E16"/>
    <w:rsid w:val="00B41190"/>
    <w:rsid w:val="00B427C0"/>
    <w:rsid w:val="00B65758"/>
    <w:rsid w:val="00B74212"/>
    <w:rsid w:val="00B90F9D"/>
    <w:rsid w:val="00BB3A86"/>
    <w:rsid w:val="00BC565F"/>
    <w:rsid w:val="00BD3C80"/>
    <w:rsid w:val="00BD4104"/>
    <w:rsid w:val="00BF22E0"/>
    <w:rsid w:val="00C4605E"/>
    <w:rsid w:val="00C46A65"/>
    <w:rsid w:val="00C540D0"/>
    <w:rsid w:val="00C55165"/>
    <w:rsid w:val="00C6766F"/>
    <w:rsid w:val="00C834AB"/>
    <w:rsid w:val="00C94EC7"/>
    <w:rsid w:val="00CB1E23"/>
    <w:rsid w:val="00CC5E52"/>
    <w:rsid w:val="00CE6A0A"/>
    <w:rsid w:val="00D03B83"/>
    <w:rsid w:val="00D12296"/>
    <w:rsid w:val="00D214ED"/>
    <w:rsid w:val="00D30EFC"/>
    <w:rsid w:val="00D35767"/>
    <w:rsid w:val="00D506FA"/>
    <w:rsid w:val="00D541EA"/>
    <w:rsid w:val="00D62F06"/>
    <w:rsid w:val="00D82224"/>
    <w:rsid w:val="00DB358C"/>
    <w:rsid w:val="00DD6CA7"/>
    <w:rsid w:val="00DE48CA"/>
    <w:rsid w:val="00E025C6"/>
    <w:rsid w:val="00E26157"/>
    <w:rsid w:val="00E42F2B"/>
    <w:rsid w:val="00E46974"/>
    <w:rsid w:val="00E608F1"/>
    <w:rsid w:val="00E7648F"/>
    <w:rsid w:val="00E91804"/>
    <w:rsid w:val="00EB5999"/>
    <w:rsid w:val="00EF55C3"/>
    <w:rsid w:val="00F32AB9"/>
    <w:rsid w:val="00F34D67"/>
    <w:rsid w:val="00F35499"/>
    <w:rsid w:val="00F62023"/>
    <w:rsid w:val="00F75FA6"/>
    <w:rsid w:val="00F772EE"/>
    <w:rsid w:val="00F803DC"/>
    <w:rsid w:val="00F91ED0"/>
    <w:rsid w:val="00FA13EB"/>
    <w:rsid w:val="00FA1F67"/>
    <w:rsid w:val="00FB645B"/>
    <w:rsid w:val="00FC6DFD"/>
    <w:rsid w:val="00FD419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1AF8"/>
  <w15:chartTrackingRefBased/>
  <w15:docId w15:val="{A30BDBDF-5E12-433B-9AFC-BDE7FEA8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5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59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9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9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9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9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9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9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9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59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59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9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9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999"/>
    <w:rPr>
      <w:rFonts w:eastAsiaTheme="majorEastAsia" w:cstheme="majorBidi"/>
      <w:color w:val="272727" w:themeColor="text1" w:themeTint="D8"/>
    </w:rPr>
  </w:style>
  <w:style w:type="paragraph" w:styleId="Title">
    <w:name w:val="Title"/>
    <w:basedOn w:val="Normal"/>
    <w:next w:val="Normal"/>
    <w:link w:val="TitleChar"/>
    <w:uiPriority w:val="10"/>
    <w:qFormat/>
    <w:rsid w:val="00EB5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9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999"/>
    <w:pPr>
      <w:spacing w:before="160"/>
      <w:jc w:val="center"/>
    </w:pPr>
    <w:rPr>
      <w:i/>
      <w:iCs/>
      <w:color w:val="404040" w:themeColor="text1" w:themeTint="BF"/>
    </w:rPr>
  </w:style>
  <w:style w:type="character" w:customStyle="1" w:styleId="QuoteChar">
    <w:name w:val="Quote Char"/>
    <w:basedOn w:val="DefaultParagraphFont"/>
    <w:link w:val="Quote"/>
    <w:uiPriority w:val="29"/>
    <w:rsid w:val="00EB5999"/>
    <w:rPr>
      <w:i/>
      <w:iCs/>
      <w:color w:val="404040" w:themeColor="text1" w:themeTint="BF"/>
    </w:rPr>
  </w:style>
  <w:style w:type="paragraph" w:styleId="ListParagraph">
    <w:name w:val="List Paragraph"/>
    <w:basedOn w:val="Normal"/>
    <w:uiPriority w:val="34"/>
    <w:qFormat/>
    <w:rsid w:val="00EB5999"/>
    <w:pPr>
      <w:ind w:left="720"/>
      <w:contextualSpacing/>
    </w:pPr>
  </w:style>
  <w:style w:type="character" w:styleId="IntenseEmphasis">
    <w:name w:val="Intense Emphasis"/>
    <w:basedOn w:val="DefaultParagraphFont"/>
    <w:uiPriority w:val="21"/>
    <w:qFormat/>
    <w:rsid w:val="00EB5999"/>
    <w:rPr>
      <w:i/>
      <w:iCs/>
      <w:color w:val="0F4761" w:themeColor="accent1" w:themeShade="BF"/>
    </w:rPr>
  </w:style>
  <w:style w:type="paragraph" w:styleId="IntenseQuote">
    <w:name w:val="Intense Quote"/>
    <w:basedOn w:val="Normal"/>
    <w:next w:val="Normal"/>
    <w:link w:val="IntenseQuoteChar"/>
    <w:uiPriority w:val="30"/>
    <w:qFormat/>
    <w:rsid w:val="00EB5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999"/>
    <w:rPr>
      <w:i/>
      <w:iCs/>
      <w:color w:val="0F4761" w:themeColor="accent1" w:themeShade="BF"/>
    </w:rPr>
  </w:style>
  <w:style w:type="character" w:styleId="IntenseReference">
    <w:name w:val="Intense Reference"/>
    <w:basedOn w:val="DefaultParagraphFont"/>
    <w:uiPriority w:val="32"/>
    <w:qFormat/>
    <w:rsid w:val="00EB5999"/>
    <w:rPr>
      <w:b/>
      <w:bCs/>
      <w:smallCaps/>
      <w:color w:val="0F4761" w:themeColor="accent1" w:themeShade="BF"/>
      <w:spacing w:val="5"/>
    </w:rPr>
  </w:style>
  <w:style w:type="table" w:styleId="TableGrid">
    <w:name w:val="Table Grid"/>
    <w:basedOn w:val="TableNormal"/>
    <w:uiPriority w:val="39"/>
    <w:rsid w:val="00597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822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D82224"/>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D82224"/>
    <w:rPr>
      <w:kern w:val="0"/>
      <w:sz w:val="20"/>
      <w:szCs w:val="20"/>
      <w14:ligatures w14:val="none"/>
    </w:rPr>
  </w:style>
  <w:style w:type="character" w:styleId="CommentReference">
    <w:name w:val="annotation reference"/>
    <w:basedOn w:val="DefaultParagraphFont"/>
    <w:uiPriority w:val="99"/>
    <w:semiHidden/>
    <w:unhideWhenUsed/>
    <w:rsid w:val="00D82224"/>
    <w:rPr>
      <w:sz w:val="16"/>
      <w:szCs w:val="16"/>
    </w:rPr>
  </w:style>
  <w:style w:type="paragraph" w:customStyle="1" w:styleId="paragraph">
    <w:name w:val="paragraph"/>
    <w:basedOn w:val="Normal"/>
    <w:rsid w:val="00D82224"/>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D82224"/>
  </w:style>
  <w:style w:type="character" w:customStyle="1" w:styleId="eop">
    <w:name w:val="eop"/>
    <w:basedOn w:val="DefaultParagraphFont"/>
    <w:rsid w:val="00D82224"/>
  </w:style>
  <w:style w:type="character" w:customStyle="1" w:styleId="scxw262073865">
    <w:name w:val="scxw262073865"/>
    <w:basedOn w:val="DefaultParagraphFont"/>
    <w:rsid w:val="00D82224"/>
  </w:style>
  <w:style w:type="table" w:customStyle="1" w:styleId="TableGrid2">
    <w:name w:val="Table Grid2"/>
    <w:basedOn w:val="TableNormal"/>
    <w:next w:val="TableGrid"/>
    <w:uiPriority w:val="39"/>
    <w:rsid w:val="00D822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82224"/>
    <w:rPr>
      <w:rFonts w:ascii="Segoe UI" w:hAnsi="Segoe UI" w:cs="Segoe UI" w:hint="default"/>
      <w:sz w:val="18"/>
      <w:szCs w:val="18"/>
    </w:rPr>
  </w:style>
  <w:style w:type="paragraph" w:styleId="Header">
    <w:name w:val="header"/>
    <w:basedOn w:val="Normal"/>
    <w:link w:val="HeaderChar"/>
    <w:uiPriority w:val="99"/>
    <w:unhideWhenUsed/>
    <w:rsid w:val="00D82224"/>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D82224"/>
    <w:rPr>
      <w:kern w:val="0"/>
      <w14:ligatures w14:val="none"/>
    </w:rPr>
  </w:style>
  <w:style w:type="paragraph" w:styleId="Footer">
    <w:name w:val="footer"/>
    <w:basedOn w:val="Normal"/>
    <w:link w:val="FooterChar"/>
    <w:uiPriority w:val="99"/>
    <w:unhideWhenUsed/>
    <w:rsid w:val="00D82224"/>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D82224"/>
    <w:rPr>
      <w:kern w:val="0"/>
      <w14:ligatures w14:val="none"/>
    </w:rPr>
  </w:style>
  <w:style w:type="character" w:customStyle="1" w:styleId="mixed-citation">
    <w:name w:val="mixed-citation"/>
    <w:basedOn w:val="DefaultParagraphFont"/>
    <w:rsid w:val="00D82224"/>
  </w:style>
  <w:style w:type="character" w:customStyle="1" w:styleId="ref-title">
    <w:name w:val="ref-title"/>
    <w:basedOn w:val="DefaultParagraphFont"/>
    <w:rsid w:val="00D82224"/>
  </w:style>
  <w:style w:type="character" w:styleId="Emphasis">
    <w:name w:val="Emphasis"/>
    <w:basedOn w:val="DefaultParagraphFont"/>
    <w:uiPriority w:val="20"/>
    <w:qFormat/>
    <w:rsid w:val="00D82224"/>
    <w:rPr>
      <w:i/>
      <w:iCs/>
    </w:rPr>
  </w:style>
  <w:style w:type="character" w:customStyle="1" w:styleId="ref-vol">
    <w:name w:val="ref-vol"/>
    <w:basedOn w:val="DefaultParagraphFont"/>
    <w:rsid w:val="00D82224"/>
  </w:style>
  <w:style w:type="character" w:customStyle="1" w:styleId="ref-iss">
    <w:name w:val="ref-iss"/>
    <w:basedOn w:val="DefaultParagraphFont"/>
    <w:rsid w:val="00D82224"/>
  </w:style>
  <w:style w:type="character" w:styleId="Hyperlink">
    <w:name w:val="Hyperlink"/>
    <w:basedOn w:val="DefaultParagraphFont"/>
    <w:uiPriority w:val="99"/>
    <w:unhideWhenUsed/>
    <w:rsid w:val="00D82224"/>
    <w:rPr>
      <w:color w:val="467886" w:themeColor="hyperlink"/>
      <w:u w:val="single"/>
    </w:rPr>
  </w:style>
  <w:style w:type="character" w:styleId="UnresolvedMention">
    <w:name w:val="Unresolved Mention"/>
    <w:basedOn w:val="DefaultParagraphFont"/>
    <w:uiPriority w:val="99"/>
    <w:semiHidden/>
    <w:unhideWhenUsed/>
    <w:rsid w:val="00D82224"/>
    <w:rPr>
      <w:color w:val="605E5C"/>
      <w:shd w:val="clear" w:color="auto" w:fill="E1DFDD"/>
    </w:rPr>
  </w:style>
  <w:style w:type="table" w:customStyle="1" w:styleId="TableGrid3">
    <w:name w:val="Table Grid3"/>
    <w:basedOn w:val="TableNormal"/>
    <w:next w:val="TableGrid"/>
    <w:uiPriority w:val="39"/>
    <w:rsid w:val="00D822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822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ement-citation">
    <w:name w:val="element-citation"/>
    <w:basedOn w:val="DefaultParagraphFont"/>
    <w:rsid w:val="00D82224"/>
  </w:style>
  <w:style w:type="character" w:customStyle="1" w:styleId="ref-journal">
    <w:name w:val="ref-journal"/>
    <w:basedOn w:val="DefaultParagraphFont"/>
    <w:rsid w:val="00D82224"/>
  </w:style>
  <w:style w:type="numbering" w:customStyle="1" w:styleId="NoList1">
    <w:name w:val="No List1"/>
    <w:next w:val="NoList"/>
    <w:uiPriority w:val="99"/>
    <w:semiHidden/>
    <w:unhideWhenUsed/>
    <w:rsid w:val="00D82224"/>
  </w:style>
  <w:style w:type="character" w:styleId="Strong">
    <w:name w:val="Strong"/>
    <w:basedOn w:val="DefaultParagraphFont"/>
    <w:uiPriority w:val="22"/>
    <w:qFormat/>
    <w:rsid w:val="00D82224"/>
    <w:rPr>
      <w:b/>
      <w:bCs/>
    </w:rPr>
  </w:style>
  <w:style w:type="numbering" w:customStyle="1" w:styleId="NoList11">
    <w:name w:val="No List11"/>
    <w:next w:val="NoList"/>
    <w:uiPriority w:val="99"/>
    <w:semiHidden/>
    <w:unhideWhenUsed/>
    <w:rsid w:val="00D82224"/>
  </w:style>
  <w:style w:type="paragraph" w:styleId="CommentSubject">
    <w:name w:val="annotation subject"/>
    <w:basedOn w:val="CommentText"/>
    <w:next w:val="CommentText"/>
    <w:link w:val="CommentSubjectChar"/>
    <w:uiPriority w:val="99"/>
    <w:semiHidden/>
    <w:unhideWhenUsed/>
    <w:rsid w:val="00D82224"/>
    <w:rPr>
      <w:b/>
      <w:bCs/>
    </w:rPr>
  </w:style>
  <w:style w:type="character" w:customStyle="1" w:styleId="CommentSubjectChar">
    <w:name w:val="Comment Subject Char"/>
    <w:basedOn w:val="CommentTextChar"/>
    <w:link w:val="CommentSubject"/>
    <w:uiPriority w:val="99"/>
    <w:semiHidden/>
    <w:rsid w:val="00D82224"/>
    <w:rPr>
      <w:b/>
      <w:bCs/>
      <w:kern w:val="0"/>
      <w:sz w:val="20"/>
      <w:szCs w:val="20"/>
      <w14:ligatures w14:val="none"/>
    </w:rPr>
  </w:style>
  <w:style w:type="paragraph" w:styleId="NormalWeb">
    <w:name w:val="Normal (Web)"/>
    <w:basedOn w:val="Normal"/>
    <w:uiPriority w:val="99"/>
    <w:unhideWhenUsed/>
    <w:rsid w:val="00D82224"/>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FootnoteText">
    <w:name w:val="footnote text"/>
    <w:basedOn w:val="Normal"/>
    <w:link w:val="FootnoteTextChar"/>
    <w:uiPriority w:val="99"/>
    <w:semiHidden/>
    <w:unhideWhenUsed/>
    <w:rsid w:val="00D8222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D82224"/>
    <w:rPr>
      <w:kern w:val="0"/>
      <w:sz w:val="20"/>
      <w:szCs w:val="20"/>
      <w14:ligatures w14:val="none"/>
    </w:rPr>
  </w:style>
  <w:style w:type="character" w:styleId="FootnoteReference">
    <w:name w:val="footnote reference"/>
    <w:basedOn w:val="DefaultParagraphFont"/>
    <w:uiPriority w:val="99"/>
    <w:semiHidden/>
    <w:unhideWhenUsed/>
    <w:rsid w:val="00D82224"/>
    <w:rPr>
      <w:vertAlign w:val="superscript"/>
    </w:rPr>
  </w:style>
  <w:style w:type="paragraph" w:styleId="Revision">
    <w:name w:val="Revision"/>
    <w:hidden/>
    <w:uiPriority w:val="99"/>
    <w:semiHidden/>
    <w:rsid w:val="00D82224"/>
    <w:pPr>
      <w:spacing w:after="0" w:line="240" w:lineRule="auto"/>
    </w:pPr>
    <w:rPr>
      <w:kern w:val="0"/>
      <w14:ligatures w14:val="none"/>
    </w:rPr>
  </w:style>
  <w:style w:type="character" w:styleId="FollowedHyperlink">
    <w:name w:val="FollowedHyperlink"/>
    <w:basedOn w:val="DefaultParagraphFont"/>
    <w:uiPriority w:val="99"/>
    <w:semiHidden/>
    <w:unhideWhenUsed/>
    <w:rsid w:val="00D82224"/>
    <w:rPr>
      <w:color w:val="96607D" w:themeColor="followedHyperlink"/>
      <w:u w:val="single"/>
    </w:rPr>
  </w:style>
  <w:style w:type="paragraph" w:customStyle="1" w:styleId="Default">
    <w:name w:val="Default"/>
    <w:rsid w:val="00D82224"/>
    <w:pPr>
      <w:autoSpaceDE w:val="0"/>
      <w:autoSpaceDN w:val="0"/>
      <w:adjustRightInd w:val="0"/>
      <w:spacing w:after="0" w:line="240" w:lineRule="auto"/>
    </w:pPr>
    <w:rPr>
      <w:rFonts w:ascii="Century Gothic" w:hAnsi="Century Gothic" w:cs="Century Gothic"/>
      <w:color w:val="000000"/>
      <w:kern w:val="0"/>
      <w:sz w:val="24"/>
      <w:szCs w:val="24"/>
    </w:rPr>
  </w:style>
  <w:style w:type="table" w:customStyle="1" w:styleId="TableGrid5">
    <w:name w:val="Table Grid5"/>
    <w:basedOn w:val="TableNormal"/>
    <w:next w:val="TableGrid"/>
    <w:uiPriority w:val="39"/>
    <w:rsid w:val="00D822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B34E16"/>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nnals.org/aim/fullarticle/2700389/prisma-extension-scoping-reviews-prisma-scr-checklist-explanation" TargetMode="External"/><Relationship Id="rId13" Type="http://schemas.openxmlformats.org/officeDocument/2006/relationships/hyperlink" Target="http://www.antibioticprescribing.i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ntibioticprescribing.ie"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tibioticprescribing.ie" TargetMode="External"/><Relationship Id="rId5" Type="http://schemas.openxmlformats.org/officeDocument/2006/relationships/webSettings" Target="webSettings.xml"/><Relationship Id="rId15" Type="http://schemas.openxmlformats.org/officeDocument/2006/relationships/hyperlink" Target="http://www.antibioticprescribing.ie"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hpsc.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6FA44156BC47598B28A5FAC146A672"/>
        <w:category>
          <w:name w:val="General"/>
          <w:gallery w:val="placeholder"/>
        </w:category>
        <w:types>
          <w:type w:val="bbPlcHdr"/>
        </w:types>
        <w:behaviors>
          <w:behavior w:val="content"/>
        </w:behaviors>
        <w:guid w:val="{36BB6E9D-0076-4C1A-9DBF-1140F429A69C}"/>
      </w:docPartPr>
      <w:docPartBody>
        <w:p w:rsidR="00497F27" w:rsidRDefault="00195B79" w:rsidP="00195B79">
          <w:pPr>
            <w:pStyle w:val="956FA44156BC47598B28A5FAC146A672"/>
          </w:pPr>
          <w:r w:rsidRPr="003A2F5F">
            <w:rPr>
              <w:rStyle w:val="PlaceholderText"/>
            </w:rPr>
            <w:t>Click here to enter text.</w:t>
          </w:r>
        </w:p>
      </w:docPartBody>
    </w:docPart>
    <w:docPart>
      <w:docPartPr>
        <w:name w:val="0B605D62DF3040CD83B2A2D87AE5BD29"/>
        <w:category>
          <w:name w:val="General"/>
          <w:gallery w:val="placeholder"/>
        </w:category>
        <w:types>
          <w:type w:val="bbPlcHdr"/>
        </w:types>
        <w:behaviors>
          <w:behavior w:val="content"/>
        </w:behaviors>
        <w:guid w:val="{3A55B839-2D51-413E-8E80-AD34F3B8D76B}"/>
      </w:docPartPr>
      <w:docPartBody>
        <w:p w:rsidR="0059251B" w:rsidRDefault="00497F27" w:rsidP="00497F27">
          <w:pPr>
            <w:pStyle w:val="0B605D62DF3040CD83B2A2D87AE5BD29"/>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SourceSansPro-Regular">
    <w:altName w:val="Yu Gothic"/>
    <w:panose1 w:val="00000000000000000000"/>
    <w:charset w:val="80"/>
    <w:family w:val="swiss"/>
    <w:notTrueType/>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2B9"/>
    <w:rsid w:val="00002ED1"/>
    <w:rsid w:val="00022113"/>
    <w:rsid w:val="001405AF"/>
    <w:rsid w:val="00156FF6"/>
    <w:rsid w:val="00195B79"/>
    <w:rsid w:val="002F79DC"/>
    <w:rsid w:val="003323CE"/>
    <w:rsid w:val="00352AB5"/>
    <w:rsid w:val="00380A37"/>
    <w:rsid w:val="00497F27"/>
    <w:rsid w:val="0059251B"/>
    <w:rsid w:val="00624ACB"/>
    <w:rsid w:val="0066229A"/>
    <w:rsid w:val="00667F96"/>
    <w:rsid w:val="007A3A76"/>
    <w:rsid w:val="00813225"/>
    <w:rsid w:val="00821651"/>
    <w:rsid w:val="00867080"/>
    <w:rsid w:val="008D6CF0"/>
    <w:rsid w:val="008D7F7B"/>
    <w:rsid w:val="008E4608"/>
    <w:rsid w:val="009C43EF"/>
    <w:rsid w:val="00B32D17"/>
    <w:rsid w:val="00B427C0"/>
    <w:rsid w:val="00B51A4D"/>
    <w:rsid w:val="00B74212"/>
    <w:rsid w:val="00BC565F"/>
    <w:rsid w:val="00BD4104"/>
    <w:rsid w:val="00BE0390"/>
    <w:rsid w:val="00C06770"/>
    <w:rsid w:val="00CA3974"/>
    <w:rsid w:val="00D142B9"/>
    <w:rsid w:val="00EB3519"/>
    <w:rsid w:val="00EF7EC1"/>
    <w:rsid w:val="00F24B11"/>
    <w:rsid w:val="00F32AB9"/>
    <w:rsid w:val="00FA1F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7F27"/>
    <w:rPr>
      <w:color w:val="808080"/>
    </w:rPr>
  </w:style>
  <w:style w:type="paragraph" w:customStyle="1" w:styleId="0B605D62DF3040CD83B2A2D87AE5BD29">
    <w:name w:val="0B605D62DF3040CD83B2A2D87AE5BD29"/>
    <w:rsid w:val="00497F27"/>
  </w:style>
  <w:style w:type="paragraph" w:customStyle="1" w:styleId="956FA44156BC47598B28A5FAC146A672">
    <w:name w:val="956FA44156BC47598B28A5FAC146A672"/>
    <w:rsid w:val="00195B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EE56F-B386-4978-AA3B-92B92DCE1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1</Pages>
  <Words>50303</Words>
  <Characters>286730</Characters>
  <Application>Microsoft Office Word</Application>
  <DocSecurity>0</DocSecurity>
  <Lines>2389</Lines>
  <Paragraphs>672</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336361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Barry</dc:creator>
  <cp:keywords/>
  <dc:description/>
  <cp:lastModifiedBy>Fiona Barry</cp:lastModifiedBy>
  <cp:revision>157</cp:revision>
  <cp:lastPrinted>2024-11-05T15:50:00Z</cp:lastPrinted>
  <dcterms:created xsi:type="dcterms:W3CDTF">2024-10-29T21:30:00Z</dcterms:created>
  <dcterms:modified xsi:type="dcterms:W3CDTF">2025-05-30T12:10:00Z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b6c913fd-2219-393e-8329-a569159a0fb8</vt:lpwstr>
  </property>
  <property fmtid="{D5CDD505-2E9C-101B-9397-08002B2CF9AE}" pid="24" name="Mendeley Citation Style_1">
    <vt:lpwstr>http://www.zotero.org/styles/vancouver</vt:lpwstr>
  </property>
</Properties>
</file>