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2E3" w:rsidRDefault="00CF0C2F">
      <w:pPr>
        <w:rPr>
          <w:rFonts w:ascii="Times New Roman" w:hAnsi="Times New Roman" w:cs="Times New Roman"/>
          <w:sz w:val="24"/>
          <w:szCs w:val="24"/>
        </w:rPr>
      </w:pPr>
      <w:r w:rsidRPr="00CF0C2F">
        <w:rPr>
          <w:rFonts w:ascii="Times New Roman" w:hAnsi="Times New Roman" w:cs="Times New Roman"/>
          <w:sz w:val="24"/>
          <w:szCs w:val="24"/>
        </w:rPr>
        <w:t>Supplementary Material</w:t>
      </w:r>
    </w:p>
    <w:p w:rsidR="00CF0C2F" w:rsidRPr="00C06612" w:rsidRDefault="00CF0C2F" w:rsidP="00CF0C2F">
      <w:pPr>
        <w:pStyle w:val="Caption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Material 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B0B3B">
        <w:rPr>
          <w:rFonts w:ascii="Times New Roman" w:hAnsi="Times New Roman" w:cs="Times New Roman"/>
          <w:sz w:val="24"/>
          <w:szCs w:val="24"/>
        </w:rPr>
        <w:t>Number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of IPS solutions categorised by their lifetime cost implications</w:t>
      </w:r>
    </w:p>
    <w:tbl>
      <w:tblPr>
        <w:tblStyle w:val="ListTable2-Accent5"/>
        <w:tblW w:w="0" w:type="auto"/>
        <w:tblInd w:w="2060" w:type="dxa"/>
        <w:tblLayout w:type="fixed"/>
        <w:tblLook w:val="04A0" w:firstRow="1" w:lastRow="0" w:firstColumn="1" w:lastColumn="0" w:noHBand="0" w:noVBand="1"/>
      </w:tblPr>
      <w:tblGrid>
        <w:gridCol w:w="1802"/>
        <w:gridCol w:w="709"/>
        <w:gridCol w:w="567"/>
        <w:gridCol w:w="850"/>
        <w:gridCol w:w="993"/>
      </w:tblGrid>
      <w:tr w:rsidR="00CF0C2F" w:rsidRPr="00320520" w:rsidTr="00113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 xml:space="preserve">Lifetime cost </w:t>
            </w:r>
          </w:p>
        </w:tc>
        <w:tc>
          <w:tcPr>
            <w:tcW w:w="3119" w:type="dxa"/>
            <w:gridSpan w:val="4"/>
          </w:tcPr>
          <w:p w:rsidR="00CF0C2F" w:rsidRPr="00320520" w:rsidRDefault="00CF0C2F" w:rsidP="00113FEA">
            <w:pPr>
              <w:tabs>
                <w:tab w:val="left" w:pos="185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Integrated Power Systems (IPS)</w:t>
            </w:r>
          </w:p>
        </w:tc>
      </w:tr>
      <w:tr w:rsidR="00CF0C2F" w:rsidRPr="00320520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Cost ($/20 years)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RES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GS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IHSS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IHSBS</w:t>
            </w:r>
          </w:p>
        </w:tc>
      </w:tr>
      <w:tr w:rsidR="00CF0C2F" w:rsidRPr="00320520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&gt; 850,000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</w:tr>
      <w:tr w:rsidR="00CF0C2F" w:rsidRPr="00320520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800,000 – 849,000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</w:tr>
      <w:tr w:rsidR="00CF0C2F" w:rsidRPr="00320520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750,000 – 799,000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</w:tr>
      <w:tr w:rsidR="00CF0C2F" w:rsidRPr="00320520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700,000 – 749,000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</w:tr>
      <w:tr w:rsidR="00CF0C2F" w:rsidRPr="00320520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650,000 – 699,000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</w:tr>
      <w:tr w:rsidR="00CF0C2F" w:rsidRPr="00320520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600,000 – 649,000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</w:tr>
      <w:tr w:rsidR="00CF0C2F" w:rsidRPr="00320520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550,000 – 599,000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</w:tc>
      </w:tr>
      <w:tr w:rsidR="00CF0C2F" w:rsidRPr="00320520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500,000 – 549,000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</w:tr>
      <w:tr w:rsidR="00CF0C2F" w:rsidRPr="00320520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450,000 – 499,000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</w:tr>
      <w:tr w:rsidR="00CF0C2F" w:rsidRPr="00320520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400,000 – 449,000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</w:tr>
      <w:tr w:rsidR="00CF0C2F" w:rsidRPr="00320520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350,000 – 399,000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</w:tr>
      <w:tr w:rsidR="00CF0C2F" w:rsidRPr="00320520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300,000 – 349,000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509</w:t>
            </w:r>
          </w:p>
        </w:tc>
      </w:tr>
      <w:tr w:rsidR="00CF0C2F" w:rsidRPr="00320520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250,000 – 299,000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1187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</w:tr>
      <w:tr w:rsidR="00CF0C2F" w:rsidRPr="00320520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200,000 – 249,000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2113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</w:tr>
      <w:tr w:rsidR="00CF0C2F" w:rsidRPr="00320520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150,000 – 199,000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2593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</w:tr>
      <w:tr w:rsidR="00CF0C2F" w:rsidRPr="00320520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100,000 – 149,000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2187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</w:tr>
      <w:tr w:rsidR="00CF0C2F" w:rsidRPr="00320520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 w:val="0"/>
                <w:sz w:val="20"/>
                <w:szCs w:val="20"/>
              </w:rPr>
              <w:t>&lt; 100,000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1652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</w:tr>
      <w:tr w:rsidR="00CF0C2F" w:rsidRPr="00320520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sz w:val="20"/>
                <w:szCs w:val="20"/>
              </w:rPr>
              <w:t>Total IPS</w:t>
            </w:r>
          </w:p>
        </w:tc>
        <w:tc>
          <w:tcPr>
            <w:tcW w:w="709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567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/>
                <w:sz w:val="20"/>
                <w:szCs w:val="20"/>
              </w:rPr>
              <w:t>10000</w:t>
            </w:r>
          </w:p>
        </w:tc>
        <w:tc>
          <w:tcPr>
            <w:tcW w:w="993" w:type="dxa"/>
            <w:shd w:val="clear" w:color="auto" w:fill="auto"/>
          </w:tcPr>
          <w:p w:rsidR="00CF0C2F" w:rsidRPr="00320520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0520">
              <w:rPr>
                <w:rFonts w:ascii="Times New Roman" w:hAnsi="Times New Roman" w:cs="Times New Roman"/>
                <w:b/>
                <w:sz w:val="20"/>
                <w:szCs w:val="20"/>
              </w:rPr>
              <w:t>10000</w:t>
            </w:r>
          </w:p>
        </w:tc>
      </w:tr>
    </w:tbl>
    <w:p w:rsidR="00CF0C2F" w:rsidRPr="00320520" w:rsidRDefault="00CF0C2F" w:rsidP="00CF0C2F">
      <w:pPr>
        <w:spacing w:line="25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0C2F" w:rsidRDefault="00CF0C2F" w:rsidP="00CF0C2F">
      <w:pPr>
        <w:pStyle w:val="Caption"/>
        <w:tabs>
          <w:tab w:val="left" w:pos="18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 Material</w:t>
      </w:r>
      <w:r w:rsidR="007B0B3B">
        <w:rPr>
          <w:rFonts w:ascii="Times New Roman" w:hAnsi="Times New Roman" w:cs="Times New Roman"/>
          <w:sz w:val="24"/>
          <w:szCs w:val="24"/>
        </w:rPr>
        <w:t xml:space="preserve"> 2 –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7B0B3B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of IPS solutions categorised by their yearly GHG emissions (CO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tonnes/yr.)</w:t>
      </w:r>
    </w:p>
    <w:tbl>
      <w:tblPr>
        <w:tblStyle w:val="ListTable2-Accent51"/>
        <w:tblW w:w="10083" w:type="dxa"/>
        <w:tblLayout w:type="fixed"/>
        <w:tblLook w:val="04A0" w:firstRow="1" w:lastRow="0" w:firstColumn="1" w:lastColumn="0" w:noHBand="0" w:noVBand="1"/>
      </w:tblPr>
      <w:tblGrid>
        <w:gridCol w:w="870"/>
        <w:gridCol w:w="547"/>
        <w:gridCol w:w="567"/>
        <w:gridCol w:w="567"/>
        <w:gridCol w:w="558"/>
        <w:gridCol w:w="576"/>
        <w:gridCol w:w="567"/>
        <w:gridCol w:w="567"/>
        <w:gridCol w:w="567"/>
        <w:gridCol w:w="568"/>
        <w:gridCol w:w="567"/>
        <w:gridCol w:w="567"/>
        <w:gridCol w:w="567"/>
        <w:gridCol w:w="567"/>
        <w:gridCol w:w="567"/>
        <w:gridCol w:w="567"/>
        <w:gridCol w:w="727"/>
      </w:tblGrid>
      <w:tr w:rsidR="00CF0C2F" w:rsidRPr="002E01B4" w:rsidTr="00113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IPS</w:t>
            </w:r>
          </w:p>
        </w:tc>
        <w:tc>
          <w:tcPr>
            <w:tcW w:w="8486" w:type="dxa"/>
            <w:gridSpan w:val="15"/>
          </w:tcPr>
          <w:p w:rsidR="00CF0C2F" w:rsidRPr="002E01B4" w:rsidRDefault="00CF0C2F" w:rsidP="00113FEA">
            <w:pPr>
              <w:tabs>
                <w:tab w:val="left" w:pos="185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Emissions – CO</w:t>
            </w:r>
            <w:r w:rsidRPr="002E01B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 xml:space="preserve"> (tonnes/yr.)</w:t>
            </w:r>
          </w:p>
        </w:tc>
        <w:tc>
          <w:tcPr>
            <w:tcW w:w="727" w:type="dxa"/>
          </w:tcPr>
          <w:p w:rsidR="00CF0C2F" w:rsidRPr="002E01B4" w:rsidRDefault="00CF0C2F" w:rsidP="00113FEA">
            <w:pPr>
              <w:tabs>
                <w:tab w:val="left" w:pos="185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C2F" w:rsidRPr="002E01B4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55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576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56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72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</w:tr>
      <w:tr w:rsidR="00CF0C2F" w:rsidRPr="002E01B4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RES</w:t>
            </w:r>
          </w:p>
        </w:tc>
        <w:tc>
          <w:tcPr>
            <w:tcW w:w="54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0C2F" w:rsidRPr="002E01B4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GS</w:t>
            </w:r>
          </w:p>
        </w:tc>
        <w:tc>
          <w:tcPr>
            <w:tcW w:w="54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0C2F" w:rsidRPr="002E01B4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IHSS</w:t>
            </w:r>
          </w:p>
        </w:tc>
        <w:tc>
          <w:tcPr>
            <w:tcW w:w="54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2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CF0C2F" w:rsidRPr="002E01B4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IHSBS</w:t>
            </w:r>
          </w:p>
        </w:tc>
        <w:tc>
          <w:tcPr>
            <w:tcW w:w="54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0C2F" w:rsidRPr="002E01B4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16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C2F" w:rsidRPr="002E01B4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IPS</w:t>
            </w:r>
          </w:p>
        </w:tc>
        <w:tc>
          <w:tcPr>
            <w:tcW w:w="9213" w:type="dxa"/>
            <w:gridSpan w:val="16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Emissions – CO</w:t>
            </w:r>
            <w:r w:rsidRPr="002E01B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(tonnes/yr.)</w:t>
            </w:r>
          </w:p>
        </w:tc>
      </w:tr>
      <w:tr w:rsidR="00CF0C2F" w:rsidRPr="002E01B4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558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576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8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2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</w:tr>
      <w:tr w:rsidR="00CF0C2F" w:rsidRPr="002E01B4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RES</w:t>
            </w:r>
          </w:p>
        </w:tc>
        <w:tc>
          <w:tcPr>
            <w:tcW w:w="54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0C2F" w:rsidRPr="002E01B4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GS</w:t>
            </w:r>
          </w:p>
        </w:tc>
        <w:tc>
          <w:tcPr>
            <w:tcW w:w="54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8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F0C2F" w:rsidRPr="002E01B4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IHSS</w:t>
            </w:r>
          </w:p>
        </w:tc>
        <w:tc>
          <w:tcPr>
            <w:tcW w:w="54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5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76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2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</w:tr>
      <w:tr w:rsidR="00CF0C2F" w:rsidRPr="002E01B4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IHSBS</w:t>
            </w:r>
          </w:p>
        </w:tc>
        <w:tc>
          <w:tcPr>
            <w:tcW w:w="54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8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727" w:type="dxa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CF0C2F" w:rsidRPr="002E01B4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3" w:type="dxa"/>
            <w:gridSpan w:val="17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0C2F" w:rsidRPr="002E01B4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IPS</w:t>
            </w:r>
          </w:p>
        </w:tc>
        <w:tc>
          <w:tcPr>
            <w:tcW w:w="9213" w:type="dxa"/>
            <w:gridSpan w:val="16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Emissions – CO</w:t>
            </w:r>
            <w:r w:rsidRPr="002E01B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(tonnes/yr.)</w:t>
            </w:r>
          </w:p>
        </w:tc>
      </w:tr>
      <w:tr w:rsidR="00CF0C2F" w:rsidRPr="002E01B4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5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76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56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CF0C2F" w:rsidRPr="002E01B4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RES</w:t>
            </w:r>
          </w:p>
        </w:tc>
        <w:tc>
          <w:tcPr>
            <w:tcW w:w="54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2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F0C2F" w:rsidRPr="002E01B4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GS</w:t>
            </w:r>
          </w:p>
        </w:tc>
        <w:tc>
          <w:tcPr>
            <w:tcW w:w="54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F0C2F" w:rsidRPr="002E01B4" w:rsidTr="00113F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IHSS</w:t>
            </w:r>
          </w:p>
        </w:tc>
        <w:tc>
          <w:tcPr>
            <w:tcW w:w="54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5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76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</w:tr>
      <w:tr w:rsidR="00CF0C2F" w:rsidRPr="002E01B4" w:rsidTr="00113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b w:val="0"/>
                <w:sz w:val="20"/>
                <w:szCs w:val="20"/>
              </w:rPr>
              <w:t>IHSBS</w:t>
            </w:r>
          </w:p>
        </w:tc>
        <w:tc>
          <w:tcPr>
            <w:tcW w:w="54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5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76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8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56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CF0C2F" w:rsidRPr="002E01B4" w:rsidRDefault="00CF0C2F" w:rsidP="00113FEA">
            <w:pPr>
              <w:tabs>
                <w:tab w:val="left" w:pos="18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1B4">
              <w:rPr>
                <w:rFonts w:ascii="Times New Roman" w:hAnsi="Times New Roman" w:cs="Times New Roman"/>
                <w:sz w:val="20"/>
                <w:szCs w:val="20"/>
              </w:rPr>
              <w:t>10000</w:t>
            </w:r>
          </w:p>
        </w:tc>
      </w:tr>
    </w:tbl>
    <w:p w:rsidR="00CF0C2F" w:rsidRPr="00CF0C2F" w:rsidRDefault="00CF0C2F">
      <w:pPr>
        <w:rPr>
          <w:rFonts w:ascii="Times New Roman" w:hAnsi="Times New Roman" w:cs="Times New Roman"/>
          <w:sz w:val="24"/>
          <w:szCs w:val="24"/>
        </w:rPr>
      </w:pPr>
    </w:p>
    <w:sectPr w:rsidR="00CF0C2F" w:rsidRPr="00CF0C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2F"/>
    <w:rsid w:val="007B0B3B"/>
    <w:rsid w:val="00A6289A"/>
    <w:rsid w:val="00AB2E64"/>
    <w:rsid w:val="00C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F12A8B-40B3-4023-BEB5-8E8D5844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F0C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ListTable2-Accent5">
    <w:name w:val="List Table 2 Accent 5"/>
    <w:basedOn w:val="TableNormal"/>
    <w:uiPriority w:val="47"/>
    <w:rsid w:val="00CF0C2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-Accent51">
    <w:name w:val="List Table 2 - Accent 51"/>
    <w:basedOn w:val="TableNormal"/>
    <w:next w:val="ListTable2-Accent5"/>
    <w:uiPriority w:val="47"/>
    <w:rsid w:val="00CF0C2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Olowosejeje</dc:creator>
  <cp:keywords/>
  <dc:description/>
  <cp:lastModifiedBy>Samuel Olowosejeje</cp:lastModifiedBy>
  <cp:revision>1</cp:revision>
  <dcterms:created xsi:type="dcterms:W3CDTF">2021-02-25T17:55:00Z</dcterms:created>
  <dcterms:modified xsi:type="dcterms:W3CDTF">2021-02-25T18:47:00Z</dcterms:modified>
</cp:coreProperties>
</file>