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04A8A" w14:textId="77777777" w:rsidR="00ED71C3" w:rsidRPr="00D662A7" w:rsidRDefault="00ED71C3" w:rsidP="00011485">
      <w:pPr>
        <w:pStyle w:val="Heading1"/>
      </w:pPr>
      <w:bookmarkStart w:id="0" w:name="_Ref3822578"/>
      <w:bookmarkStart w:id="1" w:name="_Ref3822599"/>
      <w:bookmarkStart w:id="2" w:name="_Ref3822678"/>
      <w:bookmarkStart w:id="3" w:name="_Toc4076817"/>
      <w:bookmarkStart w:id="4" w:name="_GoBack"/>
      <w:bookmarkEnd w:id="4"/>
      <w:r w:rsidRPr="00D662A7">
        <w:t>Narrative summaries by adverse outcome</w:t>
      </w:r>
    </w:p>
    <w:p w14:paraId="713867B9" w14:textId="77777777" w:rsidR="00ED71C3" w:rsidRPr="00D662A7" w:rsidRDefault="00ED71C3" w:rsidP="00ED71C3">
      <w:r w:rsidRPr="00D662A7">
        <w:t>Where a study considered more than one potential adverse outcome these are cross-referenced via a footnote. Where the overall conclusion of the study was different to the conclusion regarding a specific outcome (e.g. the general conclusion was ‘safe’ but ‘unclear’ for the specific outcome), we have noted this.</w:t>
      </w:r>
    </w:p>
    <w:p w14:paraId="1BF00B03" w14:textId="77777777" w:rsidR="00D84079" w:rsidRPr="00D662A7" w:rsidRDefault="00D84079" w:rsidP="00ED71C3">
      <w:pPr>
        <w:pStyle w:val="Heading2"/>
      </w:pPr>
      <w:r w:rsidRPr="00D662A7">
        <w:t>Low Mood or Depression</w:t>
      </w:r>
      <w:bookmarkEnd w:id="0"/>
      <w:bookmarkEnd w:id="1"/>
      <w:bookmarkEnd w:id="2"/>
      <w:bookmarkEnd w:id="3"/>
    </w:p>
    <w:p w14:paraId="62E32DA8" w14:textId="77777777" w:rsidR="00D84079" w:rsidRPr="00D662A7" w:rsidRDefault="00D84079" w:rsidP="00D84079">
      <w:pPr>
        <w:rPr>
          <w:lang w:eastAsia="en-GB"/>
        </w:rPr>
      </w:pPr>
      <w:r w:rsidRPr="00D662A7">
        <w:rPr>
          <w:lang w:eastAsia="en-GB"/>
        </w:rPr>
        <w:t xml:space="preserve">Fourteen studies reported on low mood or depression as a potential adverse outcome of long-term MPH treatment: eight comparative studies, three non-comparative studies, and three case reports. The evidence regarding Low Mood/Depression is summarised in </w:t>
      </w:r>
      <w:bookmarkStart w:id="5" w:name="_Comparative_group_studies_7"/>
      <w:bookmarkEnd w:id="5"/>
      <w:r w:rsidRPr="00D662A7">
        <w:t xml:space="preserve">Table </w:t>
      </w:r>
      <w:r w:rsidRPr="00D662A7">
        <w:rPr>
          <w:noProof/>
        </w:rPr>
        <w:t>9</w:t>
      </w:r>
      <w:r w:rsidRPr="00D662A7">
        <w:rPr>
          <w:lang w:eastAsia="en-GB"/>
        </w:rPr>
        <w:t>.</w:t>
      </w:r>
    </w:p>
    <w:p w14:paraId="405B6F61" w14:textId="77777777" w:rsidR="00D84079" w:rsidRPr="00D662A7" w:rsidRDefault="00D84079" w:rsidP="00ED71C3">
      <w:pPr>
        <w:pStyle w:val="Heading3"/>
      </w:pPr>
      <w:r w:rsidRPr="00D662A7">
        <w:t>Comparative group studies</w:t>
      </w:r>
    </w:p>
    <w:p w14:paraId="0ECCC4EB" w14:textId="77777777" w:rsidR="00D84079" w:rsidRPr="00D662A7" w:rsidRDefault="00D84079" w:rsidP="00D84079">
      <w:pPr>
        <w:rPr>
          <w:lang w:eastAsia="en-GB"/>
        </w:rPr>
      </w:pPr>
      <w:r w:rsidRPr="00D662A7">
        <w:rPr>
          <w:lang w:eastAsia="en-GB"/>
        </w:rPr>
        <w:t xml:space="preserve">Of the eight comparative studies, we coded three as </w:t>
      </w:r>
      <w:r w:rsidRPr="00D662A7">
        <w:rPr>
          <w:i/>
          <w:lang w:eastAsia="en-GB"/>
        </w:rPr>
        <w:t>Favours MPH</w:t>
      </w:r>
      <w:r w:rsidRPr="00D662A7">
        <w:rPr>
          <w:lang w:eastAsia="en-GB"/>
        </w:rPr>
        <w:t xml:space="preserve">. The remaining five were coded as unclear on mood outcomes (although some reported favourable effects on other outcomes). </w:t>
      </w:r>
    </w:p>
    <w:p w14:paraId="60AB1554" w14:textId="77777777" w:rsidR="00D84079" w:rsidRPr="00D662A7" w:rsidRDefault="00D84079" w:rsidP="00ED71C3">
      <w:pPr>
        <w:pStyle w:val="Heading4"/>
      </w:pPr>
      <w:r w:rsidRPr="00D662A7">
        <w:t>Favours MPH</w:t>
      </w:r>
    </w:p>
    <w:p w14:paraId="1E5E2CEE" w14:textId="77777777" w:rsidR="00D84079" w:rsidRPr="00D662A7" w:rsidRDefault="00D84079" w:rsidP="00D84079">
      <w:r w:rsidRPr="00D662A7">
        <w:rPr>
          <w:lang w:eastAsia="en-GB"/>
        </w:rPr>
        <w:t xml:space="preserve">Two large studies included a comparison with atomoxetine. These were Cortese et al.’s </w:t>
      </w:r>
      <w:r w:rsidRPr="00D662A7">
        <w:rPr>
          <w:rFonts w:cs="Calibri"/>
        </w:rPr>
        <w:t>(2015)</w:t>
      </w:r>
      <w:r w:rsidRPr="00D662A7">
        <w:rPr>
          <w:lang w:eastAsia="en-GB"/>
        </w:rPr>
        <w:t xml:space="preserve"> large Italian pharmacovigilance study, and</w:t>
      </w:r>
      <w:r w:rsidRPr="00D662A7">
        <w:rPr>
          <w:rFonts w:cs="Calibri"/>
          <w:color w:val="000000"/>
          <w:lang w:eastAsia="en-GB"/>
        </w:rPr>
        <w:t xml:space="preserve"> </w:t>
      </w:r>
      <w:proofErr w:type="spellStart"/>
      <w:r w:rsidRPr="00D662A7">
        <w:rPr>
          <w:rFonts w:cs="Calibri"/>
          <w:color w:val="000000"/>
          <w:lang w:eastAsia="en-GB"/>
        </w:rPr>
        <w:t>M.J.Lee</w:t>
      </w:r>
      <w:proofErr w:type="spellEnd"/>
      <w:r w:rsidRPr="00D662A7">
        <w:rPr>
          <w:rFonts w:cs="Calibri"/>
          <w:color w:val="000000"/>
          <w:lang w:eastAsia="en-GB"/>
        </w:rPr>
        <w:t xml:space="preserve"> et al.’s </w:t>
      </w:r>
      <w:r w:rsidRPr="00D662A7">
        <w:rPr>
          <w:rFonts w:cs="Calibri"/>
        </w:rPr>
        <w:t>(2016)</w:t>
      </w:r>
      <w:r w:rsidRPr="00D662A7">
        <w:t xml:space="preserve"> study using the Taiwan National Health Insurance database. </w:t>
      </w:r>
      <w:r w:rsidRPr="00D662A7">
        <w:rPr>
          <w:lang w:eastAsia="en-GB"/>
        </w:rPr>
        <w:t xml:space="preserve">Cortese et al. </w:t>
      </w:r>
      <w:r w:rsidRPr="00D662A7">
        <w:rPr>
          <w:rFonts w:cs="Calibri"/>
        </w:rPr>
        <w:t>(2015)</w:t>
      </w:r>
      <w:r w:rsidRPr="00D662A7">
        <w:rPr>
          <w:lang w:eastAsia="en-GB"/>
        </w:rPr>
        <w:t xml:space="preserve"> </w:t>
      </w:r>
      <w:r w:rsidRPr="00D662A7">
        <w:rPr>
          <w:rFonts w:cs="Calibri"/>
          <w:color w:val="000000"/>
          <w:lang w:eastAsia="en-GB"/>
        </w:rPr>
        <w:t>found fewer mood Adverse Effects (AEs) for MPH than for atomoxetine, and significantly fewer in children with comorbidities</w:t>
      </w:r>
      <w:r w:rsidRPr="00D662A7">
        <w:rPr>
          <w:rStyle w:val="FootnoteReference"/>
        </w:rPr>
        <w:footnoteReference w:id="1"/>
      </w:r>
      <w:r w:rsidRPr="00D662A7">
        <w:rPr>
          <w:rFonts w:cs="Calibri"/>
          <w:color w:val="000000"/>
          <w:lang w:eastAsia="en-GB"/>
        </w:rPr>
        <w:t xml:space="preserve">, while </w:t>
      </w:r>
      <w:proofErr w:type="spellStart"/>
      <w:r w:rsidRPr="00D662A7">
        <w:rPr>
          <w:rFonts w:cs="Calibri"/>
          <w:color w:val="000000"/>
          <w:lang w:eastAsia="en-GB"/>
        </w:rPr>
        <w:t>M.J.Lee</w:t>
      </w:r>
      <w:proofErr w:type="spellEnd"/>
      <w:r w:rsidRPr="00D662A7">
        <w:rPr>
          <w:rFonts w:cs="Calibri"/>
          <w:color w:val="000000"/>
          <w:lang w:eastAsia="en-GB"/>
        </w:rPr>
        <w:t xml:space="preserve"> et al. </w:t>
      </w:r>
      <w:r w:rsidRPr="00D662A7">
        <w:rPr>
          <w:rFonts w:cs="Calibri"/>
        </w:rPr>
        <w:t>(2016)</w:t>
      </w:r>
      <w:r w:rsidRPr="00D662A7">
        <w:t xml:space="preserve"> found that while a diagnosis of ADHD elevated </w:t>
      </w:r>
      <w:r w:rsidRPr="00D662A7">
        <w:lastRenderedPageBreak/>
        <w:t xml:space="preserve">the risk of Major Depressive Disorder (MDD), defined using ICD-9-M codes, long-term treatment with MPH reduced this risk, an effect not seen for atomoxetine. </w:t>
      </w:r>
    </w:p>
    <w:p w14:paraId="1DEE7224" w14:textId="77777777" w:rsidR="00D84079" w:rsidRPr="00D662A7" w:rsidRDefault="00D84079" w:rsidP="00D84079">
      <w:pPr>
        <w:rPr>
          <w:lang w:eastAsia="en-GB"/>
        </w:rPr>
      </w:pPr>
      <w:r w:rsidRPr="00D662A7">
        <w:rPr>
          <w:color w:val="FF0000"/>
        </w:rPr>
        <w:t xml:space="preserve">The third study </w:t>
      </w:r>
      <w:r w:rsidRPr="00D662A7">
        <w:t xml:space="preserve">compared MPH with and without adjunct non-pharmacological treatment. </w:t>
      </w:r>
      <w:proofErr w:type="spellStart"/>
      <w:r w:rsidRPr="00D662A7">
        <w:rPr>
          <w:lang w:eastAsia="en-GB"/>
        </w:rPr>
        <w:t>Hechtman</w:t>
      </w:r>
      <w:proofErr w:type="spellEnd"/>
      <w:r w:rsidRPr="00D662A7">
        <w:rPr>
          <w:lang w:eastAsia="en-GB"/>
        </w:rPr>
        <w:t xml:space="preserve"> et al. </w:t>
      </w:r>
      <w:r w:rsidRPr="00D662A7">
        <w:rPr>
          <w:rFonts w:cs="Calibri"/>
        </w:rPr>
        <w:t>(</w:t>
      </w:r>
      <w:proofErr w:type="gramStart"/>
      <w:r w:rsidRPr="00D662A7">
        <w:rPr>
          <w:rFonts w:cs="Calibri"/>
        </w:rPr>
        <w:t>2004)</w:t>
      </w:r>
      <w:r w:rsidRPr="00D662A7">
        <w:rPr>
          <w:lang w:eastAsia="en-GB"/>
        </w:rPr>
        <w:t>conducted</w:t>
      </w:r>
      <w:proofErr w:type="gramEnd"/>
      <w:r w:rsidRPr="00D662A7">
        <w:rPr>
          <w:lang w:eastAsia="en-GB"/>
        </w:rPr>
        <w:t xml:space="preserve"> a two-year RCT in children and adolescents, and compared the effects on emotional status of MPH treatment alone with MPH plus two different psychotherapies. Mood outcomes were assessed using the self-rated Children’s Depression Inventory (CDI)</w:t>
      </w:r>
      <w:r w:rsidR="00DB7171" w:rsidRPr="00D662A7">
        <w:rPr>
          <w:lang w:eastAsia="en-GB"/>
        </w:rPr>
        <w:t xml:space="preserve"> (Kovacs, 1992)</w:t>
      </w:r>
      <w:r w:rsidRPr="00D662A7">
        <w:rPr>
          <w:lang w:eastAsia="en-GB"/>
        </w:rPr>
        <w:t>. They found all three MPH different treatment protocols equally effective in improving mood, with no significant advantage for adjunct psychotherapies.</w:t>
      </w:r>
      <w:r w:rsidRPr="00D662A7">
        <w:rPr>
          <w:rStyle w:val="FootnoteReference"/>
        </w:rPr>
        <w:footnoteReference w:id="2"/>
      </w:r>
      <w:r w:rsidRPr="00D662A7">
        <w:rPr>
          <w:lang w:eastAsia="en-GB"/>
        </w:rPr>
        <w:t xml:space="preserve"> </w:t>
      </w:r>
    </w:p>
    <w:p w14:paraId="5F9D9416" w14:textId="77777777" w:rsidR="00D84079" w:rsidRPr="00D662A7" w:rsidRDefault="00D84079" w:rsidP="00ED71C3">
      <w:pPr>
        <w:pStyle w:val="Heading4"/>
      </w:pPr>
      <w:r w:rsidRPr="00D662A7">
        <w:t xml:space="preserve">Unclear </w:t>
      </w:r>
    </w:p>
    <w:p w14:paraId="3B46F4FF" w14:textId="77777777" w:rsidR="00D84079" w:rsidRPr="00D662A7" w:rsidRDefault="00D84079" w:rsidP="00D84079">
      <w:pPr>
        <w:rPr>
          <w:lang w:eastAsia="en-GB"/>
        </w:rPr>
      </w:pPr>
      <w:r w:rsidRPr="00D662A7">
        <w:rPr>
          <w:lang w:eastAsia="en-GB"/>
        </w:rPr>
        <w:t xml:space="preserve">Of the studies we coded as ‘unclear’ for mood outcomes, two compared long-term MPH with no, or reduced, exposure to MPH. </w:t>
      </w:r>
      <w:proofErr w:type="spellStart"/>
      <w:r w:rsidRPr="00D662A7">
        <w:t>Hechtman</w:t>
      </w:r>
      <w:proofErr w:type="spellEnd"/>
      <w:r w:rsidRPr="00D662A7">
        <w:t xml:space="preserve"> et al. </w:t>
      </w:r>
      <w:r w:rsidRPr="00D662A7">
        <w:rPr>
          <w:rFonts w:cs="Calibri"/>
        </w:rPr>
        <w:t>(1984)</w:t>
      </w:r>
      <w:r w:rsidRPr="00D662A7">
        <w:rPr>
          <w:rFonts w:cs="Calibri"/>
          <w:color w:val="000000"/>
          <w:lang w:eastAsia="en-GB"/>
        </w:rPr>
        <w:t xml:space="preserve"> recruited 88 young adults who had been diagnosed with ADHD as children, 20 of whom had been treated with MPH, and a matched sample of 20 young adults without ADHD. They conducted psychiatric assessments on all participants using the Schedule for Affective Disorder and Schizophrenia </w:t>
      </w:r>
      <w:r w:rsidRPr="00D662A7">
        <w:rPr>
          <w:rFonts w:cs="Calibri"/>
        </w:rPr>
        <w:t>(Endicott and Spitzer, 1978)</w:t>
      </w:r>
      <w:r w:rsidRPr="00D662A7">
        <w:rPr>
          <w:rFonts w:cs="Calibri"/>
          <w:color w:val="000000"/>
          <w:lang w:eastAsia="en-GB"/>
        </w:rPr>
        <w:t xml:space="preserve"> and the</w:t>
      </w:r>
      <w:r w:rsidRPr="00D662A7">
        <w:t xml:space="preserve"> </w:t>
      </w:r>
      <w:r w:rsidRPr="00D662A7">
        <w:rPr>
          <w:rFonts w:cs="Calibri"/>
          <w:color w:val="000000"/>
          <w:lang w:eastAsia="en-GB"/>
        </w:rPr>
        <w:t xml:space="preserve">Symptom Checklist- 90 (SCL-90) </w:t>
      </w:r>
      <w:r w:rsidRPr="00D662A7">
        <w:rPr>
          <w:rFonts w:cs="Calibri"/>
        </w:rPr>
        <w:t>(</w:t>
      </w:r>
      <w:proofErr w:type="spellStart"/>
      <w:r w:rsidRPr="00D662A7">
        <w:rPr>
          <w:rFonts w:cs="Calibri"/>
        </w:rPr>
        <w:t>Derogatis</w:t>
      </w:r>
      <w:proofErr w:type="spellEnd"/>
      <w:r w:rsidRPr="00D662A7">
        <w:rPr>
          <w:rFonts w:cs="Calibri"/>
        </w:rPr>
        <w:t xml:space="preserve"> and Cleary, 1977)</w:t>
      </w:r>
      <w:r w:rsidRPr="00D662A7">
        <w:rPr>
          <w:rFonts w:cs="Calibri"/>
          <w:color w:val="000000"/>
          <w:lang w:eastAsia="en-GB"/>
        </w:rPr>
        <w:t xml:space="preserve">. </w:t>
      </w:r>
      <w:r w:rsidRPr="00D662A7">
        <w:rPr>
          <w:lang w:eastAsia="en-GB"/>
        </w:rPr>
        <w:t>They found no significant differences in mood between the three groups, but some other outcomes were better in those who had been treated with stimulant medication in childhood.</w:t>
      </w:r>
      <w:r w:rsidRPr="00D662A7">
        <w:rPr>
          <w:rStyle w:val="FootnoteReference"/>
        </w:rPr>
        <w:footnoteReference w:id="3"/>
      </w:r>
      <w:r w:rsidRPr="00D662A7">
        <w:rPr>
          <w:lang w:eastAsia="en-GB"/>
        </w:rPr>
        <w:t xml:space="preserve"> </w:t>
      </w:r>
      <w:proofErr w:type="spellStart"/>
      <w:r w:rsidRPr="00D662A7">
        <w:rPr>
          <w:lang w:eastAsia="en-GB"/>
        </w:rPr>
        <w:t>Paternite</w:t>
      </w:r>
      <w:proofErr w:type="spellEnd"/>
      <w:r w:rsidRPr="00D662A7">
        <w:rPr>
          <w:lang w:eastAsia="en-GB"/>
        </w:rPr>
        <w:t xml:space="preserve"> et al. </w:t>
      </w:r>
      <w:r w:rsidRPr="00D662A7">
        <w:rPr>
          <w:rFonts w:cs="Calibri"/>
        </w:rPr>
        <w:t>(1999)</w:t>
      </w:r>
      <w:r w:rsidRPr="00D662A7">
        <w:rPr>
          <w:lang w:eastAsia="en-GB"/>
        </w:rPr>
        <w:t xml:space="preserve"> conducted retrospective chart review of 97 young adult men who had been diagnosed with ADHD in childhood, and treated with MPH for an average of 30 months at various exposures. The authors used the Schedule for Affective </w:t>
      </w:r>
      <w:r w:rsidRPr="00D662A7">
        <w:rPr>
          <w:lang w:eastAsia="en-GB"/>
        </w:rPr>
        <w:lastRenderedPageBreak/>
        <w:t xml:space="preserve">Disorders and Schizophrenia (SADS-L) </w:t>
      </w:r>
      <w:r w:rsidRPr="00D662A7">
        <w:rPr>
          <w:rFonts w:cs="Calibri"/>
        </w:rPr>
        <w:t>(Endicott and Spitzer, 1978)</w:t>
      </w:r>
      <w:r w:rsidRPr="00D662A7">
        <w:rPr>
          <w:lang w:eastAsia="en-GB"/>
        </w:rPr>
        <w:t xml:space="preserve"> and the Minnesota Multiphasic Personality Inventory (MMPI) </w:t>
      </w:r>
      <w:r w:rsidRPr="00D662A7">
        <w:rPr>
          <w:rFonts w:cs="Calibri"/>
        </w:rPr>
        <w:t>(Hathaway and McKinley, 1951)</w:t>
      </w:r>
      <w:r w:rsidRPr="00D662A7">
        <w:rPr>
          <w:lang w:eastAsia="en-GB"/>
        </w:rPr>
        <w:t xml:space="preserve"> to evaluate a range of psychiatric outcomes, including mood. They found that while ADHD symptom severity generally predicted poor outcomes, where treatment duration, dosage or response were significant predictors of adult psychiatric outcomes, the findings favoured MPH treatment. However, in the case of depression measures specifically, although a positive response to MPH treatment was associated with less depression, they found no statistically significant relationship (positive or negative) with either dose or duration of treatment.</w:t>
      </w:r>
      <w:r w:rsidRPr="00D662A7">
        <w:rPr>
          <w:rStyle w:val="FootnoteReference"/>
        </w:rPr>
        <w:footnoteReference w:id="4"/>
      </w:r>
      <w:r w:rsidRPr="00D662A7">
        <w:rPr>
          <w:lang w:eastAsia="en-GB"/>
        </w:rPr>
        <w:t xml:space="preserve"> </w:t>
      </w:r>
    </w:p>
    <w:p w14:paraId="2C31AEC8" w14:textId="77777777" w:rsidR="00D84079" w:rsidRPr="00D662A7" w:rsidRDefault="00D84079" w:rsidP="00D84079">
      <w:pPr>
        <w:rPr>
          <w:lang w:eastAsia="en-GB"/>
        </w:rPr>
      </w:pPr>
      <w:r w:rsidRPr="00D662A7">
        <w:t xml:space="preserve">The three other studies for which we coded the results as unclear were quite different, one being a study of pre-schoolers treated with either MPH or another stimulant, one being a study of adults whose age of onset of long-term MPH treatment differed, and one a comparison of MPH and with and without adjunct psychotherapy. </w:t>
      </w:r>
      <w:proofErr w:type="spellStart"/>
      <w:r w:rsidRPr="00D662A7">
        <w:t>Ghuman</w:t>
      </w:r>
      <w:proofErr w:type="spellEnd"/>
      <w:r w:rsidRPr="00D662A7">
        <w:t xml:space="preserve"> et al. </w:t>
      </w:r>
      <w:r w:rsidRPr="00D662A7">
        <w:rPr>
          <w:rFonts w:cs="Calibri"/>
        </w:rPr>
        <w:t>(2001)</w:t>
      </w:r>
      <w:r w:rsidRPr="00D662A7">
        <w:t xml:space="preserve"> conducted a retrospective chart review of 27 pre-schoolers with ADHD who had been treated with stimulant medication (MPH, dexamphetamine and Adderall) over three, 12 and 24 months of treatment. The authors rated side effects using the 4-point Side Effects Rating Form (SERF) used in the MTA study </w:t>
      </w:r>
      <w:r w:rsidRPr="00D662A7">
        <w:rPr>
          <w:rFonts w:cs="Calibri"/>
        </w:rPr>
        <w:t>(Jensen, 1999)</w:t>
      </w:r>
      <w:r w:rsidRPr="00D662A7">
        <w:t>, and these included effects on mood.</w:t>
      </w:r>
      <w:r w:rsidRPr="00D662A7">
        <w:rPr>
          <w:rStyle w:val="FootnoteReference"/>
        </w:rPr>
        <w:t xml:space="preserve"> </w:t>
      </w:r>
      <w:r w:rsidRPr="00D662A7">
        <w:rPr>
          <w:rStyle w:val="FootnoteReference"/>
        </w:rPr>
        <w:footnoteReference w:id="5"/>
      </w:r>
      <w:r w:rsidRPr="00D662A7">
        <w:t xml:space="preserve"> These authors urged caution overall given the high rate of AEs overall and the young age of the participants. However with respect to mood, they found no difference between the three stimulant medications. </w:t>
      </w:r>
    </w:p>
    <w:p w14:paraId="090B07D3" w14:textId="77777777" w:rsidR="00D84079" w:rsidRPr="00D662A7" w:rsidRDefault="00D84079" w:rsidP="00D84079">
      <w:pPr>
        <w:rPr>
          <w:lang w:eastAsia="en-GB"/>
        </w:rPr>
      </w:pPr>
      <w:proofErr w:type="spellStart"/>
      <w:r w:rsidRPr="00D662A7">
        <w:rPr>
          <w:lang w:eastAsia="en-GB"/>
        </w:rPr>
        <w:t>Schrantee</w:t>
      </w:r>
      <w:proofErr w:type="spellEnd"/>
      <w:r w:rsidRPr="00D662A7">
        <w:rPr>
          <w:lang w:eastAsia="en-GB"/>
        </w:rPr>
        <w:t xml:space="preserve"> et al. </w:t>
      </w:r>
      <w:r w:rsidRPr="00D662A7">
        <w:rPr>
          <w:rFonts w:cs="Calibri"/>
        </w:rPr>
        <w:t>(2018)</w:t>
      </w:r>
      <w:r w:rsidRPr="00D662A7">
        <w:rPr>
          <w:lang w:eastAsia="en-GB"/>
        </w:rPr>
        <w:t xml:space="preserve"> used the BDI to measure depressive symptoms in an fMRI study of long term effects of MPH in 91 adults, and found higher symptom scores in those whose </w:t>
      </w:r>
      <w:r w:rsidRPr="00D662A7">
        <w:rPr>
          <w:lang w:eastAsia="en-GB"/>
        </w:rPr>
        <w:lastRenderedPageBreak/>
        <w:t>onset of long-term MPH treatment had been at a younger age (&lt;16 years) than those who has been treated later (&gt;23 years). However, they acknowledged this could have been due to higher symptom severity in childhood in the early-treated group.</w:t>
      </w:r>
      <w:r w:rsidRPr="00D662A7">
        <w:rPr>
          <w:rStyle w:val="FootnoteReference"/>
        </w:rPr>
        <w:footnoteReference w:id="6"/>
      </w:r>
      <w:r w:rsidRPr="00D662A7">
        <w:rPr>
          <w:lang w:eastAsia="en-GB"/>
        </w:rPr>
        <w:t xml:space="preserve"> </w:t>
      </w:r>
    </w:p>
    <w:p w14:paraId="0737E2FA" w14:textId="77777777" w:rsidR="00D84079" w:rsidRPr="00D662A7" w:rsidRDefault="00D84079" w:rsidP="00D84079">
      <w:pPr>
        <w:rPr>
          <w:b/>
          <w:lang w:eastAsia="en-GB"/>
        </w:rPr>
      </w:pPr>
      <w:proofErr w:type="spellStart"/>
      <w:r w:rsidRPr="00D662A7">
        <w:rPr>
          <w:lang w:eastAsia="en-GB"/>
        </w:rPr>
        <w:t>Philipsen</w:t>
      </w:r>
      <w:proofErr w:type="spellEnd"/>
      <w:r w:rsidRPr="00D662A7">
        <w:rPr>
          <w:lang w:eastAsia="en-GB"/>
        </w:rPr>
        <w:t xml:space="preserve"> et al. </w:t>
      </w:r>
      <w:r w:rsidRPr="00D662A7">
        <w:rPr>
          <w:rFonts w:cs="Calibri"/>
        </w:rPr>
        <w:t>(2015)</w:t>
      </w:r>
      <w:r w:rsidRPr="00D662A7">
        <w:rPr>
          <w:lang w:eastAsia="en-GB"/>
        </w:rPr>
        <w:t xml:space="preserve"> conducted a factorial design RCT for one year in adults with ADHD to investigate effects on mood of MPH or group cognitive behavioural therapy (CBT). The factors were medication (two levels: MPH vs placebo) and non-pharmacological support (two levels: CBT vs clinical management). Mood was measured using the Beck Depression Inventory (BDI) </w:t>
      </w:r>
      <w:r w:rsidRPr="00D662A7">
        <w:rPr>
          <w:rFonts w:cs="Calibri"/>
        </w:rPr>
        <w:t>(Beck et al., 1996)</w:t>
      </w:r>
      <w:r w:rsidRPr="00D662A7">
        <w:rPr>
          <w:lang w:eastAsia="en-GB"/>
        </w:rPr>
        <w:t>. They reported significantly better ADHD symptom control for MPH over placebo but BDI scores did not differ significantly.</w:t>
      </w:r>
    </w:p>
    <w:p w14:paraId="060B4294" w14:textId="77777777" w:rsidR="00D84079" w:rsidRPr="00D662A7" w:rsidRDefault="00D84079" w:rsidP="00ED71C3">
      <w:pPr>
        <w:pStyle w:val="Heading3"/>
      </w:pPr>
      <w:bookmarkStart w:id="6" w:name="_Non-comparative_group_studies_7"/>
      <w:bookmarkEnd w:id="6"/>
      <w:r w:rsidRPr="00D662A7">
        <w:t>Non-comparative group studies</w:t>
      </w:r>
    </w:p>
    <w:p w14:paraId="7905CC41" w14:textId="77777777" w:rsidR="00D84079" w:rsidRPr="00D662A7" w:rsidRDefault="00D84079" w:rsidP="00D84079">
      <w:pPr>
        <w:rPr>
          <w:lang w:eastAsia="en-GB"/>
        </w:rPr>
      </w:pPr>
      <w:r w:rsidRPr="00D662A7">
        <w:rPr>
          <w:lang w:eastAsia="en-GB"/>
        </w:rPr>
        <w:t xml:space="preserve">Of the three non-comparative studies, we coded two as </w:t>
      </w:r>
      <w:r w:rsidRPr="00D662A7">
        <w:rPr>
          <w:i/>
          <w:lang w:eastAsia="en-GB"/>
        </w:rPr>
        <w:t>Safe</w:t>
      </w:r>
      <w:r w:rsidRPr="00D662A7">
        <w:rPr>
          <w:lang w:eastAsia="en-GB"/>
        </w:rPr>
        <w:t xml:space="preserve"> overall, and the third as </w:t>
      </w:r>
      <w:r w:rsidRPr="00D662A7">
        <w:rPr>
          <w:i/>
          <w:lang w:eastAsia="en-GB"/>
        </w:rPr>
        <w:t>Safe</w:t>
      </w:r>
      <w:r w:rsidRPr="00D662A7">
        <w:rPr>
          <w:lang w:eastAsia="en-GB"/>
        </w:rPr>
        <w:t xml:space="preserve"> for this outcome but </w:t>
      </w:r>
      <w:r w:rsidRPr="00D662A7">
        <w:rPr>
          <w:i/>
          <w:lang w:eastAsia="en-GB"/>
        </w:rPr>
        <w:t>Proceed with Caution</w:t>
      </w:r>
      <w:r w:rsidRPr="00D662A7">
        <w:rPr>
          <w:lang w:eastAsia="en-GB"/>
        </w:rPr>
        <w:t xml:space="preserve"> overall.</w:t>
      </w:r>
    </w:p>
    <w:p w14:paraId="6E79C50F" w14:textId="77777777" w:rsidR="00D84079" w:rsidRPr="00D662A7" w:rsidRDefault="00D84079" w:rsidP="00ED71C3">
      <w:pPr>
        <w:pStyle w:val="Heading4"/>
      </w:pPr>
      <w:r w:rsidRPr="00D662A7">
        <w:t>Safe</w:t>
      </w:r>
    </w:p>
    <w:p w14:paraId="5089BC92" w14:textId="77777777" w:rsidR="00D84079" w:rsidRPr="00D662A7" w:rsidRDefault="00D84079" w:rsidP="00D84079">
      <w:pPr>
        <w:rPr>
          <w:lang w:eastAsia="en-GB"/>
        </w:rPr>
      </w:pPr>
      <w:r w:rsidRPr="00D662A7">
        <w:rPr>
          <w:lang w:eastAsia="en-GB"/>
        </w:rPr>
        <w:t xml:space="preserve">In a prospective open-label longitudinal study of 118 boys with ADHD and ODD/CD treated with MPH for 12 months, </w:t>
      </w:r>
      <w:proofErr w:type="spellStart"/>
      <w:r w:rsidRPr="00D662A7">
        <w:rPr>
          <w:lang w:eastAsia="en-GB"/>
        </w:rPr>
        <w:t>Kutlu</w:t>
      </w:r>
      <w:proofErr w:type="spellEnd"/>
      <w:r w:rsidRPr="00D662A7">
        <w:rPr>
          <w:lang w:eastAsia="en-GB"/>
        </w:rPr>
        <w:t xml:space="preserve"> et al. </w:t>
      </w:r>
      <w:r w:rsidRPr="00D662A7">
        <w:rPr>
          <w:rFonts w:cs="Calibri"/>
        </w:rPr>
        <w:t>(2017)</w:t>
      </w:r>
      <w:r w:rsidRPr="00D662A7">
        <w:rPr>
          <w:lang w:eastAsia="en-GB"/>
        </w:rPr>
        <w:t xml:space="preserve"> found high levels of emotional dysregulation (ED) at baseline, and improvements in symptoms of ED, including symptoms of depression/anxiety after 12 months</w:t>
      </w:r>
      <w:r w:rsidRPr="00D662A7">
        <w:rPr>
          <w:i/>
          <w:lang w:eastAsia="en-GB"/>
        </w:rPr>
        <w:t>.</w:t>
      </w:r>
      <w:r w:rsidRPr="00D662A7">
        <w:rPr>
          <w:rStyle w:val="FootnoteReference"/>
        </w:rPr>
        <w:footnoteReference w:id="7"/>
      </w:r>
      <w:r w:rsidRPr="00D662A7">
        <w:rPr>
          <w:i/>
          <w:lang w:eastAsia="en-GB"/>
        </w:rPr>
        <w:t xml:space="preserve"> </w:t>
      </w:r>
    </w:p>
    <w:p w14:paraId="4F140B13" w14:textId="77777777" w:rsidR="00D84079" w:rsidRPr="00D662A7" w:rsidRDefault="00D84079" w:rsidP="00D84079">
      <w:proofErr w:type="spellStart"/>
      <w:r w:rsidRPr="00D662A7">
        <w:rPr>
          <w:lang w:eastAsia="en-GB"/>
        </w:rPr>
        <w:t>Edvinsson</w:t>
      </w:r>
      <w:proofErr w:type="spellEnd"/>
      <w:r w:rsidRPr="00D662A7">
        <w:rPr>
          <w:lang w:eastAsia="en-GB"/>
        </w:rPr>
        <w:t xml:space="preserve"> et al. </w:t>
      </w:r>
      <w:r w:rsidRPr="00D662A7">
        <w:rPr>
          <w:rFonts w:cs="Calibri"/>
        </w:rPr>
        <w:t>(2018)</w:t>
      </w:r>
      <w:r w:rsidRPr="00D662A7">
        <w:rPr>
          <w:lang w:eastAsia="en-GB"/>
        </w:rPr>
        <w:t xml:space="preserve"> followed up 112 adults with ADHD six years after first evaluation, using clinical records, questionnaires, and an interview to obtain data on medication, AEs and treatment response. Of the 55 participants (49%) who had discontinued treatment, all </w:t>
      </w:r>
      <w:r w:rsidRPr="00D662A7">
        <w:rPr>
          <w:lang w:eastAsia="en-GB"/>
        </w:rPr>
        <w:lastRenderedPageBreak/>
        <w:t>had been on MPH for part of the time, and the median duration of treatment was 62 months. Elevated mood or hypomania was the second most common reason given for discontinuation of MPH (11%), after lack of clinical effect (29%). Depressed mood was given as the reason by 7%. Of the 57 who were still on medication, 49 (86%) were taking either MPH or MPH plus atomoxetine (N=3). Of these, 5 (10%) reported depressed mood, and 3 (6%) elevated mood. The authors’ general conclusion was that MPH was tolerable for most patients.</w:t>
      </w:r>
      <w:r w:rsidRPr="00D662A7">
        <w:rPr>
          <w:rStyle w:val="FootnoteReference"/>
        </w:rPr>
        <w:footnoteReference w:id="8"/>
      </w:r>
    </w:p>
    <w:p w14:paraId="4EF9B02B" w14:textId="77777777" w:rsidR="00D84079" w:rsidRPr="00D662A7" w:rsidRDefault="00D84079" w:rsidP="00D84079">
      <w:pPr>
        <w:rPr>
          <w:lang w:eastAsia="en-GB"/>
        </w:rPr>
      </w:pPr>
      <w:r w:rsidRPr="00D662A7">
        <w:rPr>
          <w:lang w:eastAsia="en-GB"/>
        </w:rPr>
        <w:t xml:space="preserve">In a prospective open-label extension of an RCT of MPH in 34 children with tic disorders </w:t>
      </w:r>
      <w:proofErr w:type="spellStart"/>
      <w:r w:rsidRPr="00D662A7">
        <w:rPr>
          <w:lang w:eastAsia="en-GB"/>
        </w:rPr>
        <w:t>Gadow</w:t>
      </w:r>
      <w:proofErr w:type="spellEnd"/>
      <w:r w:rsidRPr="00D662A7">
        <w:rPr>
          <w:lang w:eastAsia="en-GB"/>
        </w:rPr>
        <w:t xml:space="preserve"> et al. </w:t>
      </w:r>
      <w:r w:rsidRPr="00D662A7">
        <w:rPr>
          <w:rFonts w:cs="Calibri"/>
        </w:rPr>
        <w:t>(1999)</w:t>
      </w:r>
      <w:r w:rsidRPr="00D662A7">
        <w:rPr>
          <w:lang w:eastAsia="en-GB"/>
        </w:rPr>
        <w:t xml:space="preserve"> evaluated a range of psychiatric symptoms after two years of MPH treatment, using the </w:t>
      </w:r>
      <w:r w:rsidRPr="00D662A7">
        <w:t>Child Symptom Inventory (</w:t>
      </w:r>
      <w:r w:rsidRPr="00D662A7">
        <w:rPr>
          <w:lang w:eastAsia="en-GB"/>
        </w:rPr>
        <w:t xml:space="preserve">CSI-3R) </w:t>
      </w:r>
      <w:r w:rsidRPr="00D662A7">
        <w:rPr>
          <w:rFonts w:cs="Calibri"/>
        </w:rPr>
        <w:t>(</w:t>
      </w:r>
      <w:proofErr w:type="spellStart"/>
      <w:r w:rsidRPr="00D662A7">
        <w:rPr>
          <w:rFonts w:cs="Calibri"/>
        </w:rPr>
        <w:t>Gadow</w:t>
      </w:r>
      <w:proofErr w:type="spellEnd"/>
      <w:r w:rsidRPr="00D662A7">
        <w:rPr>
          <w:rFonts w:cs="Calibri"/>
        </w:rPr>
        <w:t xml:space="preserve"> and </w:t>
      </w:r>
      <w:proofErr w:type="spellStart"/>
      <w:r w:rsidRPr="00D662A7">
        <w:rPr>
          <w:rFonts w:cs="Calibri"/>
        </w:rPr>
        <w:t>Sprafkin</w:t>
      </w:r>
      <w:proofErr w:type="spellEnd"/>
      <w:r w:rsidRPr="00D662A7">
        <w:rPr>
          <w:rFonts w:cs="Calibri"/>
        </w:rPr>
        <w:t>, 1994)</w:t>
      </w:r>
      <w:r w:rsidRPr="00D662A7">
        <w:rPr>
          <w:lang w:eastAsia="en-GB"/>
        </w:rPr>
        <w:t>. They found improvements in mood, but were more cautious regarding the potential of MPH for tic exacerbation.</w:t>
      </w:r>
      <w:r w:rsidRPr="00D662A7">
        <w:rPr>
          <w:rStyle w:val="FootnoteReference"/>
        </w:rPr>
        <w:footnoteReference w:id="9"/>
      </w:r>
    </w:p>
    <w:p w14:paraId="5BE83A69" w14:textId="77777777" w:rsidR="00D84079" w:rsidRPr="00D662A7" w:rsidRDefault="00D84079" w:rsidP="00ED71C3">
      <w:pPr>
        <w:pStyle w:val="Heading3"/>
      </w:pPr>
      <w:bookmarkStart w:id="7" w:name="_Case_reports"/>
      <w:bookmarkEnd w:id="7"/>
      <w:r w:rsidRPr="00D662A7">
        <w:t>Case reports</w:t>
      </w:r>
    </w:p>
    <w:p w14:paraId="7715B159" w14:textId="77777777" w:rsidR="00D84079" w:rsidRPr="00D662A7" w:rsidRDefault="00D84079" w:rsidP="00D84079">
      <w:pPr>
        <w:rPr>
          <w:lang w:eastAsia="en-GB"/>
        </w:rPr>
      </w:pPr>
      <w:r w:rsidRPr="00D662A7">
        <w:rPr>
          <w:lang w:eastAsia="en-GB"/>
        </w:rPr>
        <w:t xml:space="preserve">Of the three case reports, we coded the authors’ conclusions as </w:t>
      </w:r>
      <w:r w:rsidRPr="00D662A7">
        <w:rPr>
          <w:i/>
          <w:lang w:eastAsia="en-GB"/>
        </w:rPr>
        <w:t>Safe</w:t>
      </w:r>
      <w:r w:rsidRPr="00D662A7">
        <w:rPr>
          <w:lang w:eastAsia="en-GB"/>
        </w:rPr>
        <w:t xml:space="preserve"> in one case, </w:t>
      </w:r>
      <w:r w:rsidRPr="00D662A7">
        <w:rPr>
          <w:i/>
          <w:lang w:eastAsia="en-GB"/>
        </w:rPr>
        <w:t>Proceed with Caution</w:t>
      </w:r>
      <w:r w:rsidRPr="00D662A7">
        <w:rPr>
          <w:lang w:eastAsia="en-GB"/>
        </w:rPr>
        <w:t xml:space="preserve"> in another and as </w:t>
      </w:r>
      <w:r w:rsidRPr="00D662A7">
        <w:rPr>
          <w:i/>
          <w:lang w:eastAsia="en-GB"/>
        </w:rPr>
        <w:t>Unclear</w:t>
      </w:r>
      <w:r w:rsidRPr="00D662A7">
        <w:rPr>
          <w:lang w:eastAsia="en-GB"/>
        </w:rPr>
        <w:t xml:space="preserve"> in the third.</w:t>
      </w:r>
    </w:p>
    <w:p w14:paraId="1641900E" w14:textId="77777777" w:rsidR="00D84079" w:rsidRPr="00D662A7" w:rsidRDefault="00D84079" w:rsidP="00ED71C3">
      <w:pPr>
        <w:pStyle w:val="Heading4"/>
      </w:pPr>
      <w:r w:rsidRPr="00D662A7">
        <w:t>Safe</w:t>
      </w:r>
    </w:p>
    <w:p w14:paraId="6C403223" w14:textId="77777777" w:rsidR="00D84079" w:rsidRPr="00D662A7" w:rsidRDefault="00D84079" w:rsidP="00D84079">
      <w:pPr>
        <w:rPr>
          <w:lang w:eastAsia="en-GB"/>
        </w:rPr>
      </w:pPr>
      <w:proofErr w:type="spellStart"/>
      <w:r w:rsidRPr="00D662A7">
        <w:rPr>
          <w:lang w:eastAsia="en-GB"/>
        </w:rPr>
        <w:t>Guerdjikova</w:t>
      </w:r>
      <w:proofErr w:type="spellEnd"/>
      <w:r w:rsidRPr="00D662A7">
        <w:rPr>
          <w:lang w:eastAsia="en-GB"/>
        </w:rPr>
        <w:t xml:space="preserve"> and McElroy </w:t>
      </w:r>
      <w:r w:rsidRPr="00D662A7">
        <w:rPr>
          <w:rFonts w:cs="Calibri"/>
        </w:rPr>
        <w:t>(2013)</w:t>
      </w:r>
      <w:r w:rsidRPr="00D662A7">
        <w:rPr>
          <w:lang w:eastAsia="en-GB"/>
        </w:rPr>
        <w:t xml:space="preserve"> report a case of a woman with ADHD and multiple comorbidities, including depression, anxiety, eating disorder, bipolar I, panic disorder and SUD who was successfully treated with MPH</w:t>
      </w:r>
      <w:r w:rsidRPr="00D662A7">
        <w:rPr>
          <w:i/>
          <w:lang w:eastAsia="en-GB"/>
        </w:rPr>
        <w:t>.</w:t>
      </w:r>
      <w:r w:rsidRPr="00D662A7">
        <w:rPr>
          <w:rStyle w:val="FootnoteReference"/>
        </w:rPr>
        <w:footnoteReference w:id="10"/>
      </w:r>
      <w:r w:rsidRPr="00D662A7">
        <w:rPr>
          <w:lang w:eastAsia="en-GB"/>
        </w:rPr>
        <w:t xml:space="preserve"> </w:t>
      </w:r>
    </w:p>
    <w:p w14:paraId="75D06CBC" w14:textId="77777777" w:rsidR="00D84079" w:rsidRPr="00D662A7" w:rsidRDefault="00D84079" w:rsidP="00ED71C3">
      <w:pPr>
        <w:pStyle w:val="Heading4"/>
      </w:pPr>
      <w:r w:rsidRPr="00D662A7">
        <w:lastRenderedPageBreak/>
        <w:t>Proceed with Caution</w:t>
      </w:r>
    </w:p>
    <w:p w14:paraId="57E86A99" w14:textId="77777777" w:rsidR="00D84079" w:rsidRPr="00D662A7" w:rsidRDefault="00D84079" w:rsidP="00D84079">
      <w:pPr>
        <w:rPr>
          <w:lang w:eastAsia="en-GB"/>
        </w:rPr>
      </w:pPr>
      <w:r w:rsidRPr="00D662A7">
        <w:rPr>
          <w:lang w:eastAsia="en-GB"/>
        </w:rPr>
        <w:t xml:space="preserve">Garland </w:t>
      </w:r>
      <w:r w:rsidRPr="00D662A7">
        <w:rPr>
          <w:rFonts w:cs="Calibri"/>
        </w:rPr>
        <w:t>(1998)</w:t>
      </w:r>
      <w:r w:rsidRPr="00D662A7">
        <w:rPr>
          <w:lang w:eastAsia="en-GB"/>
        </w:rPr>
        <w:t xml:space="preserve"> report on a case of a teenage boy with ADHD who had been prescribed MPH and who presented with low mood and suicidal ideation. The author concluded that this may have a post-intoxication depressive state following intranasal abuse of MPH to obtain a euphoric “high”</w:t>
      </w:r>
      <w:r w:rsidRPr="00D662A7">
        <w:rPr>
          <w:i/>
          <w:lang w:eastAsia="en-GB"/>
        </w:rPr>
        <w:t>.</w:t>
      </w:r>
      <w:r w:rsidRPr="00D662A7">
        <w:rPr>
          <w:rStyle w:val="FootnoteReference"/>
        </w:rPr>
        <w:footnoteReference w:id="11"/>
      </w:r>
      <w:r w:rsidRPr="00D662A7">
        <w:rPr>
          <w:lang w:eastAsia="en-GB"/>
        </w:rPr>
        <w:t xml:space="preserve"> </w:t>
      </w:r>
    </w:p>
    <w:p w14:paraId="0A4E44A1" w14:textId="77777777" w:rsidR="00D84079" w:rsidRPr="00D662A7" w:rsidRDefault="00D84079" w:rsidP="00ED71C3">
      <w:pPr>
        <w:pStyle w:val="Heading4"/>
      </w:pPr>
      <w:r w:rsidRPr="00D662A7">
        <w:t>Unclear</w:t>
      </w:r>
    </w:p>
    <w:p w14:paraId="77AB8E2E" w14:textId="77777777" w:rsidR="00D84079" w:rsidRPr="00D662A7" w:rsidRDefault="00D84079" w:rsidP="00D84079">
      <w:pPr>
        <w:rPr>
          <w:i/>
          <w:lang w:eastAsia="en-GB"/>
        </w:rPr>
      </w:pPr>
      <w:r w:rsidRPr="00D662A7">
        <w:rPr>
          <w:lang w:eastAsia="en-GB"/>
        </w:rPr>
        <w:t xml:space="preserve">Rosenfeld </w:t>
      </w:r>
      <w:r w:rsidRPr="00D662A7">
        <w:rPr>
          <w:rFonts w:cs="Calibri"/>
        </w:rPr>
        <w:t>(1979)</w:t>
      </w:r>
      <w:r w:rsidRPr="00D662A7">
        <w:rPr>
          <w:lang w:eastAsia="en-GB"/>
        </w:rPr>
        <w:t xml:space="preserve"> reported on the case of a hyperactive 8-year old boy with high IQ who developed a range of problems including depression while on MPH treatment</w:t>
      </w:r>
      <w:r w:rsidRPr="00D662A7">
        <w:rPr>
          <w:i/>
          <w:lang w:eastAsia="en-GB"/>
        </w:rPr>
        <w:t>.</w:t>
      </w:r>
      <w:r w:rsidRPr="00D662A7">
        <w:rPr>
          <w:rStyle w:val="FootnoteReference"/>
        </w:rPr>
        <w:footnoteReference w:id="12"/>
      </w:r>
    </w:p>
    <w:p w14:paraId="0B7A75AC" w14:textId="77777777" w:rsidR="00D84079" w:rsidRPr="00D662A7" w:rsidRDefault="00D84079" w:rsidP="00ED71C3">
      <w:pPr>
        <w:pStyle w:val="Heading2"/>
      </w:pPr>
      <w:bookmarkStart w:id="8" w:name="_Ref3822710"/>
      <w:bookmarkStart w:id="9" w:name="_Toc4076818"/>
      <w:r w:rsidRPr="00D662A7">
        <w:t>Anxiety</w:t>
      </w:r>
      <w:bookmarkEnd w:id="8"/>
      <w:bookmarkEnd w:id="9"/>
    </w:p>
    <w:p w14:paraId="7400FDCE" w14:textId="77777777" w:rsidR="00D84079" w:rsidRPr="00D662A7" w:rsidRDefault="00D84079" w:rsidP="00D84079">
      <w:r w:rsidRPr="00D662A7">
        <w:rPr>
          <w:lang w:eastAsia="en-GB"/>
        </w:rPr>
        <w:t xml:space="preserve">Eleven studies reported on anxiety as a potential adverse outcome: seven comparative studies, three non-comparative studies, and one case report. The evidence regarding anxiety is summarised in </w:t>
      </w:r>
      <w:r w:rsidR="00F33327" w:rsidRPr="00D662A7">
        <w:rPr>
          <w:lang w:eastAsia="en-GB"/>
        </w:rPr>
        <w:t>Table 10.</w:t>
      </w:r>
    </w:p>
    <w:p w14:paraId="6515BC1F" w14:textId="77777777" w:rsidR="00D84079" w:rsidRPr="00D662A7" w:rsidRDefault="00D84079" w:rsidP="00ED71C3">
      <w:pPr>
        <w:pStyle w:val="Heading3"/>
      </w:pPr>
      <w:bookmarkStart w:id="10" w:name="_Comparative_group_studies"/>
      <w:bookmarkEnd w:id="10"/>
      <w:r w:rsidRPr="00D662A7">
        <w:t>Comparative group studies</w:t>
      </w:r>
    </w:p>
    <w:p w14:paraId="0DDEEDDF" w14:textId="77777777" w:rsidR="00D84079" w:rsidRPr="00D662A7" w:rsidRDefault="00D84079" w:rsidP="00D84079">
      <w:pPr>
        <w:rPr>
          <w:lang w:eastAsia="en-GB"/>
        </w:rPr>
      </w:pPr>
      <w:r w:rsidRPr="00D662A7">
        <w:rPr>
          <w:lang w:eastAsia="en-GB"/>
        </w:rPr>
        <w:t xml:space="preserve">Of the seven comparative studies, we coded results of two as </w:t>
      </w:r>
      <w:r w:rsidRPr="00D662A7">
        <w:rPr>
          <w:i/>
          <w:lang w:eastAsia="en-GB"/>
        </w:rPr>
        <w:t>Favours MPH</w:t>
      </w:r>
      <w:r w:rsidRPr="00D662A7">
        <w:rPr>
          <w:lang w:eastAsia="en-GB"/>
        </w:rPr>
        <w:t xml:space="preserve"> and five as </w:t>
      </w:r>
      <w:r w:rsidRPr="00D662A7">
        <w:rPr>
          <w:i/>
          <w:lang w:eastAsia="en-GB"/>
        </w:rPr>
        <w:t>Unclear</w:t>
      </w:r>
      <w:r w:rsidRPr="00D662A7">
        <w:rPr>
          <w:lang w:eastAsia="en-GB"/>
        </w:rPr>
        <w:t>, although it should be noted that some reported favourable outcomes on other measures</w:t>
      </w:r>
    </w:p>
    <w:p w14:paraId="3C583A1C" w14:textId="77777777" w:rsidR="00D84079" w:rsidRPr="00D662A7" w:rsidRDefault="00D84079" w:rsidP="00ED71C3">
      <w:pPr>
        <w:pStyle w:val="Heading4"/>
      </w:pPr>
      <w:r w:rsidRPr="00D662A7">
        <w:t>Favours MPH</w:t>
      </w:r>
    </w:p>
    <w:p w14:paraId="1FBA238F" w14:textId="77777777" w:rsidR="00D84079" w:rsidRPr="00D662A7" w:rsidRDefault="00D84079" w:rsidP="00D84079">
      <w:pPr>
        <w:rPr>
          <w:lang w:eastAsia="en-GB"/>
        </w:rPr>
      </w:pPr>
      <w:r w:rsidRPr="00D662A7">
        <w:rPr>
          <w:lang w:eastAsia="en-GB"/>
        </w:rPr>
        <w:t xml:space="preserve">One of the two comparative studies favouring MPH was an RCT in children comparing MPH </w:t>
      </w:r>
      <w:r w:rsidRPr="00D662A7">
        <w:t>with and without adjunct non-pharmacological treatment</w:t>
      </w:r>
      <w:r w:rsidRPr="00D662A7">
        <w:rPr>
          <w:lang w:eastAsia="en-GB"/>
        </w:rPr>
        <w:t xml:space="preserve">; the other was a cohort study in </w:t>
      </w:r>
      <w:r w:rsidRPr="00D662A7">
        <w:rPr>
          <w:lang w:eastAsia="en-GB"/>
        </w:rPr>
        <w:lastRenderedPageBreak/>
        <w:t>adults comparing MPH treatment for more than 12 months with MPH for less than 12 months.</w:t>
      </w:r>
    </w:p>
    <w:p w14:paraId="42F2E131" w14:textId="77777777" w:rsidR="00D84079" w:rsidRPr="00D662A7" w:rsidRDefault="00D84079" w:rsidP="00D84079">
      <w:pPr>
        <w:rPr>
          <w:lang w:eastAsia="en-GB"/>
        </w:rPr>
      </w:pPr>
      <w:proofErr w:type="spellStart"/>
      <w:r w:rsidRPr="00D662A7">
        <w:rPr>
          <w:lang w:eastAsia="en-GB"/>
        </w:rPr>
        <w:t>Hechtman</w:t>
      </w:r>
      <w:proofErr w:type="spellEnd"/>
      <w:r w:rsidRPr="00D662A7">
        <w:rPr>
          <w:lang w:eastAsia="en-GB"/>
        </w:rPr>
        <w:t xml:space="preserve"> et al.’s </w:t>
      </w:r>
      <w:r w:rsidRPr="00D662A7">
        <w:rPr>
          <w:rFonts w:cs="Calibri"/>
        </w:rPr>
        <w:t>(2004)</w:t>
      </w:r>
      <w:r w:rsidRPr="00D662A7">
        <w:rPr>
          <w:lang w:eastAsia="en-GB"/>
        </w:rPr>
        <w:t xml:space="preserve"> two-year RCT in children and adolescents used the Piers-Harris Children’s Self-concept scale </w:t>
      </w:r>
      <w:r w:rsidRPr="00D662A7">
        <w:rPr>
          <w:rFonts w:cs="Calibri"/>
        </w:rPr>
        <w:t>(Piers, 1984)</w:t>
      </w:r>
      <w:r w:rsidRPr="00D662A7">
        <w:rPr>
          <w:lang w:eastAsia="en-GB"/>
        </w:rPr>
        <w:t xml:space="preserve"> which included an anxiety dimension. As with mood, they found all three MPH different treatment protocols equally effective, with no significant advantage for adjunct therapies.</w:t>
      </w:r>
      <w:r w:rsidRPr="00D662A7">
        <w:rPr>
          <w:rStyle w:val="FootnoteReference"/>
        </w:rPr>
        <w:footnoteReference w:id="13"/>
      </w:r>
      <w:r w:rsidRPr="00D662A7">
        <w:rPr>
          <w:lang w:eastAsia="en-GB"/>
        </w:rPr>
        <w:t xml:space="preserve"> </w:t>
      </w:r>
    </w:p>
    <w:p w14:paraId="7AB5F023" w14:textId="77777777" w:rsidR="00D84079" w:rsidRPr="00D662A7" w:rsidRDefault="00D84079" w:rsidP="00D84079">
      <w:pPr>
        <w:rPr>
          <w:lang w:eastAsia="en-GB"/>
        </w:rPr>
      </w:pPr>
      <w:r w:rsidRPr="00D662A7">
        <w:rPr>
          <w:lang w:eastAsia="en-GB"/>
        </w:rPr>
        <w:t xml:space="preserve">Kittel-Schneider et al. </w:t>
      </w:r>
      <w:r w:rsidRPr="00D662A7">
        <w:rPr>
          <w:rFonts w:cs="Calibri"/>
        </w:rPr>
        <w:t>(2016)</w:t>
      </w:r>
      <w:r w:rsidRPr="00D662A7">
        <w:rPr>
          <w:lang w:eastAsia="en-GB"/>
        </w:rPr>
        <w:t xml:space="preserve"> recruited 42 adults with ADHD and 28 healthy controls. Of the adults with ADHD, 23 had been treated with MPH for more than 12 months, and 19 for less. She measured stress using the Trier Inventory for Chronic Stress (TICS) </w:t>
      </w:r>
      <w:r w:rsidRPr="00D662A7">
        <w:rPr>
          <w:rFonts w:cs="Calibri"/>
        </w:rPr>
        <w:t>(Schulz et al., 2004)</w:t>
      </w:r>
      <w:r w:rsidRPr="00D662A7">
        <w:rPr>
          <w:lang w:eastAsia="en-GB"/>
        </w:rPr>
        <w:t xml:space="preserve">. She found significantly higher TICS scores in the ADHD group, but a negative correlation between stress measures and MPH treatment duration. </w:t>
      </w:r>
    </w:p>
    <w:p w14:paraId="30CA58AA" w14:textId="77777777" w:rsidR="00D84079" w:rsidRPr="00D662A7" w:rsidRDefault="00D84079" w:rsidP="00ED71C3">
      <w:pPr>
        <w:pStyle w:val="Heading4"/>
      </w:pPr>
      <w:r w:rsidRPr="00D662A7">
        <w:t>Unclear</w:t>
      </w:r>
    </w:p>
    <w:p w14:paraId="5DB8459A" w14:textId="77777777" w:rsidR="00D84079" w:rsidRPr="00D662A7" w:rsidRDefault="00D84079" w:rsidP="00D84079">
      <w:pPr>
        <w:rPr>
          <w:lang w:eastAsia="en-GB"/>
        </w:rPr>
      </w:pPr>
      <w:proofErr w:type="spellStart"/>
      <w:r w:rsidRPr="00D662A7">
        <w:t>Hechtman</w:t>
      </w:r>
      <w:proofErr w:type="spellEnd"/>
      <w:r w:rsidRPr="00D662A7">
        <w:t xml:space="preserve"> et al.’s </w:t>
      </w:r>
      <w:r w:rsidRPr="00D662A7">
        <w:rPr>
          <w:rFonts w:cs="Calibri"/>
        </w:rPr>
        <w:t>(1984)</w:t>
      </w:r>
      <w:r w:rsidRPr="00D662A7">
        <w:rPr>
          <w:rFonts w:cs="Calibri"/>
          <w:color w:val="000000"/>
          <w:lang w:eastAsia="en-GB"/>
        </w:rPr>
        <w:t xml:space="preserve"> study of 88 young adults described earlier included measures of anxiety as well as depression.</w:t>
      </w:r>
      <w:r w:rsidRPr="00D662A7">
        <w:rPr>
          <w:rStyle w:val="FootnoteReference"/>
        </w:rPr>
        <w:footnoteReference w:id="14"/>
      </w:r>
      <w:r w:rsidRPr="00D662A7">
        <w:rPr>
          <w:rFonts w:cs="Calibri"/>
          <w:color w:val="000000"/>
          <w:lang w:eastAsia="en-GB"/>
        </w:rPr>
        <w:t xml:space="preserve"> They found </w:t>
      </w:r>
      <w:r w:rsidRPr="00D662A7">
        <w:rPr>
          <w:lang w:eastAsia="en-GB"/>
        </w:rPr>
        <w:t>positive mental health effects of MPH overall</w:t>
      </w:r>
      <w:r w:rsidRPr="00D662A7">
        <w:rPr>
          <w:rFonts w:cs="Calibri"/>
          <w:color w:val="000000"/>
          <w:lang w:eastAsia="en-GB"/>
        </w:rPr>
        <w:t xml:space="preserve"> but no </w:t>
      </w:r>
      <w:r w:rsidRPr="00D662A7">
        <w:rPr>
          <w:lang w:eastAsia="en-GB"/>
        </w:rPr>
        <w:t xml:space="preserve">difference between the three groups (treated and untreated ADHD; healthy controls) on anxiety. </w:t>
      </w:r>
    </w:p>
    <w:p w14:paraId="0153089B" w14:textId="77777777" w:rsidR="00D84079" w:rsidRPr="00D662A7" w:rsidRDefault="00D84079" w:rsidP="00D84079">
      <w:pPr>
        <w:rPr>
          <w:lang w:eastAsia="en-GB"/>
        </w:rPr>
      </w:pPr>
      <w:r w:rsidRPr="00D662A7">
        <w:rPr>
          <w:lang w:eastAsia="en-GB"/>
        </w:rPr>
        <w:t xml:space="preserve">In </w:t>
      </w:r>
      <w:proofErr w:type="spellStart"/>
      <w:r w:rsidRPr="00D662A7">
        <w:rPr>
          <w:lang w:eastAsia="en-GB"/>
        </w:rPr>
        <w:t>Paternite</w:t>
      </w:r>
      <w:proofErr w:type="spellEnd"/>
      <w:r w:rsidRPr="00D662A7">
        <w:rPr>
          <w:lang w:eastAsia="en-GB"/>
        </w:rPr>
        <w:t xml:space="preserve"> et al.’s </w:t>
      </w:r>
      <w:r w:rsidRPr="00D662A7">
        <w:rPr>
          <w:rFonts w:cs="Calibri"/>
        </w:rPr>
        <w:t>(1999)</w:t>
      </w:r>
      <w:r w:rsidRPr="00D662A7">
        <w:rPr>
          <w:lang w:eastAsia="en-GB"/>
        </w:rPr>
        <w:t xml:space="preserve"> study of 97 young adult men described above, where MPH treatment was a statistically significant predictor of adult psychiatric outcomes, it predicted </w:t>
      </w:r>
      <w:r w:rsidRPr="00D662A7">
        <w:rPr>
          <w:lang w:eastAsia="en-GB"/>
        </w:rPr>
        <w:lastRenderedPageBreak/>
        <w:t>better outcomes.</w:t>
      </w:r>
      <w:r w:rsidRPr="00D662A7">
        <w:rPr>
          <w:rStyle w:val="FootnoteReference"/>
        </w:rPr>
        <w:footnoteReference w:id="15"/>
      </w:r>
      <w:r w:rsidRPr="00D662A7">
        <w:rPr>
          <w:lang w:eastAsia="en-GB"/>
        </w:rPr>
        <w:t xml:space="preserve"> However, the study found no statistically significant effect of MPH dosage, duration or response on measures of anxiety disorder.</w:t>
      </w:r>
    </w:p>
    <w:p w14:paraId="697DC5BF" w14:textId="77777777" w:rsidR="00D84079" w:rsidRPr="00D662A7" w:rsidRDefault="00D84079" w:rsidP="00D84079">
      <w:pPr>
        <w:rPr>
          <w:lang w:eastAsia="en-GB"/>
        </w:rPr>
      </w:pPr>
      <w:r w:rsidRPr="00D662A7">
        <w:t xml:space="preserve">In the comparative retrospective </w:t>
      </w:r>
      <w:r w:rsidRPr="00D662A7">
        <w:rPr>
          <w:lang w:eastAsia="en-GB"/>
        </w:rPr>
        <w:t xml:space="preserve">chart review of pre-schoolers with ADHD by </w:t>
      </w:r>
      <w:proofErr w:type="spellStart"/>
      <w:r w:rsidRPr="00D662A7">
        <w:rPr>
          <w:lang w:eastAsia="en-GB"/>
        </w:rPr>
        <w:t>Ghuman</w:t>
      </w:r>
      <w:proofErr w:type="spellEnd"/>
      <w:r w:rsidRPr="00D662A7">
        <w:rPr>
          <w:lang w:eastAsia="en-GB"/>
        </w:rPr>
        <w:t xml:space="preserve"> et al. </w:t>
      </w:r>
      <w:r w:rsidRPr="00D662A7">
        <w:rPr>
          <w:rFonts w:cs="Calibri"/>
        </w:rPr>
        <w:t>(2001)</w:t>
      </w:r>
      <w:r w:rsidRPr="00D662A7">
        <w:rPr>
          <w:lang w:eastAsia="en-GB"/>
        </w:rPr>
        <w:t xml:space="preserve"> described earlier,</w:t>
      </w:r>
      <w:r w:rsidRPr="00D662A7">
        <w:rPr>
          <w:rStyle w:val="FootnoteReference"/>
        </w:rPr>
        <w:footnoteReference w:id="16"/>
      </w:r>
      <w:r w:rsidRPr="00D662A7">
        <w:rPr>
          <w:lang w:eastAsia="en-GB"/>
        </w:rPr>
        <w:t xml:space="preserve"> a</w:t>
      </w:r>
      <w:r w:rsidRPr="00D662A7">
        <w:t>nxiety was among the AEs reported. The authors</w:t>
      </w:r>
      <w:r w:rsidRPr="00D662A7">
        <w:rPr>
          <w:lang w:eastAsia="en-GB"/>
        </w:rPr>
        <w:t xml:space="preserve"> found high rates of AEs for all three medications (MPH, dexamphetamine and Adderall) but no difference between them.</w:t>
      </w:r>
    </w:p>
    <w:p w14:paraId="19182D5F" w14:textId="77777777" w:rsidR="00D84079" w:rsidRPr="00D662A7" w:rsidRDefault="00D84079" w:rsidP="00D84079">
      <w:pPr>
        <w:rPr>
          <w:lang w:eastAsia="en-GB"/>
        </w:rPr>
      </w:pPr>
      <w:r w:rsidRPr="00D662A7">
        <w:rPr>
          <w:lang w:eastAsia="en-GB"/>
        </w:rPr>
        <w:t xml:space="preserve">Quinn and Rapoport </w:t>
      </w:r>
      <w:r w:rsidRPr="00D662A7">
        <w:rPr>
          <w:rFonts w:cs="Calibri"/>
        </w:rPr>
        <w:t>(1975)</w:t>
      </w:r>
      <w:r w:rsidRPr="00D662A7">
        <w:rPr>
          <w:lang w:eastAsia="en-GB"/>
        </w:rPr>
        <w:t xml:space="preserve"> conducted a one year open-label RCT in which hyperactive boys were randomly assigned to either MPH or imipramine. They found non-significant differences between the two groups in ratings of anxiety on the </w:t>
      </w:r>
      <w:proofErr w:type="spellStart"/>
      <w:r w:rsidRPr="00D662A7">
        <w:rPr>
          <w:lang w:eastAsia="en-GB"/>
        </w:rPr>
        <w:t>Conners</w:t>
      </w:r>
      <w:proofErr w:type="spellEnd"/>
      <w:r w:rsidRPr="00D662A7">
        <w:rPr>
          <w:lang w:eastAsia="en-GB"/>
        </w:rPr>
        <w:t xml:space="preserve"> Parent Rating Scale (PSQ) </w:t>
      </w:r>
      <w:r w:rsidRPr="00D662A7">
        <w:rPr>
          <w:rFonts w:cs="Calibri"/>
        </w:rPr>
        <w:t>(</w:t>
      </w:r>
      <w:proofErr w:type="spellStart"/>
      <w:r w:rsidRPr="00D662A7">
        <w:rPr>
          <w:rFonts w:cs="Calibri"/>
        </w:rPr>
        <w:t>Conners</w:t>
      </w:r>
      <w:proofErr w:type="spellEnd"/>
      <w:r w:rsidRPr="00D662A7">
        <w:rPr>
          <w:rFonts w:cs="Calibri"/>
        </w:rPr>
        <w:t>, 19</w:t>
      </w:r>
      <w:r w:rsidR="00A71BF5" w:rsidRPr="00D662A7">
        <w:rPr>
          <w:rFonts w:cs="Calibri"/>
        </w:rPr>
        <w:t>70</w:t>
      </w:r>
      <w:r w:rsidRPr="00D662A7">
        <w:rPr>
          <w:rFonts w:cs="Calibri"/>
        </w:rPr>
        <w:t>)</w:t>
      </w:r>
      <w:r w:rsidRPr="00D662A7">
        <w:rPr>
          <w:lang w:eastAsia="en-GB"/>
        </w:rPr>
        <w:t xml:space="preserve"> and on the Teacher Rating Scale </w:t>
      </w:r>
      <w:r w:rsidRPr="00D662A7">
        <w:rPr>
          <w:rFonts w:cs="Calibri"/>
        </w:rPr>
        <w:t>(</w:t>
      </w:r>
      <w:proofErr w:type="spellStart"/>
      <w:r w:rsidRPr="00D662A7">
        <w:rPr>
          <w:rFonts w:cs="Calibri"/>
        </w:rPr>
        <w:t>Conners</w:t>
      </w:r>
      <w:proofErr w:type="spellEnd"/>
      <w:r w:rsidRPr="00D662A7">
        <w:rPr>
          <w:rFonts w:cs="Calibri"/>
        </w:rPr>
        <w:t>, 1969)</w:t>
      </w:r>
      <w:r w:rsidRPr="00D662A7">
        <w:rPr>
          <w:lang w:eastAsia="en-GB"/>
        </w:rPr>
        <w:t xml:space="preserve">. </w:t>
      </w:r>
    </w:p>
    <w:p w14:paraId="4F91538D" w14:textId="77777777" w:rsidR="00D84079" w:rsidRPr="00D662A7" w:rsidRDefault="00D84079" w:rsidP="00D84079">
      <w:pPr>
        <w:rPr>
          <w:b/>
          <w:lang w:eastAsia="en-GB"/>
        </w:rPr>
      </w:pPr>
      <w:r w:rsidRPr="00D662A7">
        <w:rPr>
          <w:lang w:eastAsia="en-GB"/>
        </w:rPr>
        <w:t xml:space="preserve">In the study by </w:t>
      </w:r>
      <w:proofErr w:type="spellStart"/>
      <w:r w:rsidRPr="00D662A7">
        <w:rPr>
          <w:lang w:eastAsia="en-GB"/>
        </w:rPr>
        <w:t>Schrantee</w:t>
      </w:r>
      <w:proofErr w:type="spellEnd"/>
      <w:r w:rsidRPr="00D662A7">
        <w:rPr>
          <w:lang w:eastAsia="en-GB"/>
        </w:rPr>
        <w:t xml:space="preserve"> et al. </w:t>
      </w:r>
      <w:r w:rsidRPr="00D662A7">
        <w:rPr>
          <w:rFonts w:cs="Calibri"/>
        </w:rPr>
        <w:t>(2018)</w:t>
      </w:r>
      <w:r w:rsidRPr="00D662A7">
        <w:rPr>
          <w:lang w:eastAsia="en-GB"/>
        </w:rPr>
        <w:t xml:space="preserve"> described above</w:t>
      </w:r>
      <w:r w:rsidRPr="00D662A7">
        <w:rPr>
          <w:rStyle w:val="FootnoteReference"/>
        </w:rPr>
        <w:footnoteReference w:id="17"/>
      </w:r>
      <w:r w:rsidRPr="00D662A7">
        <w:rPr>
          <w:lang w:eastAsia="en-GB"/>
        </w:rPr>
        <w:t>, the authors used the Beck Anxiety Inventory (B</w:t>
      </w:r>
      <w:r w:rsidR="00DB7171" w:rsidRPr="00D662A7">
        <w:rPr>
          <w:lang w:eastAsia="en-GB"/>
        </w:rPr>
        <w:t>A</w:t>
      </w:r>
      <w:r w:rsidRPr="00D662A7">
        <w:rPr>
          <w:lang w:eastAsia="en-GB"/>
        </w:rPr>
        <w:t xml:space="preserve">I) </w:t>
      </w:r>
      <w:r w:rsidR="00DB7171" w:rsidRPr="00D662A7">
        <w:rPr>
          <w:lang w:eastAsia="en-GB"/>
        </w:rPr>
        <w:t xml:space="preserve">(Beck et al., 1993) </w:t>
      </w:r>
      <w:r w:rsidRPr="00D662A7">
        <w:rPr>
          <w:lang w:eastAsia="en-GB"/>
        </w:rPr>
        <w:t xml:space="preserve">to measure anxiety symptoms. They found no difference in anxiety symptoms between those who had been treated with long-term MPH at a younger age (&lt;16 years) than those who has been treated later (&gt;23 years). </w:t>
      </w:r>
    </w:p>
    <w:p w14:paraId="153F315A" w14:textId="77777777" w:rsidR="00D84079" w:rsidRPr="00D662A7" w:rsidRDefault="00D84079" w:rsidP="00ED71C3">
      <w:pPr>
        <w:pStyle w:val="Heading3"/>
      </w:pPr>
      <w:bookmarkStart w:id="11" w:name="_Non-comparative_group_studies_3"/>
      <w:bookmarkEnd w:id="11"/>
      <w:r w:rsidRPr="00D662A7">
        <w:t>Non-comparative group studies</w:t>
      </w:r>
    </w:p>
    <w:p w14:paraId="3454F71A" w14:textId="77777777" w:rsidR="00D84079" w:rsidRPr="00D662A7" w:rsidRDefault="00D84079" w:rsidP="00D84079">
      <w:pPr>
        <w:rPr>
          <w:lang w:eastAsia="en-GB"/>
        </w:rPr>
      </w:pPr>
      <w:r w:rsidRPr="00D662A7">
        <w:rPr>
          <w:lang w:eastAsia="en-GB"/>
        </w:rPr>
        <w:t xml:space="preserve">We coded the authors’ conclusions from all three of the non-comparative studies as </w:t>
      </w:r>
      <w:r w:rsidRPr="00D662A7">
        <w:rPr>
          <w:i/>
          <w:lang w:eastAsia="en-GB"/>
        </w:rPr>
        <w:t>Safe</w:t>
      </w:r>
      <w:r w:rsidRPr="00D662A7">
        <w:rPr>
          <w:lang w:eastAsia="en-GB"/>
        </w:rPr>
        <w:t>, although one study advised caution based on other outcomes.</w:t>
      </w:r>
    </w:p>
    <w:p w14:paraId="3A987D22" w14:textId="77777777" w:rsidR="00D84079" w:rsidRPr="00D662A7" w:rsidRDefault="00D84079" w:rsidP="00ED71C3">
      <w:pPr>
        <w:pStyle w:val="Heading4"/>
      </w:pPr>
      <w:r w:rsidRPr="00D662A7">
        <w:lastRenderedPageBreak/>
        <w:t>Safe</w:t>
      </w:r>
    </w:p>
    <w:p w14:paraId="07054F48" w14:textId="77777777" w:rsidR="00D84079" w:rsidRPr="00D662A7" w:rsidRDefault="00D84079" w:rsidP="00D84079">
      <w:pPr>
        <w:rPr>
          <w:lang w:eastAsia="en-GB"/>
        </w:rPr>
      </w:pPr>
      <w:proofErr w:type="spellStart"/>
      <w:r w:rsidRPr="00D662A7">
        <w:rPr>
          <w:lang w:eastAsia="en-GB"/>
        </w:rPr>
        <w:t>Kutlu</w:t>
      </w:r>
      <w:proofErr w:type="spellEnd"/>
      <w:r w:rsidRPr="00D662A7">
        <w:rPr>
          <w:lang w:eastAsia="en-GB"/>
        </w:rPr>
        <w:t xml:space="preserve"> et al.’s </w:t>
      </w:r>
      <w:r w:rsidRPr="00D662A7">
        <w:rPr>
          <w:rFonts w:cs="Calibri"/>
        </w:rPr>
        <w:t>(2017)</w:t>
      </w:r>
      <w:r w:rsidRPr="00D662A7">
        <w:rPr>
          <w:lang w:eastAsia="en-GB"/>
        </w:rPr>
        <w:t xml:space="preserve"> prospective open-label longitudinal study of ED in 118 boys with ADHD and ODD/CD included measures of both depression/anxiety and found improvements over the period of treatment.</w:t>
      </w:r>
      <w:r w:rsidRPr="00D662A7">
        <w:rPr>
          <w:rStyle w:val="FootnoteReference"/>
        </w:rPr>
        <w:footnoteReference w:id="18"/>
      </w:r>
      <w:r w:rsidRPr="00D662A7">
        <w:rPr>
          <w:lang w:eastAsia="en-GB"/>
        </w:rPr>
        <w:t xml:space="preserve"> </w:t>
      </w:r>
    </w:p>
    <w:p w14:paraId="71BF2D08" w14:textId="77777777" w:rsidR="00D84079" w:rsidRPr="00D662A7" w:rsidRDefault="00D84079" w:rsidP="00D84079">
      <w:r w:rsidRPr="00D662A7">
        <w:rPr>
          <w:lang w:eastAsia="en-GB"/>
        </w:rPr>
        <w:t xml:space="preserve">In </w:t>
      </w:r>
      <w:proofErr w:type="spellStart"/>
      <w:r w:rsidRPr="00D662A7">
        <w:rPr>
          <w:lang w:eastAsia="en-GB"/>
        </w:rPr>
        <w:t>Edvinsson</w:t>
      </w:r>
      <w:proofErr w:type="spellEnd"/>
      <w:r w:rsidRPr="00D662A7">
        <w:rPr>
          <w:lang w:eastAsia="en-GB"/>
        </w:rPr>
        <w:t xml:space="preserve"> et al.’s </w:t>
      </w:r>
      <w:r w:rsidRPr="00D662A7">
        <w:rPr>
          <w:rFonts w:cs="Calibri"/>
        </w:rPr>
        <w:t>(2018)</w:t>
      </w:r>
      <w:r w:rsidRPr="00D662A7">
        <w:rPr>
          <w:lang w:eastAsia="en-GB"/>
        </w:rPr>
        <w:t xml:space="preserve"> six-year follow-up study of 112 adults with ADHD, none of the participants gave anxiety as the reason for discontinuation of MPH. Of the 49 who were still on MPH, 9 (18%) reported anxiousness/restlessness. The authors’ general conclusion was that MPH was tolerable for most patients.</w:t>
      </w:r>
      <w:r w:rsidRPr="00D662A7">
        <w:rPr>
          <w:rStyle w:val="FootnoteReference"/>
        </w:rPr>
        <w:footnoteReference w:id="19"/>
      </w:r>
    </w:p>
    <w:p w14:paraId="4E2F8EBB" w14:textId="77777777" w:rsidR="00D84079" w:rsidRPr="00D662A7" w:rsidRDefault="00D84079" w:rsidP="00D84079">
      <w:pPr>
        <w:rPr>
          <w:lang w:eastAsia="en-GB"/>
        </w:rPr>
      </w:pPr>
      <w:proofErr w:type="spellStart"/>
      <w:r w:rsidRPr="00D662A7">
        <w:rPr>
          <w:lang w:eastAsia="en-GB"/>
        </w:rPr>
        <w:t>Gadow</w:t>
      </w:r>
      <w:proofErr w:type="spellEnd"/>
      <w:r w:rsidRPr="00D662A7">
        <w:rPr>
          <w:lang w:eastAsia="en-GB"/>
        </w:rPr>
        <w:t xml:space="preserve"> et al.’s </w:t>
      </w:r>
      <w:r w:rsidRPr="00D662A7">
        <w:rPr>
          <w:rFonts w:cs="Calibri"/>
        </w:rPr>
        <w:t>(1999)</w:t>
      </w:r>
      <w:r w:rsidRPr="00D662A7">
        <w:rPr>
          <w:lang w:eastAsia="en-GB"/>
        </w:rPr>
        <w:t xml:space="preserve"> prospective open-label extension study of MPH in children with tic disorders found, as with their findings on mood, improvements in anxiety symptoms (CSI-3R) over the two-year duration of treatment, but the authors remained cautious overall regarding the potential tic exacerbation.</w:t>
      </w:r>
      <w:r w:rsidRPr="00D662A7">
        <w:rPr>
          <w:rStyle w:val="FootnoteReference"/>
        </w:rPr>
        <w:footnoteReference w:id="20"/>
      </w:r>
    </w:p>
    <w:p w14:paraId="11837B78" w14:textId="77777777" w:rsidR="00D84079" w:rsidRPr="00D662A7" w:rsidRDefault="00D84079" w:rsidP="00ED71C3">
      <w:pPr>
        <w:pStyle w:val="Heading3"/>
      </w:pPr>
      <w:bookmarkStart w:id="12" w:name="_Case_reports_3"/>
      <w:bookmarkEnd w:id="12"/>
      <w:r w:rsidRPr="00D662A7">
        <w:t>Case reports</w:t>
      </w:r>
    </w:p>
    <w:p w14:paraId="7C2474C5" w14:textId="77777777" w:rsidR="00D84079" w:rsidRPr="00D662A7" w:rsidRDefault="00D84079" w:rsidP="00ED71C3">
      <w:pPr>
        <w:pStyle w:val="Heading4"/>
      </w:pPr>
      <w:r w:rsidRPr="00D662A7">
        <w:t>Safe</w:t>
      </w:r>
    </w:p>
    <w:p w14:paraId="1DA0A307" w14:textId="77777777" w:rsidR="00D84079" w:rsidRPr="00D662A7" w:rsidRDefault="00D84079" w:rsidP="00F34F3F">
      <w:r w:rsidRPr="00D662A7">
        <w:rPr>
          <w:lang w:eastAsia="en-GB"/>
        </w:rPr>
        <w:t xml:space="preserve">In the case reported by </w:t>
      </w:r>
      <w:proofErr w:type="spellStart"/>
      <w:r w:rsidRPr="00D662A7">
        <w:rPr>
          <w:lang w:eastAsia="en-GB"/>
        </w:rPr>
        <w:t>Guerdjikova</w:t>
      </w:r>
      <w:proofErr w:type="spellEnd"/>
      <w:r w:rsidRPr="00D662A7">
        <w:rPr>
          <w:lang w:eastAsia="en-GB"/>
        </w:rPr>
        <w:t xml:space="preserve"> and McElroy </w:t>
      </w:r>
      <w:r w:rsidRPr="00D662A7">
        <w:rPr>
          <w:rFonts w:cs="Calibri"/>
        </w:rPr>
        <w:t>(2013)</w:t>
      </w:r>
      <w:r w:rsidRPr="00D662A7">
        <w:rPr>
          <w:lang w:eastAsia="en-GB"/>
        </w:rPr>
        <w:t xml:space="preserve"> and described above of a woman with multiple comorbidities successfully treated with MPH, the comorbidities included panic disorder.</w:t>
      </w:r>
      <w:r w:rsidRPr="00D662A7">
        <w:rPr>
          <w:rStyle w:val="FootnoteReference"/>
        </w:rPr>
        <w:footnoteReference w:id="21"/>
      </w:r>
    </w:p>
    <w:p w14:paraId="369B07F4" w14:textId="77777777" w:rsidR="00D84079" w:rsidRPr="00D662A7" w:rsidRDefault="00D84079" w:rsidP="00ED71C3">
      <w:pPr>
        <w:pStyle w:val="Heading2"/>
      </w:pPr>
      <w:bookmarkStart w:id="13" w:name="_Ref3822723"/>
      <w:bookmarkStart w:id="14" w:name="_Toc4076819"/>
      <w:r w:rsidRPr="00D662A7">
        <w:lastRenderedPageBreak/>
        <w:t>Irritability/Emotional reactivity</w:t>
      </w:r>
      <w:bookmarkEnd w:id="13"/>
      <w:bookmarkEnd w:id="14"/>
    </w:p>
    <w:p w14:paraId="748CEF42" w14:textId="77777777" w:rsidR="00D84079" w:rsidRPr="00D662A7" w:rsidRDefault="00D84079" w:rsidP="00D84079">
      <w:pPr>
        <w:rPr>
          <w:lang w:eastAsia="en-GB"/>
        </w:rPr>
      </w:pPr>
      <w:r w:rsidRPr="00D662A7">
        <w:rPr>
          <w:lang w:eastAsia="en-GB"/>
        </w:rPr>
        <w:t xml:space="preserve">Seven studies reported on irritability or emotional reactivity as a potential adverse outcome: two comparative studies, four non-comparative and one case report. The evidence regarding irritability/emotional reactivity is summarised in </w:t>
      </w:r>
      <w:r w:rsidRPr="00D662A7">
        <w:t xml:space="preserve">Table </w:t>
      </w:r>
      <w:r w:rsidRPr="00D662A7">
        <w:rPr>
          <w:noProof/>
        </w:rPr>
        <w:t>11</w:t>
      </w:r>
      <w:r w:rsidRPr="00D662A7">
        <w:rPr>
          <w:lang w:eastAsia="en-GB"/>
        </w:rPr>
        <w:t>.</w:t>
      </w:r>
    </w:p>
    <w:p w14:paraId="5DC3AC17" w14:textId="77777777" w:rsidR="00D84079" w:rsidRPr="00D662A7" w:rsidRDefault="00D84079" w:rsidP="00ED71C3">
      <w:pPr>
        <w:pStyle w:val="Heading3"/>
      </w:pPr>
      <w:bookmarkStart w:id="15" w:name="_Comparative_group_studies_1"/>
      <w:bookmarkEnd w:id="15"/>
      <w:r w:rsidRPr="00D662A7">
        <w:t>Comparative group studies</w:t>
      </w:r>
    </w:p>
    <w:p w14:paraId="36ADC499" w14:textId="77777777" w:rsidR="00D84079" w:rsidRPr="00D662A7" w:rsidRDefault="00D84079" w:rsidP="00D84079">
      <w:pPr>
        <w:rPr>
          <w:lang w:eastAsia="en-GB"/>
        </w:rPr>
      </w:pPr>
      <w:r w:rsidRPr="00D662A7">
        <w:rPr>
          <w:lang w:eastAsia="en-GB"/>
        </w:rPr>
        <w:t xml:space="preserve">We coded the results of one of the comparative studies as </w:t>
      </w:r>
      <w:r w:rsidRPr="00D662A7">
        <w:rPr>
          <w:i/>
          <w:lang w:eastAsia="en-GB"/>
        </w:rPr>
        <w:t xml:space="preserve">Favours MPH </w:t>
      </w:r>
      <w:r w:rsidRPr="00D662A7">
        <w:rPr>
          <w:lang w:eastAsia="en-GB"/>
        </w:rPr>
        <w:t xml:space="preserve">and the other as </w:t>
      </w:r>
      <w:r w:rsidRPr="00D662A7">
        <w:rPr>
          <w:i/>
          <w:lang w:eastAsia="en-GB"/>
        </w:rPr>
        <w:t>Unclear</w:t>
      </w:r>
      <w:r w:rsidRPr="00D662A7">
        <w:rPr>
          <w:lang w:eastAsia="en-GB"/>
        </w:rPr>
        <w:t xml:space="preserve"> for this outcome, but </w:t>
      </w:r>
      <w:r w:rsidRPr="00D662A7">
        <w:rPr>
          <w:i/>
          <w:lang w:eastAsia="en-GB"/>
        </w:rPr>
        <w:t>Proceed with Caution</w:t>
      </w:r>
      <w:r w:rsidRPr="00D662A7">
        <w:rPr>
          <w:lang w:eastAsia="en-GB"/>
        </w:rPr>
        <w:t xml:space="preserve"> overall.</w:t>
      </w:r>
    </w:p>
    <w:p w14:paraId="435BFE0B" w14:textId="77777777" w:rsidR="00D84079" w:rsidRPr="00D662A7" w:rsidRDefault="00D84079" w:rsidP="00ED71C3">
      <w:pPr>
        <w:pStyle w:val="Heading4"/>
      </w:pPr>
      <w:r w:rsidRPr="00D662A7">
        <w:t>Favours MPH</w:t>
      </w:r>
    </w:p>
    <w:p w14:paraId="3B2DCB61" w14:textId="77777777" w:rsidR="00D84079" w:rsidRPr="00D662A7" w:rsidRDefault="00D84079" w:rsidP="00D84079">
      <w:pPr>
        <w:rPr>
          <w:lang w:eastAsia="en-GB"/>
        </w:rPr>
      </w:pPr>
      <w:r w:rsidRPr="00D662A7">
        <w:rPr>
          <w:lang w:eastAsia="en-GB"/>
        </w:rPr>
        <w:t xml:space="preserve">In Cortese et al.’s </w:t>
      </w:r>
      <w:r w:rsidRPr="00D662A7">
        <w:rPr>
          <w:rFonts w:cs="Calibri"/>
        </w:rPr>
        <w:t>(2015)</w:t>
      </w:r>
      <w:r w:rsidRPr="00D662A7">
        <w:rPr>
          <w:lang w:eastAsia="en-GB"/>
        </w:rPr>
        <w:t xml:space="preserve"> large database study comparing MPH with atomoxetine, described earlier,</w:t>
      </w:r>
      <w:r w:rsidRPr="00D662A7">
        <w:rPr>
          <w:rStyle w:val="FootnoteReference"/>
          <w:i/>
          <w:lang w:eastAsia="en-GB"/>
        </w:rPr>
        <w:t xml:space="preserve"> </w:t>
      </w:r>
      <w:r w:rsidRPr="00D662A7">
        <w:rPr>
          <w:rStyle w:val="FootnoteReference"/>
        </w:rPr>
        <w:footnoteReference w:id="22"/>
      </w:r>
      <w:r w:rsidRPr="00D662A7">
        <w:rPr>
          <w:lang w:eastAsia="en-GB"/>
        </w:rPr>
        <w:t xml:space="preserve"> the authors found significantly fewer irritability AEs in the MPH-treated group than in the atomoxetine group. </w:t>
      </w:r>
    </w:p>
    <w:p w14:paraId="66E02AD8" w14:textId="77777777" w:rsidR="00D84079" w:rsidRPr="00D662A7" w:rsidRDefault="00D84079" w:rsidP="00ED71C3">
      <w:pPr>
        <w:pStyle w:val="Heading4"/>
      </w:pPr>
      <w:r w:rsidRPr="00D662A7">
        <w:t xml:space="preserve">Unclear </w:t>
      </w:r>
    </w:p>
    <w:p w14:paraId="40D87BCE" w14:textId="77777777" w:rsidR="00D84079" w:rsidRPr="00D662A7" w:rsidRDefault="00D84079" w:rsidP="00D84079">
      <w:pPr>
        <w:rPr>
          <w:lang w:eastAsia="en-GB"/>
        </w:rPr>
      </w:pPr>
      <w:r w:rsidRPr="00D662A7">
        <w:rPr>
          <w:lang w:eastAsia="en-GB"/>
        </w:rPr>
        <w:t xml:space="preserve">The other comparative study was </w:t>
      </w:r>
      <w:r w:rsidRPr="00D662A7">
        <w:t xml:space="preserve">the retrospective </w:t>
      </w:r>
      <w:r w:rsidRPr="00D662A7">
        <w:rPr>
          <w:lang w:eastAsia="en-GB"/>
        </w:rPr>
        <w:t xml:space="preserve">chart review of pre-schoolers with ADHD by </w:t>
      </w:r>
      <w:proofErr w:type="spellStart"/>
      <w:r w:rsidRPr="00D662A7">
        <w:rPr>
          <w:lang w:eastAsia="en-GB"/>
        </w:rPr>
        <w:t>Ghuman</w:t>
      </w:r>
      <w:proofErr w:type="spellEnd"/>
      <w:r w:rsidRPr="00D662A7">
        <w:rPr>
          <w:lang w:eastAsia="en-GB"/>
        </w:rPr>
        <w:t xml:space="preserve"> et al. </w:t>
      </w:r>
      <w:r w:rsidRPr="00D662A7">
        <w:rPr>
          <w:rFonts w:cs="Calibri"/>
        </w:rPr>
        <w:t>(2001)</w:t>
      </w:r>
      <w:r w:rsidRPr="00D662A7">
        <w:rPr>
          <w:lang w:eastAsia="en-GB"/>
        </w:rPr>
        <w:t xml:space="preserve"> treated with stimulant medication.</w:t>
      </w:r>
      <w:r w:rsidRPr="00D662A7">
        <w:t xml:space="preserve"> Irritability was among the AEs reported. We coded this study as </w:t>
      </w:r>
      <w:r w:rsidRPr="00D662A7">
        <w:rPr>
          <w:i/>
          <w:lang w:eastAsia="en-GB"/>
        </w:rPr>
        <w:t>Unclear</w:t>
      </w:r>
      <w:r w:rsidRPr="00D662A7">
        <w:rPr>
          <w:lang w:eastAsia="en-GB"/>
        </w:rPr>
        <w:t xml:space="preserve"> for this particular outcome, but as the authors observed high rates of AEs for all three medications (MPH, dexamphetamine and Adderall), they urged caution using MPH in this age group</w:t>
      </w:r>
      <w:r w:rsidRPr="00D662A7">
        <w:rPr>
          <w:rStyle w:val="FootnoteReference"/>
        </w:rPr>
        <w:footnoteReference w:id="23"/>
      </w:r>
      <w:r w:rsidRPr="00D662A7">
        <w:rPr>
          <w:lang w:eastAsia="en-GB"/>
        </w:rPr>
        <w:t>.</w:t>
      </w:r>
    </w:p>
    <w:p w14:paraId="4C1277C9" w14:textId="77777777" w:rsidR="00D84079" w:rsidRPr="00D662A7" w:rsidRDefault="00D84079" w:rsidP="00ED71C3">
      <w:pPr>
        <w:pStyle w:val="Heading3"/>
      </w:pPr>
      <w:bookmarkStart w:id="16" w:name="_Non-comparative_group_studies_4"/>
      <w:bookmarkEnd w:id="16"/>
      <w:r w:rsidRPr="00D662A7">
        <w:lastRenderedPageBreak/>
        <w:t>Non-comparative group studies</w:t>
      </w:r>
    </w:p>
    <w:p w14:paraId="7B8A2DB6" w14:textId="77777777" w:rsidR="00D84079" w:rsidRPr="00D662A7" w:rsidRDefault="00D84079" w:rsidP="00D84079">
      <w:pPr>
        <w:rPr>
          <w:lang w:eastAsia="en-GB"/>
        </w:rPr>
      </w:pPr>
      <w:r w:rsidRPr="00D662A7">
        <w:rPr>
          <w:lang w:eastAsia="en-GB"/>
        </w:rPr>
        <w:t xml:space="preserve">We coded the authors’ conclusions of all four of the non-comparative studies as </w:t>
      </w:r>
      <w:r w:rsidRPr="00D662A7">
        <w:rPr>
          <w:i/>
          <w:lang w:eastAsia="en-GB"/>
        </w:rPr>
        <w:t>Safe</w:t>
      </w:r>
      <w:r w:rsidRPr="00D662A7">
        <w:rPr>
          <w:lang w:eastAsia="en-GB"/>
        </w:rPr>
        <w:t xml:space="preserve">. </w:t>
      </w:r>
    </w:p>
    <w:p w14:paraId="7F089B32" w14:textId="77777777" w:rsidR="00D84079" w:rsidRPr="00D662A7" w:rsidRDefault="00D84079" w:rsidP="00ED71C3">
      <w:pPr>
        <w:pStyle w:val="Heading4"/>
      </w:pPr>
      <w:r w:rsidRPr="00D662A7">
        <w:t>Safe</w:t>
      </w:r>
    </w:p>
    <w:p w14:paraId="0836C594" w14:textId="77777777" w:rsidR="00D84079" w:rsidRPr="00D662A7" w:rsidRDefault="00D84079" w:rsidP="00D84079">
      <w:pPr>
        <w:rPr>
          <w:lang w:eastAsia="en-GB"/>
        </w:rPr>
      </w:pPr>
      <w:proofErr w:type="spellStart"/>
      <w:r w:rsidRPr="00D662A7">
        <w:rPr>
          <w:lang w:eastAsia="en-GB"/>
        </w:rPr>
        <w:t>Wilens</w:t>
      </w:r>
      <w:proofErr w:type="spellEnd"/>
      <w:r w:rsidRPr="00D662A7">
        <w:rPr>
          <w:lang w:eastAsia="en-GB"/>
        </w:rPr>
        <w:t xml:space="preserve"> et al. </w:t>
      </w:r>
      <w:r w:rsidRPr="00D662A7">
        <w:rPr>
          <w:rFonts w:cs="Calibri"/>
        </w:rPr>
        <w:t>(2005)</w:t>
      </w:r>
      <w:r w:rsidRPr="00D662A7">
        <w:rPr>
          <w:lang w:eastAsia="en-GB"/>
        </w:rPr>
        <w:t xml:space="preserve"> conducted a 24 month study in which open-ended enquiries to parents about AEs elicited reports of effects relating to emotional reactivity, as well as tics, psychotic-like symptoms, sleep, and hostility. The authors noted that AEs were “generally mild”. One early discontinuation (0.2%) was due to emotional lability</w:t>
      </w:r>
      <w:r w:rsidRPr="00D662A7">
        <w:rPr>
          <w:rStyle w:val="FootnoteReference"/>
        </w:rPr>
        <w:footnoteReference w:id="24"/>
      </w:r>
      <w:r w:rsidRPr="00D662A7">
        <w:rPr>
          <w:lang w:eastAsia="en-GB"/>
        </w:rPr>
        <w:t>.</w:t>
      </w:r>
    </w:p>
    <w:p w14:paraId="38466E59" w14:textId="77777777" w:rsidR="00D84079" w:rsidRPr="00D662A7" w:rsidRDefault="00D84079" w:rsidP="00D84079">
      <w:pPr>
        <w:rPr>
          <w:lang w:eastAsia="en-GB"/>
        </w:rPr>
      </w:pPr>
      <w:proofErr w:type="spellStart"/>
      <w:r w:rsidRPr="00D662A7">
        <w:rPr>
          <w:lang w:eastAsia="en-GB"/>
        </w:rPr>
        <w:t>Atzori</w:t>
      </w:r>
      <w:proofErr w:type="spellEnd"/>
      <w:r w:rsidRPr="00D662A7">
        <w:rPr>
          <w:lang w:eastAsia="en-GB"/>
        </w:rPr>
        <w:t xml:space="preserve"> et al. </w:t>
      </w:r>
      <w:r w:rsidRPr="00D662A7">
        <w:rPr>
          <w:rFonts w:cs="Calibri"/>
        </w:rPr>
        <w:t>(2009)</w:t>
      </w:r>
      <w:r w:rsidRPr="00D662A7">
        <w:rPr>
          <w:lang w:eastAsia="en-GB"/>
        </w:rPr>
        <w:t xml:space="preserve"> conducted a retrospective chart review of 187 children with ADHD who had been treated with MPH, of whom 134 embarked on chronic treatment. The charts included clinical history for up to 36 months of monthly follow-up. Severe side effects, including dysphoria/irritability, were the reasons why 12 children did not embark on chronic treatment; however, in those who did, the authors found that while side effects were common (40.3% of sample), AEs were rarely the cause of treatment discontinuation once chronic treatment had been initiated. One child out of 134 discontinued treatment due to irritability.</w:t>
      </w:r>
      <w:r w:rsidRPr="00D662A7">
        <w:rPr>
          <w:rStyle w:val="FootnoteReference"/>
        </w:rPr>
        <w:footnoteReference w:id="25"/>
      </w:r>
      <w:r w:rsidRPr="00D662A7">
        <w:rPr>
          <w:lang w:eastAsia="en-GB"/>
        </w:rPr>
        <w:t xml:space="preserve"> </w:t>
      </w:r>
    </w:p>
    <w:p w14:paraId="01040CED" w14:textId="77777777" w:rsidR="00D84079" w:rsidRPr="00D662A7" w:rsidRDefault="00D84079" w:rsidP="00D84079">
      <w:pPr>
        <w:rPr>
          <w:lang w:eastAsia="en-GB"/>
        </w:rPr>
      </w:pPr>
      <w:proofErr w:type="spellStart"/>
      <w:r w:rsidRPr="00D662A7">
        <w:rPr>
          <w:lang w:eastAsia="en-GB"/>
        </w:rPr>
        <w:t>Kutlu</w:t>
      </w:r>
      <w:proofErr w:type="spellEnd"/>
      <w:r w:rsidRPr="00D662A7">
        <w:rPr>
          <w:lang w:eastAsia="en-GB"/>
        </w:rPr>
        <w:t xml:space="preserve"> et al.’s </w:t>
      </w:r>
      <w:r w:rsidRPr="00D662A7">
        <w:rPr>
          <w:rFonts w:cs="Calibri"/>
        </w:rPr>
        <w:t>(2017)</w:t>
      </w:r>
      <w:r w:rsidRPr="00D662A7">
        <w:rPr>
          <w:lang w:eastAsia="en-GB"/>
        </w:rPr>
        <w:t xml:space="preserve"> prospective open-label longitudinal study of 118 boys with ADHD and ODD/CD described above, specifically investigated ED, a construct closely related to emotional lability; they found improvements from high baseline levels over the period of treatment over a range of ED measures.</w:t>
      </w:r>
      <w:r w:rsidRPr="00D662A7">
        <w:rPr>
          <w:rStyle w:val="FootnoteReference"/>
        </w:rPr>
        <w:footnoteReference w:id="26"/>
      </w:r>
      <w:r w:rsidRPr="00D662A7">
        <w:rPr>
          <w:lang w:eastAsia="en-GB"/>
        </w:rPr>
        <w:t xml:space="preserve"> </w:t>
      </w:r>
    </w:p>
    <w:p w14:paraId="1370833E" w14:textId="77777777" w:rsidR="00D84079" w:rsidRPr="00D662A7" w:rsidRDefault="00D84079" w:rsidP="00D84079">
      <w:r w:rsidRPr="00D662A7">
        <w:rPr>
          <w:lang w:eastAsia="en-GB"/>
        </w:rPr>
        <w:lastRenderedPageBreak/>
        <w:t xml:space="preserve">In </w:t>
      </w:r>
      <w:proofErr w:type="spellStart"/>
      <w:r w:rsidRPr="00D662A7">
        <w:rPr>
          <w:lang w:eastAsia="en-GB"/>
        </w:rPr>
        <w:t>Edvinsson</w:t>
      </w:r>
      <w:proofErr w:type="spellEnd"/>
      <w:r w:rsidRPr="00D662A7">
        <w:rPr>
          <w:lang w:eastAsia="en-GB"/>
        </w:rPr>
        <w:t xml:space="preserve"> et al.’s </w:t>
      </w:r>
      <w:r w:rsidRPr="00D662A7">
        <w:rPr>
          <w:rFonts w:cs="Calibri"/>
        </w:rPr>
        <w:t>(2018)</w:t>
      </w:r>
      <w:r w:rsidRPr="00D662A7">
        <w:rPr>
          <w:lang w:eastAsia="en-GB"/>
        </w:rPr>
        <w:t xml:space="preserve"> six-year follow-up study of 112 adults with ADHD, none of the participants gave irritability or emotional reactivity as the reason for discontinuation of MPH, and of the 49 participants who were still taking MPH, only 1 reported irritability.</w:t>
      </w:r>
      <w:r w:rsidRPr="00D662A7">
        <w:rPr>
          <w:rStyle w:val="FootnoteReference"/>
        </w:rPr>
        <w:footnoteReference w:id="27"/>
      </w:r>
    </w:p>
    <w:p w14:paraId="5E679C44" w14:textId="77777777" w:rsidR="00D84079" w:rsidRPr="00D662A7" w:rsidRDefault="00D84079" w:rsidP="00ED71C3">
      <w:pPr>
        <w:pStyle w:val="Heading3"/>
      </w:pPr>
      <w:bookmarkStart w:id="17" w:name="_Case_reports_2"/>
      <w:bookmarkEnd w:id="17"/>
      <w:r w:rsidRPr="00D662A7">
        <w:t>Case reports</w:t>
      </w:r>
    </w:p>
    <w:p w14:paraId="47E2D1A1" w14:textId="77777777" w:rsidR="00D84079" w:rsidRPr="00D662A7" w:rsidRDefault="00D84079" w:rsidP="00ED71C3">
      <w:pPr>
        <w:pStyle w:val="Heading4"/>
      </w:pPr>
      <w:r w:rsidRPr="00D662A7">
        <w:t>Unclear</w:t>
      </w:r>
    </w:p>
    <w:p w14:paraId="6390E574" w14:textId="77777777" w:rsidR="00D84079" w:rsidRPr="00D662A7" w:rsidRDefault="00D84079" w:rsidP="00D84079">
      <w:pPr>
        <w:rPr>
          <w:lang w:eastAsia="en-GB"/>
        </w:rPr>
      </w:pPr>
      <w:r w:rsidRPr="00D662A7">
        <w:rPr>
          <w:lang w:eastAsia="en-GB"/>
        </w:rPr>
        <w:t xml:space="preserve">The range of problems reported in the case of the 8-year old boy treated with MPH and described by Rosenfeld </w:t>
      </w:r>
      <w:r w:rsidRPr="00D662A7">
        <w:rPr>
          <w:rFonts w:cs="Calibri"/>
        </w:rPr>
        <w:t>(1979)</w:t>
      </w:r>
      <w:r w:rsidRPr="00D662A7">
        <w:rPr>
          <w:lang w:eastAsia="en-GB"/>
        </w:rPr>
        <w:t xml:space="preserve"> and whose conclusion was </w:t>
      </w:r>
      <w:r w:rsidRPr="00D662A7">
        <w:rPr>
          <w:i/>
          <w:lang w:eastAsia="en-GB"/>
        </w:rPr>
        <w:t>Unclear</w:t>
      </w:r>
      <w:r w:rsidRPr="00D662A7">
        <w:rPr>
          <w:lang w:eastAsia="en-GB"/>
        </w:rPr>
        <w:t xml:space="preserve"> included irritability</w:t>
      </w:r>
      <w:r w:rsidRPr="00D662A7">
        <w:rPr>
          <w:rStyle w:val="FootnoteReference"/>
        </w:rPr>
        <w:footnoteReference w:id="28"/>
      </w:r>
      <w:r w:rsidRPr="00D662A7">
        <w:rPr>
          <w:lang w:eastAsia="en-GB"/>
        </w:rPr>
        <w:t xml:space="preserve">. </w:t>
      </w:r>
    </w:p>
    <w:p w14:paraId="48BF766C" w14:textId="77777777" w:rsidR="00D84079" w:rsidRPr="00D662A7" w:rsidRDefault="00D84079" w:rsidP="00ED71C3">
      <w:pPr>
        <w:pStyle w:val="Heading2"/>
      </w:pPr>
      <w:bookmarkStart w:id="18" w:name="_Ref4000159"/>
      <w:bookmarkStart w:id="19" w:name="_Ref4000299"/>
      <w:bookmarkStart w:id="20" w:name="_Ref4000350"/>
      <w:bookmarkStart w:id="21" w:name="_Ref4000459"/>
      <w:bookmarkStart w:id="22" w:name="_Ref4001035"/>
      <w:bookmarkStart w:id="23" w:name="_Ref4001368"/>
      <w:bookmarkStart w:id="24" w:name="_Ref4001376"/>
      <w:bookmarkStart w:id="25" w:name="_Toc4076820"/>
      <w:bookmarkStart w:id="26" w:name="_Hlk14433178"/>
      <w:r w:rsidRPr="00D662A7">
        <w:t>Suicidal behaviour/ideation</w:t>
      </w:r>
      <w:bookmarkEnd w:id="18"/>
      <w:bookmarkEnd w:id="19"/>
      <w:bookmarkEnd w:id="20"/>
      <w:bookmarkEnd w:id="21"/>
      <w:bookmarkEnd w:id="22"/>
      <w:bookmarkEnd w:id="23"/>
      <w:bookmarkEnd w:id="24"/>
      <w:bookmarkEnd w:id="25"/>
      <w:r w:rsidRPr="00D662A7">
        <w:t xml:space="preserve"> </w:t>
      </w:r>
    </w:p>
    <w:p w14:paraId="742EDA8F" w14:textId="77777777" w:rsidR="00D84079" w:rsidRPr="00D662A7" w:rsidRDefault="00D84079" w:rsidP="00D84079">
      <w:r w:rsidRPr="00D662A7">
        <w:rPr>
          <w:lang w:eastAsia="en-GB"/>
        </w:rPr>
        <w:t xml:space="preserve">Nine studies reported on suicidal behaviour/ideation as a potential adverse outcome: five comparative group studies and four case reports. The evidence regarding suicidal behaviour/ideation is summarised in </w:t>
      </w:r>
      <w:r w:rsidRPr="00D662A7">
        <w:t xml:space="preserve">Table </w:t>
      </w:r>
      <w:r w:rsidRPr="00D662A7">
        <w:rPr>
          <w:noProof/>
        </w:rPr>
        <w:t>12</w:t>
      </w:r>
      <w:r w:rsidRPr="00D662A7">
        <w:rPr>
          <w:lang w:eastAsia="en-GB"/>
        </w:rPr>
        <w:t xml:space="preserve">. None of the included studies reported non-suicidal self-harm as a potential adverse outcome. </w:t>
      </w:r>
    </w:p>
    <w:p w14:paraId="44838B2C" w14:textId="77777777" w:rsidR="00D84079" w:rsidRPr="00D662A7" w:rsidRDefault="00D84079" w:rsidP="00ED71C3">
      <w:pPr>
        <w:pStyle w:val="Heading3"/>
      </w:pPr>
      <w:bookmarkStart w:id="27" w:name="_Comparative_group_studies_4"/>
      <w:bookmarkEnd w:id="26"/>
      <w:bookmarkEnd w:id="27"/>
      <w:r w:rsidRPr="00D662A7">
        <w:t>Comparative group studies</w:t>
      </w:r>
    </w:p>
    <w:p w14:paraId="057EEE21" w14:textId="77777777" w:rsidR="00D84079" w:rsidRPr="00D662A7" w:rsidRDefault="00D84079" w:rsidP="00D84079">
      <w:pPr>
        <w:rPr>
          <w:lang w:eastAsia="en-GB"/>
        </w:rPr>
      </w:pPr>
      <w:r w:rsidRPr="00D662A7">
        <w:rPr>
          <w:lang w:eastAsia="en-GB"/>
        </w:rPr>
        <w:t xml:space="preserve">We coded four comparative studies as </w:t>
      </w:r>
      <w:r w:rsidRPr="00D662A7">
        <w:rPr>
          <w:i/>
          <w:lang w:eastAsia="en-GB"/>
        </w:rPr>
        <w:t>Favours MPH</w:t>
      </w:r>
      <w:r w:rsidRPr="00D662A7">
        <w:rPr>
          <w:lang w:eastAsia="en-GB"/>
        </w:rPr>
        <w:t xml:space="preserve">, and one as </w:t>
      </w:r>
      <w:r w:rsidRPr="00D662A7">
        <w:rPr>
          <w:i/>
          <w:lang w:eastAsia="en-GB"/>
        </w:rPr>
        <w:t>Unclear</w:t>
      </w:r>
      <w:r w:rsidRPr="00D662A7">
        <w:rPr>
          <w:lang w:eastAsia="en-GB"/>
        </w:rPr>
        <w:t>.</w:t>
      </w:r>
    </w:p>
    <w:p w14:paraId="718224FA" w14:textId="77777777" w:rsidR="00D84079" w:rsidRPr="00D662A7" w:rsidRDefault="00D84079" w:rsidP="00ED71C3">
      <w:pPr>
        <w:pStyle w:val="Heading4"/>
      </w:pPr>
      <w:r w:rsidRPr="00D662A7">
        <w:t>Favours MPH</w:t>
      </w:r>
    </w:p>
    <w:p w14:paraId="28D1857B" w14:textId="77777777" w:rsidR="00D84079" w:rsidRPr="00D662A7" w:rsidRDefault="00D84079" w:rsidP="00D84079">
      <w:pPr>
        <w:rPr>
          <w:lang w:eastAsia="en-GB"/>
        </w:rPr>
      </w:pPr>
      <w:proofErr w:type="spellStart"/>
      <w:r w:rsidRPr="00D662A7">
        <w:rPr>
          <w:lang w:eastAsia="en-GB"/>
        </w:rPr>
        <w:t>Paternite</w:t>
      </w:r>
      <w:proofErr w:type="spellEnd"/>
      <w:r w:rsidRPr="00D662A7">
        <w:rPr>
          <w:lang w:eastAsia="en-GB"/>
        </w:rPr>
        <w:t xml:space="preserve"> et </w:t>
      </w:r>
      <w:proofErr w:type="spellStart"/>
      <w:r w:rsidRPr="00D662A7">
        <w:rPr>
          <w:lang w:eastAsia="en-GB"/>
        </w:rPr>
        <w:t>al’s</w:t>
      </w:r>
      <w:proofErr w:type="spellEnd"/>
      <w:r w:rsidRPr="00D662A7">
        <w:rPr>
          <w:lang w:eastAsia="en-GB"/>
        </w:rPr>
        <w:t xml:space="preserve"> </w:t>
      </w:r>
      <w:r w:rsidRPr="00D662A7">
        <w:rPr>
          <w:rFonts w:cs="Calibri"/>
        </w:rPr>
        <w:t>(1999)</w:t>
      </w:r>
      <w:r w:rsidRPr="00D662A7">
        <w:rPr>
          <w:lang w:eastAsia="en-GB"/>
        </w:rPr>
        <w:t xml:space="preserve"> study of outcomes in young adults with ADHD (described above) found significantly fewer suicide attempts in those who had been maintained on MPH treatment than in those who had not.</w:t>
      </w:r>
      <w:r w:rsidRPr="00D662A7">
        <w:rPr>
          <w:rStyle w:val="FootnoteReference"/>
        </w:rPr>
        <w:footnoteReference w:id="29"/>
      </w:r>
    </w:p>
    <w:p w14:paraId="08FA8080" w14:textId="77777777" w:rsidR="00D84079" w:rsidRPr="00D662A7" w:rsidRDefault="00D84079" w:rsidP="00D84079">
      <w:pPr>
        <w:rPr>
          <w:lang w:eastAsia="en-GB"/>
        </w:rPr>
      </w:pPr>
      <w:r w:rsidRPr="00D662A7">
        <w:rPr>
          <w:lang w:eastAsia="en-GB"/>
        </w:rPr>
        <w:lastRenderedPageBreak/>
        <w:t xml:space="preserve">In the large cohort study by Cortese et al. </w:t>
      </w:r>
      <w:r w:rsidRPr="00D662A7">
        <w:rPr>
          <w:rFonts w:cs="Calibri"/>
        </w:rPr>
        <w:t>(2015)</w:t>
      </w:r>
      <w:r w:rsidRPr="00D662A7">
        <w:rPr>
          <w:lang w:eastAsia="en-GB"/>
        </w:rPr>
        <w:t>, previously described, there were no cases of completed suicide. There were five reports of suicidal ideation AEs (all in the atomoxetine group)</w:t>
      </w:r>
      <w:r w:rsidRPr="00D662A7">
        <w:rPr>
          <w:rStyle w:val="FootnoteReference"/>
        </w:rPr>
        <w:footnoteReference w:id="30"/>
      </w:r>
      <w:r w:rsidRPr="00D662A7">
        <w:rPr>
          <w:lang w:eastAsia="en-GB"/>
        </w:rPr>
        <w:t xml:space="preserve">. </w:t>
      </w:r>
    </w:p>
    <w:p w14:paraId="0D20668D" w14:textId="77777777" w:rsidR="00D84079" w:rsidRPr="00D662A7" w:rsidRDefault="00D84079" w:rsidP="00D84079">
      <w:pPr>
        <w:rPr>
          <w:lang w:eastAsia="en-GB"/>
        </w:rPr>
      </w:pPr>
      <w:r w:rsidRPr="00D662A7">
        <w:rPr>
          <w:lang w:eastAsia="en-GB"/>
        </w:rPr>
        <w:t xml:space="preserve">In a large study by using the Taiwan Health Insurance database, Liang et al. </w:t>
      </w:r>
      <w:r w:rsidRPr="00D662A7">
        <w:rPr>
          <w:rFonts w:cs="Calibri"/>
        </w:rPr>
        <w:t>(2018)</w:t>
      </w:r>
      <w:r w:rsidRPr="00D662A7">
        <w:rPr>
          <w:lang w:eastAsia="en-GB"/>
        </w:rPr>
        <w:t xml:space="preserve"> found that risk of suicide was elevated amongst young people with ADHD but that treatment with MPH for longer than 6 months had a protective effect on suicide risk, and, moreover, that longer treatment was associated with lower risk. </w:t>
      </w:r>
    </w:p>
    <w:p w14:paraId="2F0ADD9B" w14:textId="77777777" w:rsidR="00D84079" w:rsidRPr="00D662A7" w:rsidRDefault="00D84079" w:rsidP="00D84079">
      <w:pPr>
        <w:rPr>
          <w:lang w:eastAsia="en-GB"/>
        </w:rPr>
      </w:pPr>
      <w:r w:rsidRPr="00D662A7">
        <w:rPr>
          <w:lang w:eastAsia="en-GB"/>
        </w:rPr>
        <w:t xml:space="preserve">Huang et al. </w:t>
      </w:r>
      <w:r w:rsidRPr="00D662A7">
        <w:rPr>
          <w:rFonts w:cs="Calibri"/>
        </w:rPr>
        <w:t>(2018)</w:t>
      </w:r>
      <w:r w:rsidRPr="00D662A7">
        <w:rPr>
          <w:lang w:eastAsia="en-GB"/>
        </w:rPr>
        <w:t xml:space="preserve"> enrolled a longitudinal cohort from the same database as Liang et al. </w:t>
      </w:r>
      <w:r w:rsidRPr="00D662A7">
        <w:rPr>
          <w:rFonts w:cs="Calibri"/>
        </w:rPr>
        <w:t>(2018)</w:t>
      </w:r>
      <w:r w:rsidRPr="00D662A7">
        <w:rPr>
          <w:lang w:eastAsia="en-GB"/>
        </w:rPr>
        <w:t xml:space="preserve">, comprising 20, 574 adolescents and young adults with ADHD and 61,722 age- and gender-matched controls. They found that ADHD was a risk factor for suicide attempt, but that neither MPH treatment nor atomoxetine were associated with further risk. Consistent with the findings of Liang et al. </w:t>
      </w:r>
      <w:r w:rsidRPr="00D662A7">
        <w:rPr>
          <w:rFonts w:cs="Calibri"/>
        </w:rPr>
        <w:t>(2018)</w:t>
      </w:r>
      <w:r w:rsidRPr="00D662A7">
        <w:rPr>
          <w:lang w:eastAsia="en-GB"/>
        </w:rPr>
        <w:t xml:space="preserve">, they found that long-term MPH treatment was associated with decreased risk of suicide risk. </w:t>
      </w:r>
    </w:p>
    <w:p w14:paraId="4EE4477E" w14:textId="77777777" w:rsidR="00D84079" w:rsidRPr="00D662A7" w:rsidRDefault="00D84079" w:rsidP="00ED71C3">
      <w:pPr>
        <w:pStyle w:val="Heading4"/>
      </w:pPr>
      <w:r w:rsidRPr="00D662A7">
        <w:t>Unclear</w:t>
      </w:r>
    </w:p>
    <w:p w14:paraId="269791DB" w14:textId="77777777" w:rsidR="00D84079" w:rsidRPr="00D662A7" w:rsidRDefault="00D84079" w:rsidP="00D84079">
      <w:pPr>
        <w:rPr>
          <w:lang w:eastAsia="en-GB"/>
        </w:rPr>
      </w:pPr>
      <w:proofErr w:type="spellStart"/>
      <w:r w:rsidRPr="00D662A7">
        <w:rPr>
          <w:lang w:eastAsia="en-GB"/>
        </w:rPr>
        <w:t>Hechtman</w:t>
      </w:r>
      <w:proofErr w:type="spellEnd"/>
      <w:r w:rsidRPr="00D662A7">
        <w:rPr>
          <w:lang w:eastAsia="en-GB"/>
        </w:rPr>
        <w:t xml:space="preserve"> et al.’s </w:t>
      </w:r>
      <w:r w:rsidRPr="00D662A7">
        <w:rPr>
          <w:rFonts w:cs="Calibri"/>
        </w:rPr>
        <w:t>(1984)</w:t>
      </w:r>
      <w:r w:rsidRPr="00D662A7">
        <w:rPr>
          <w:lang w:eastAsia="en-GB"/>
        </w:rPr>
        <w:t xml:space="preserve"> study of young adult outcomes (described above) using the SADS </w:t>
      </w:r>
      <w:r w:rsidRPr="00D662A7">
        <w:rPr>
          <w:rFonts w:cs="Calibri"/>
        </w:rPr>
        <w:t>(Endicott and Spitzer, 1978)</w:t>
      </w:r>
      <w:r w:rsidRPr="00D662A7">
        <w:rPr>
          <w:lang w:eastAsia="en-GB"/>
        </w:rPr>
        <w:t>, found no difference between treated and untreated groups in suicidal thoughts or attempts.</w:t>
      </w:r>
      <w:r w:rsidRPr="00D662A7">
        <w:rPr>
          <w:rStyle w:val="FootnoteReference"/>
        </w:rPr>
        <w:footnoteReference w:id="31"/>
      </w:r>
      <w:r w:rsidRPr="00D662A7">
        <w:rPr>
          <w:lang w:eastAsia="en-GB"/>
        </w:rPr>
        <w:t xml:space="preserve"> </w:t>
      </w:r>
    </w:p>
    <w:p w14:paraId="1FC3334F" w14:textId="77777777" w:rsidR="00D84079" w:rsidRPr="00D662A7" w:rsidRDefault="00D84079" w:rsidP="00ED71C3">
      <w:pPr>
        <w:pStyle w:val="Heading3"/>
      </w:pPr>
      <w:bookmarkStart w:id="28" w:name="_Case_reports_4"/>
      <w:bookmarkEnd w:id="28"/>
      <w:r w:rsidRPr="00D662A7">
        <w:lastRenderedPageBreak/>
        <w:t>Case reports</w:t>
      </w:r>
    </w:p>
    <w:p w14:paraId="1E9432BF" w14:textId="77777777" w:rsidR="00D84079" w:rsidRPr="00D662A7" w:rsidRDefault="00D84079" w:rsidP="00D84079">
      <w:pPr>
        <w:rPr>
          <w:lang w:eastAsia="en-GB"/>
        </w:rPr>
      </w:pPr>
      <w:r w:rsidRPr="00D662A7">
        <w:rPr>
          <w:lang w:eastAsia="en-GB"/>
        </w:rPr>
        <w:t xml:space="preserve">We coded the authors’ conclusion in two of the case reports as </w:t>
      </w:r>
      <w:r w:rsidRPr="00D662A7">
        <w:rPr>
          <w:i/>
          <w:lang w:eastAsia="en-GB"/>
        </w:rPr>
        <w:t>Proceed with Caution</w:t>
      </w:r>
      <w:r w:rsidRPr="00D662A7">
        <w:rPr>
          <w:lang w:eastAsia="en-GB"/>
        </w:rPr>
        <w:t xml:space="preserve"> and two as </w:t>
      </w:r>
      <w:r w:rsidRPr="00D662A7">
        <w:rPr>
          <w:i/>
          <w:lang w:eastAsia="en-GB"/>
        </w:rPr>
        <w:t>Unclear</w:t>
      </w:r>
      <w:r w:rsidRPr="00D662A7">
        <w:rPr>
          <w:lang w:eastAsia="en-GB"/>
        </w:rPr>
        <w:t>.</w:t>
      </w:r>
    </w:p>
    <w:p w14:paraId="366B8315" w14:textId="77777777" w:rsidR="00D84079" w:rsidRPr="00D662A7" w:rsidRDefault="00D84079" w:rsidP="00ED71C3">
      <w:pPr>
        <w:pStyle w:val="Heading4"/>
      </w:pPr>
      <w:r w:rsidRPr="00D662A7">
        <w:t>Proceed with Caution</w:t>
      </w:r>
    </w:p>
    <w:p w14:paraId="55909139" w14:textId="77777777" w:rsidR="00D84079" w:rsidRPr="00D662A7" w:rsidRDefault="00D84079" w:rsidP="00D84079">
      <w:pPr>
        <w:rPr>
          <w:lang w:eastAsia="en-GB"/>
        </w:rPr>
      </w:pPr>
      <w:proofErr w:type="spellStart"/>
      <w:r w:rsidRPr="00D662A7">
        <w:rPr>
          <w:lang w:eastAsia="en-GB"/>
        </w:rPr>
        <w:t>Erkuran</w:t>
      </w:r>
      <w:proofErr w:type="spellEnd"/>
      <w:r w:rsidRPr="00D662A7">
        <w:rPr>
          <w:lang w:eastAsia="en-GB"/>
        </w:rPr>
        <w:t xml:space="preserve"> et al. </w:t>
      </w:r>
      <w:r w:rsidRPr="00D662A7">
        <w:t>(2016)</w:t>
      </w:r>
      <w:r w:rsidRPr="00D662A7">
        <w:rPr>
          <w:lang w:eastAsia="en-GB"/>
        </w:rPr>
        <w:t xml:space="preserve"> report a case in which MPH had been used in overdose as a suicide attempt, and we coded the authors’ conclusion as </w:t>
      </w:r>
      <w:r w:rsidRPr="00D662A7">
        <w:rPr>
          <w:i/>
          <w:lang w:eastAsia="en-GB"/>
        </w:rPr>
        <w:t>Proceed with Caution</w:t>
      </w:r>
      <w:r w:rsidRPr="00D662A7">
        <w:rPr>
          <w:lang w:eastAsia="en-GB"/>
        </w:rPr>
        <w:t xml:space="preserve">. In the case reported by Garland </w:t>
      </w:r>
      <w:r w:rsidRPr="00D662A7">
        <w:rPr>
          <w:rFonts w:cs="Calibri"/>
        </w:rPr>
        <w:t>(1998)</w:t>
      </w:r>
      <w:r w:rsidRPr="00D662A7">
        <w:rPr>
          <w:lang w:eastAsia="en-GB"/>
        </w:rPr>
        <w:t xml:space="preserve"> of a teenage boy who had been abusing MPH, the boy experienced suicidal ideation, and the author proposes this as a possible post-intoxication reaction. </w:t>
      </w:r>
    </w:p>
    <w:p w14:paraId="26201452" w14:textId="77777777" w:rsidR="00D84079" w:rsidRPr="00D662A7" w:rsidRDefault="00D84079" w:rsidP="00ED71C3">
      <w:pPr>
        <w:pStyle w:val="Heading4"/>
      </w:pPr>
      <w:r w:rsidRPr="00D662A7">
        <w:t>Unclear</w:t>
      </w:r>
    </w:p>
    <w:p w14:paraId="37B854BF" w14:textId="77777777" w:rsidR="00D84079" w:rsidRPr="00D662A7" w:rsidRDefault="00D84079" w:rsidP="00D84079">
      <w:pPr>
        <w:rPr>
          <w:lang w:eastAsia="en-GB"/>
        </w:rPr>
      </w:pPr>
      <w:r w:rsidRPr="00D662A7">
        <w:rPr>
          <w:lang w:eastAsia="en-GB"/>
        </w:rPr>
        <w:t xml:space="preserve">In Rosenfeld’s </w:t>
      </w:r>
      <w:r w:rsidRPr="00D662A7">
        <w:rPr>
          <w:rFonts w:cs="Calibri"/>
        </w:rPr>
        <w:t>(1979)</w:t>
      </w:r>
      <w:r w:rsidRPr="00D662A7">
        <w:rPr>
          <w:lang w:eastAsia="en-GB"/>
        </w:rPr>
        <w:t xml:space="preserve"> case report, described earlier, of a boy with a range of problems, these included suicidal ideation and, as before, we coded the author’s conclusion as </w:t>
      </w:r>
      <w:r w:rsidRPr="00D662A7">
        <w:rPr>
          <w:i/>
          <w:lang w:eastAsia="en-GB"/>
        </w:rPr>
        <w:t>Unclear</w:t>
      </w:r>
      <w:r w:rsidRPr="00D662A7">
        <w:rPr>
          <w:rStyle w:val="FootnoteReference"/>
        </w:rPr>
        <w:footnoteReference w:id="32"/>
      </w:r>
      <w:r w:rsidRPr="00D662A7">
        <w:rPr>
          <w:lang w:eastAsia="en-GB"/>
        </w:rPr>
        <w:t xml:space="preserve">. </w:t>
      </w:r>
    </w:p>
    <w:p w14:paraId="3597FDC0" w14:textId="77777777" w:rsidR="00D84079" w:rsidRPr="00D662A7" w:rsidRDefault="00D84079" w:rsidP="00D84079">
      <w:pPr>
        <w:rPr>
          <w:lang w:eastAsia="en-GB"/>
        </w:rPr>
      </w:pPr>
      <w:proofErr w:type="spellStart"/>
      <w:r w:rsidRPr="00D662A7">
        <w:rPr>
          <w:lang w:eastAsia="en-GB"/>
        </w:rPr>
        <w:t>Eryilmaz</w:t>
      </w:r>
      <w:proofErr w:type="spellEnd"/>
      <w:r w:rsidRPr="00D662A7">
        <w:rPr>
          <w:lang w:eastAsia="en-GB"/>
        </w:rPr>
        <w:t xml:space="preserve"> et al. </w:t>
      </w:r>
      <w:r w:rsidRPr="00D662A7">
        <w:rPr>
          <w:rFonts w:cs="Calibri"/>
        </w:rPr>
        <w:t>(2014)</w:t>
      </w:r>
      <w:r w:rsidRPr="00D662A7">
        <w:rPr>
          <w:lang w:eastAsia="en-GB"/>
        </w:rPr>
        <w:t xml:space="preserve"> report a case of an 18 year old youth treated with MPH and risperidone, who used MPH in an suicide attempt; again we coded the conclusion as </w:t>
      </w:r>
      <w:r w:rsidRPr="00D662A7">
        <w:rPr>
          <w:i/>
          <w:lang w:eastAsia="en-GB"/>
        </w:rPr>
        <w:t>Unclear</w:t>
      </w:r>
      <w:r w:rsidRPr="00D662A7">
        <w:rPr>
          <w:rStyle w:val="FootnoteReference"/>
        </w:rPr>
        <w:footnoteReference w:id="33"/>
      </w:r>
      <w:r w:rsidRPr="00D662A7">
        <w:rPr>
          <w:i/>
          <w:lang w:eastAsia="en-GB"/>
        </w:rPr>
        <w:t xml:space="preserve">. </w:t>
      </w:r>
    </w:p>
    <w:p w14:paraId="22EE8AD7" w14:textId="77777777" w:rsidR="00D84079" w:rsidRPr="00D662A7" w:rsidRDefault="00D84079" w:rsidP="00ED71C3">
      <w:pPr>
        <w:pStyle w:val="Heading2"/>
      </w:pPr>
      <w:bookmarkStart w:id="29" w:name="_Bipolar_disorder"/>
      <w:bookmarkStart w:id="30" w:name="_Ref4000260"/>
      <w:bookmarkStart w:id="31" w:name="_Ref4001296"/>
      <w:bookmarkStart w:id="32" w:name="_Toc4076821"/>
      <w:bookmarkEnd w:id="29"/>
      <w:r w:rsidRPr="00D662A7">
        <w:t>Bipolar disorder</w:t>
      </w:r>
      <w:bookmarkEnd w:id="30"/>
      <w:bookmarkEnd w:id="31"/>
      <w:bookmarkEnd w:id="32"/>
      <w:r w:rsidRPr="00D662A7">
        <w:t xml:space="preserve"> </w:t>
      </w:r>
    </w:p>
    <w:p w14:paraId="345116A6" w14:textId="77777777" w:rsidR="00D84079" w:rsidRPr="00D662A7" w:rsidRDefault="00D84079" w:rsidP="00D84079">
      <w:pPr>
        <w:rPr>
          <w:lang w:eastAsia="en-GB"/>
        </w:rPr>
      </w:pPr>
      <w:r w:rsidRPr="00D662A7">
        <w:rPr>
          <w:lang w:eastAsia="en-GB"/>
        </w:rPr>
        <w:t xml:space="preserve">Four studies reported on bipolar disorder as a potential adverse outcome: Two large comparative studies, one non-comparative study, and one case report, coded </w:t>
      </w:r>
      <w:r w:rsidRPr="00D662A7">
        <w:rPr>
          <w:i/>
          <w:lang w:eastAsia="en-GB"/>
        </w:rPr>
        <w:t>Safe</w:t>
      </w:r>
      <w:r w:rsidRPr="00D662A7">
        <w:rPr>
          <w:lang w:eastAsia="en-GB"/>
        </w:rPr>
        <w:t xml:space="preserve">. The evidence regarding Bipolar disorder is summarised in </w:t>
      </w:r>
      <w:r w:rsidRPr="00D662A7">
        <w:t xml:space="preserve">Table </w:t>
      </w:r>
      <w:r w:rsidRPr="00D662A7">
        <w:rPr>
          <w:noProof/>
        </w:rPr>
        <w:t>13</w:t>
      </w:r>
      <w:r w:rsidRPr="00D662A7">
        <w:rPr>
          <w:lang w:eastAsia="en-GB"/>
        </w:rPr>
        <w:t>.</w:t>
      </w:r>
    </w:p>
    <w:p w14:paraId="25DEAF27" w14:textId="77777777" w:rsidR="00D84079" w:rsidRPr="00D662A7" w:rsidRDefault="00D84079" w:rsidP="00ED71C3">
      <w:pPr>
        <w:pStyle w:val="Heading3"/>
      </w:pPr>
      <w:r w:rsidRPr="00D662A7">
        <w:lastRenderedPageBreak/>
        <w:t>Comparative group studies</w:t>
      </w:r>
    </w:p>
    <w:p w14:paraId="6AF244A1" w14:textId="77777777" w:rsidR="00D84079" w:rsidRPr="00D662A7" w:rsidRDefault="00D84079" w:rsidP="00ED71C3">
      <w:pPr>
        <w:pStyle w:val="Heading4"/>
      </w:pPr>
      <w:r w:rsidRPr="00D662A7">
        <w:t>Favours MPH</w:t>
      </w:r>
    </w:p>
    <w:p w14:paraId="6B3FD00B" w14:textId="77777777" w:rsidR="00D84079" w:rsidRPr="00D662A7" w:rsidRDefault="00D84079" w:rsidP="00D84079">
      <w:pPr>
        <w:rPr>
          <w:lang w:eastAsia="en-GB"/>
        </w:rPr>
      </w:pPr>
      <w:r w:rsidRPr="00D662A7">
        <w:rPr>
          <w:lang w:eastAsia="en-GB"/>
        </w:rPr>
        <w:t xml:space="preserve">Using a large nationwide cohort study from Taiwan, Wang et al. </w:t>
      </w:r>
      <w:r w:rsidRPr="00D662A7">
        <w:t>(2016a)</w:t>
      </w:r>
      <w:r w:rsidRPr="00D662A7">
        <w:rPr>
          <w:lang w:eastAsia="en-GB"/>
        </w:rPr>
        <w:t xml:space="preserve"> investigated risk of bipolar disorder in ADHD, and the moderating effects of atomoxetine and MPH. Bipolar disorder was defined using ICD-9-CM codes. Results showed elevated risk of bipolar disorder in patients with ADHD, but statistically significantly reduced risk associated with long-term MPH use. Atomoxetine exposure did not significantly predict risk.</w:t>
      </w:r>
    </w:p>
    <w:p w14:paraId="0A1D2412" w14:textId="77777777" w:rsidR="00D84079" w:rsidRPr="00D662A7" w:rsidRDefault="00D84079" w:rsidP="00ED71C3">
      <w:pPr>
        <w:pStyle w:val="Heading4"/>
      </w:pPr>
      <w:r w:rsidRPr="00D662A7">
        <w:t>Unclear</w:t>
      </w:r>
    </w:p>
    <w:p w14:paraId="1AFD7393" w14:textId="77777777" w:rsidR="00D84079" w:rsidRPr="00D662A7" w:rsidRDefault="00D84079" w:rsidP="00D84079">
      <w:pPr>
        <w:rPr>
          <w:lang w:eastAsia="en-GB"/>
        </w:rPr>
      </w:pPr>
      <w:r w:rsidRPr="00D662A7">
        <w:rPr>
          <w:lang w:eastAsia="en-GB"/>
        </w:rPr>
        <w:t xml:space="preserve">Jerrell et al. </w:t>
      </w:r>
      <w:r w:rsidRPr="00D662A7">
        <w:t>(2014)</w:t>
      </w:r>
      <w:r w:rsidRPr="00D662A7">
        <w:rPr>
          <w:lang w:eastAsia="en-GB"/>
        </w:rPr>
        <w:t xml:space="preserve"> investigated bipolar disorder as an outcome in ADHD, using a large </w:t>
      </w:r>
      <w:proofErr w:type="spellStart"/>
      <w:r w:rsidRPr="00D662A7">
        <w:rPr>
          <w:lang w:eastAsia="en-GB"/>
        </w:rPr>
        <w:t>statewide</w:t>
      </w:r>
      <w:proofErr w:type="spellEnd"/>
      <w:r w:rsidRPr="00D662A7">
        <w:rPr>
          <w:lang w:eastAsia="en-GB"/>
        </w:rPr>
        <w:t xml:space="preserve"> Medicaid database from South Carolina and ICD-9 codes. They found that comorbid diagnoses of ODD, CD, Anxiety Disorder, and SUD all elevated risk of Bipolar Disorder, but that treatment duration with both MPH and atomoxetine were also both slightly but positively associated with risk of bipolar (adjusted Odds Ration 1.1 for both treatments). </w:t>
      </w:r>
    </w:p>
    <w:p w14:paraId="08478840" w14:textId="77777777" w:rsidR="00D84079" w:rsidRPr="00D662A7" w:rsidRDefault="00D84079" w:rsidP="00ED71C3">
      <w:pPr>
        <w:pStyle w:val="Heading3"/>
      </w:pPr>
      <w:bookmarkStart w:id="33" w:name="_Non-comparative_group_studies_2"/>
      <w:bookmarkEnd w:id="33"/>
      <w:r w:rsidRPr="00D662A7">
        <w:t>Non-comparative group studies</w:t>
      </w:r>
    </w:p>
    <w:p w14:paraId="3B42BB6B" w14:textId="77777777" w:rsidR="00D84079" w:rsidRPr="00D662A7" w:rsidRDefault="00D84079" w:rsidP="00ED71C3">
      <w:pPr>
        <w:pStyle w:val="Heading4"/>
      </w:pPr>
      <w:r w:rsidRPr="00D662A7">
        <w:t>Proceed with Caution.</w:t>
      </w:r>
    </w:p>
    <w:p w14:paraId="0A1CCC3E" w14:textId="77777777" w:rsidR="00D84079" w:rsidRPr="00D662A7" w:rsidRDefault="00D84079" w:rsidP="00D84079">
      <w:pPr>
        <w:rPr>
          <w:lang w:eastAsia="en-GB"/>
        </w:rPr>
      </w:pPr>
      <w:proofErr w:type="spellStart"/>
      <w:r w:rsidRPr="00D662A7">
        <w:rPr>
          <w:rFonts w:cs="Calibri"/>
        </w:rPr>
        <w:t>Cherland</w:t>
      </w:r>
      <w:proofErr w:type="spellEnd"/>
      <w:r w:rsidRPr="00D662A7">
        <w:rPr>
          <w:rFonts w:cs="Calibri"/>
        </w:rPr>
        <w:t xml:space="preserve"> &amp; Fitzpatrick (1999) conducted a retrospective chart review to investigate </w:t>
      </w:r>
      <w:r w:rsidRPr="00D662A7">
        <w:rPr>
          <w:lang w:eastAsia="en-GB"/>
        </w:rPr>
        <w:t xml:space="preserve">psychotic AEs in 98 children with ADHD who had been prescribed psychostimulants. No bipolar-like AEs were reported in children who had received MPH for more than one year. </w:t>
      </w:r>
      <w:r w:rsidRPr="00D662A7">
        <w:rPr>
          <w:lang w:eastAsia="en-GB"/>
        </w:rPr>
        <w:lastRenderedPageBreak/>
        <w:t>Two children were subsequently diagnosed with bipolar disorder, but both had taken MPH for less than one year.</w:t>
      </w:r>
      <w:r w:rsidRPr="00D662A7">
        <w:rPr>
          <w:rStyle w:val="FootnoteReference"/>
        </w:rPr>
        <w:footnoteReference w:id="34"/>
      </w:r>
    </w:p>
    <w:p w14:paraId="0DD42E3C" w14:textId="77777777" w:rsidR="00D84079" w:rsidRPr="00D662A7" w:rsidRDefault="00D84079" w:rsidP="00ED71C3">
      <w:pPr>
        <w:pStyle w:val="Heading3"/>
      </w:pPr>
      <w:bookmarkStart w:id="34" w:name="_Case_reports_6"/>
      <w:bookmarkEnd w:id="34"/>
      <w:r w:rsidRPr="00D662A7">
        <w:t>Case report</w:t>
      </w:r>
    </w:p>
    <w:p w14:paraId="1FFE60C2" w14:textId="77777777" w:rsidR="00D84079" w:rsidRPr="00D662A7" w:rsidRDefault="00D84079" w:rsidP="00ED71C3">
      <w:pPr>
        <w:pStyle w:val="Heading4"/>
      </w:pPr>
      <w:r w:rsidRPr="00D662A7">
        <w:t>Safe</w:t>
      </w:r>
    </w:p>
    <w:p w14:paraId="7CD2A559" w14:textId="77777777" w:rsidR="00D84079" w:rsidRPr="00D662A7" w:rsidRDefault="00D84079" w:rsidP="00D84079">
      <w:pPr>
        <w:rPr>
          <w:lang w:eastAsia="en-GB"/>
        </w:rPr>
      </w:pPr>
      <w:proofErr w:type="spellStart"/>
      <w:r w:rsidRPr="00D662A7">
        <w:rPr>
          <w:rFonts w:cs="Calibri"/>
        </w:rPr>
        <w:t>Guerdjikova</w:t>
      </w:r>
      <w:proofErr w:type="spellEnd"/>
      <w:r w:rsidRPr="00D662A7">
        <w:rPr>
          <w:rFonts w:cs="Calibri"/>
        </w:rPr>
        <w:t xml:space="preserve"> &amp; McElroy</w:t>
      </w:r>
      <w:r w:rsidRPr="00D662A7">
        <w:rPr>
          <w:lang w:eastAsia="en-GB"/>
        </w:rPr>
        <w:t xml:space="preserve"> </w:t>
      </w:r>
      <w:r w:rsidRPr="00D662A7">
        <w:rPr>
          <w:rFonts w:cs="Calibri"/>
        </w:rPr>
        <w:t>(2013)</w:t>
      </w:r>
      <w:r w:rsidRPr="00D662A7">
        <w:rPr>
          <w:lang w:eastAsia="en-GB"/>
        </w:rPr>
        <w:t xml:space="preserve"> reported a case, described earlier, of a woman with multiple comorbidities. These included comorbid bipolar I and the authors concluded in favour of MPH as a potential mood-stabiliser</w:t>
      </w:r>
      <w:r w:rsidRPr="00D662A7">
        <w:rPr>
          <w:rStyle w:val="FootnoteReference"/>
        </w:rPr>
        <w:footnoteReference w:id="35"/>
      </w:r>
      <w:r w:rsidRPr="00D662A7">
        <w:rPr>
          <w:lang w:eastAsia="en-GB"/>
        </w:rPr>
        <w:t>.</w:t>
      </w:r>
    </w:p>
    <w:p w14:paraId="381E5459" w14:textId="77777777" w:rsidR="00D84079" w:rsidRPr="00D662A7" w:rsidRDefault="00D84079" w:rsidP="00ED71C3">
      <w:pPr>
        <w:pStyle w:val="Heading2"/>
      </w:pPr>
      <w:bookmarkStart w:id="35" w:name="_Ref4000194"/>
      <w:bookmarkStart w:id="36" w:name="_Ref4000368"/>
      <w:bookmarkStart w:id="37" w:name="_Ref4000472"/>
      <w:bookmarkStart w:id="38" w:name="_Ref4001047"/>
      <w:bookmarkStart w:id="39" w:name="_Ref4001393"/>
      <w:bookmarkStart w:id="40" w:name="_Toc4076822"/>
      <w:r w:rsidRPr="00D662A7">
        <w:t>Psychosis and psychotic like symptoms.</w:t>
      </w:r>
      <w:bookmarkEnd w:id="35"/>
      <w:bookmarkEnd w:id="36"/>
      <w:bookmarkEnd w:id="37"/>
      <w:bookmarkEnd w:id="38"/>
      <w:bookmarkEnd w:id="39"/>
      <w:bookmarkEnd w:id="40"/>
    </w:p>
    <w:p w14:paraId="7E96AE79" w14:textId="77777777" w:rsidR="00D84079" w:rsidRPr="00D662A7" w:rsidRDefault="00D84079" w:rsidP="00D84079">
      <w:pPr>
        <w:rPr>
          <w:lang w:eastAsia="en-GB"/>
        </w:rPr>
      </w:pPr>
      <w:r w:rsidRPr="00D662A7">
        <w:rPr>
          <w:lang w:eastAsia="en-GB"/>
        </w:rPr>
        <w:t xml:space="preserve">Fourteen studies reported on psychosis and/or psychotic-like symptoms as a potential adverse outcome: four comparative studies, one non-comparative study, and nine case reports. Studies that reported visual disturbances have been included under this heading, as all were of psychotic-like visual experiences, rather than neurological signs. The evidence regarding Psychosis and Psychotic-like symptoms is summarised in </w:t>
      </w:r>
      <w:r w:rsidRPr="00D662A7">
        <w:t xml:space="preserve">Table </w:t>
      </w:r>
      <w:r w:rsidRPr="00D662A7">
        <w:rPr>
          <w:noProof/>
        </w:rPr>
        <w:t>14</w:t>
      </w:r>
      <w:r w:rsidRPr="00D662A7">
        <w:rPr>
          <w:lang w:eastAsia="en-GB"/>
        </w:rPr>
        <w:t>.</w:t>
      </w:r>
    </w:p>
    <w:p w14:paraId="75B0577B" w14:textId="77777777" w:rsidR="00D84079" w:rsidRPr="00D662A7" w:rsidRDefault="00D84079" w:rsidP="00D84079"/>
    <w:p w14:paraId="09190FE2" w14:textId="77777777" w:rsidR="00D84079" w:rsidRPr="00D662A7" w:rsidRDefault="00D84079" w:rsidP="00ED71C3">
      <w:pPr>
        <w:pStyle w:val="Heading3"/>
      </w:pPr>
      <w:bookmarkStart w:id="41" w:name="_Comparative_group_studies_5"/>
      <w:bookmarkEnd w:id="41"/>
      <w:r w:rsidRPr="00D662A7">
        <w:t>Comparative group studies</w:t>
      </w:r>
    </w:p>
    <w:p w14:paraId="218310DE" w14:textId="77777777" w:rsidR="00D84079" w:rsidRPr="00D662A7" w:rsidRDefault="00D84079" w:rsidP="00D84079">
      <w:pPr>
        <w:rPr>
          <w:i/>
          <w:lang w:eastAsia="en-GB"/>
        </w:rPr>
      </w:pPr>
      <w:r w:rsidRPr="00D662A7">
        <w:rPr>
          <w:lang w:eastAsia="en-GB"/>
        </w:rPr>
        <w:t xml:space="preserve">We coded the results of two of the comparative studies as </w:t>
      </w:r>
      <w:r w:rsidRPr="00D662A7">
        <w:rPr>
          <w:i/>
          <w:lang w:eastAsia="en-GB"/>
        </w:rPr>
        <w:t>Favours MPH</w:t>
      </w:r>
      <w:r w:rsidRPr="00D662A7">
        <w:rPr>
          <w:lang w:eastAsia="en-GB"/>
        </w:rPr>
        <w:t xml:space="preserve">, one as </w:t>
      </w:r>
      <w:r w:rsidRPr="00D662A7">
        <w:rPr>
          <w:i/>
          <w:lang w:eastAsia="en-GB"/>
        </w:rPr>
        <w:t xml:space="preserve">Proceed with Caution, </w:t>
      </w:r>
      <w:r w:rsidRPr="00D662A7">
        <w:rPr>
          <w:lang w:eastAsia="en-GB"/>
        </w:rPr>
        <w:t>and one as</w:t>
      </w:r>
      <w:r w:rsidRPr="00D662A7">
        <w:rPr>
          <w:i/>
          <w:lang w:eastAsia="en-GB"/>
        </w:rPr>
        <w:t xml:space="preserve"> Unclear.</w:t>
      </w:r>
    </w:p>
    <w:p w14:paraId="3C2ADE3B" w14:textId="77777777" w:rsidR="00D84079" w:rsidRPr="00D662A7" w:rsidRDefault="00D84079" w:rsidP="00ED71C3">
      <w:pPr>
        <w:pStyle w:val="Heading4"/>
      </w:pPr>
      <w:r w:rsidRPr="00D662A7">
        <w:lastRenderedPageBreak/>
        <w:t>Favours MPH</w:t>
      </w:r>
    </w:p>
    <w:p w14:paraId="539C3F25" w14:textId="77777777" w:rsidR="00D84079" w:rsidRPr="00D662A7" w:rsidRDefault="00D84079" w:rsidP="00D84079">
      <w:pPr>
        <w:rPr>
          <w:lang w:eastAsia="en-GB"/>
        </w:rPr>
      </w:pPr>
      <w:proofErr w:type="spellStart"/>
      <w:r w:rsidRPr="00D662A7">
        <w:rPr>
          <w:lang w:eastAsia="en-GB"/>
        </w:rPr>
        <w:t>Paternite</w:t>
      </w:r>
      <w:proofErr w:type="spellEnd"/>
      <w:r w:rsidRPr="00D662A7">
        <w:rPr>
          <w:lang w:eastAsia="en-GB"/>
        </w:rPr>
        <w:t xml:space="preserve"> et </w:t>
      </w:r>
      <w:proofErr w:type="spellStart"/>
      <w:r w:rsidRPr="00D662A7">
        <w:rPr>
          <w:lang w:eastAsia="en-GB"/>
        </w:rPr>
        <w:t>al’s</w:t>
      </w:r>
      <w:proofErr w:type="spellEnd"/>
      <w:r w:rsidRPr="00D662A7">
        <w:rPr>
          <w:lang w:eastAsia="en-GB"/>
        </w:rPr>
        <w:t xml:space="preserve"> </w:t>
      </w:r>
      <w:r w:rsidRPr="00D662A7">
        <w:rPr>
          <w:rFonts w:cs="Calibri"/>
        </w:rPr>
        <w:t>(1999)</w:t>
      </w:r>
      <w:r w:rsidRPr="00D662A7">
        <w:rPr>
          <w:lang w:eastAsia="en-GB"/>
        </w:rPr>
        <w:t xml:space="preserve"> study of adult men, described earlier,</w:t>
      </w:r>
      <w:r w:rsidRPr="00D662A7">
        <w:rPr>
          <w:rStyle w:val="FootnoteReference"/>
        </w:rPr>
        <w:footnoteReference w:id="36"/>
      </w:r>
      <w:r w:rsidRPr="00D662A7">
        <w:rPr>
          <w:lang w:eastAsia="en-GB"/>
        </w:rPr>
        <w:t xml:space="preserve"> found that longer medication duration was associated with fewer schizotypic features (measured using the SADS-L) in adulthood. We coded this result as </w:t>
      </w:r>
      <w:r w:rsidRPr="00D662A7">
        <w:rPr>
          <w:i/>
          <w:lang w:eastAsia="en-GB"/>
        </w:rPr>
        <w:t>Favours MPH</w:t>
      </w:r>
      <w:r w:rsidRPr="00D662A7">
        <w:rPr>
          <w:lang w:eastAsia="en-GB"/>
        </w:rPr>
        <w:t>.</w:t>
      </w:r>
    </w:p>
    <w:p w14:paraId="2C2F53BF" w14:textId="77777777" w:rsidR="00D84079" w:rsidRPr="00D662A7" w:rsidRDefault="00D84079" w:rsidP="00D84079">
      <w:pPr>
        <w:rPr>
          <w:lang w:eastAsia="en-GB"/>
        </w:rPr>
      </w:pPr>
      <w:r w:rsidRPr="00D662A7">
        <w:rPr>
          <w:lang w:eastAsia="en-GB"/>
        </w:rPr>
        <w:t xml:space="preserve">In </w:t>
      </w:r>
      <w:proofErr w:type="spellStart"/>
      <w:r w:rsidRPr="00D662A7">
        <w:rPr>
          <w:lang w:eastAsia="en-GB"/>
        </w:rPr>
        <w:t>Cortese</w:t>
      </w:r>
      <w:proofErr w:type="spellEnd"/>
      <w:r w:rsidRPr="00D662A7">
        <w:rPr>
          <w:lang w:eastAsia="en-GB"/>
        </w:rPr>
        <w:t xml:space="preserve"> et </w:t>
      </w:r>
      <w:proofErr w:type="spellStart"/>
      <w:r w:rsidRPr="00D662A7">
        <w:rPr>
          <w:lang w:eastAsia="en-GB"/>
        </w:rPr>
        <w:t>al’s</w:t>
      </w:r>
      <w:proofErr w:type="spellEnd"/>
      <w:r w:rsidRPr="00D662A7">
        <w:rPr>
          <w:lang w:eastAsia="en-GB"/>
        </w:rPr>
        <w:t xml:space="preserve"> </w:t>
      </w:r>
      <w:r w:rsidRPr="00D662A7">
        <w:rPr>
          <w:rFonts w:cs="Calibri"/>
        </w:rPr>
        <w:t>(2015)</w:t>
      </w:r>
      <w:r w:rsidRPr="00D662A7">
        <w:rPr>
          <w:lang w:eastAsia="en-GB"/>
        </w:rPr>
        <w:t xml:space="preserve"> large cohort study, which found fewer AEs overall for MPH than for atomoxetine, only psychotic AE (hallucinations) was reported, and that was in the atomoxetine group</w:t>
      </w:r>
      <w:r w:rsidRPr="00D662A7">
        <w:rPr>
          <w:rStyle w:val="FootnoteReference"/>
        </w:rPr>
        <w:footnoteReference w:id="37"/>
      </w:r>
      <w:r w:rsidRPr="00D662A7">
        <w:rPr>
          <w:lang w:eastAsia="en-GB"/>
        </w:rPr>
        <w:t xml:space="preserve">. </w:t>
      </w:r>
    </w:p>
    <w:p w14:paraId="2EAC900B" w14:textId="77777777" w:rsidR="00D84079" w:rsidRPr="00D662A7" w:rsidRDefault="00D84079" w:rsidP="00ED71C3">
      <w:pPr>
        <w:pStyle w:val="Heading4"/>
      </w:pPr>
      <w:r w:rsidRPr="00D662A7">
        <w:t>Proceed with Caution</w:t>
      </w:r>
    </w:p>
    <w:p w14:paraId="2D1EBEAE" w14:textId="77777777" w:rsidR="00D84079" w:rsidRPr="00D662A7" w:rsidRDefault="00D84079" w:rsidP="00D84079">
      <w:pPr>
        <w:rPr>
          <w:lang w:eastAsia="en-GB"/>
        </w:rPr>
      </w:pPr>
      <w:proofErr w:type="spellStart"/>
      <w:r w:rsidRPr="00D662A7">
        <w:rPr>
          <w:lang w:eastAsia="en-GB"/>
        </w:rPr>
        <w:t>Shyu</w:t>
      </w:r>
      <w:proofErr w:type="spellEnd"/>
      <w:r w:rsidRPr="00D662A7">
        <w:rPr>
          <w:lang w:eastAsia="en-GB"/>
        </w:rPr>
        <w:t xml:space="preserve"> et al. </w:t>
      </w:r>
      <w:r w:rsidRPr="00D662A7">
        <w:rPr>
          <w:rFonts w:cs="Calibri"/>
        </w:rPr>
        <w:t>(2015)</w:t>
      </w:r>
      <w:r w:rsidRPr="00D662A7">
        <w:rPr>
          <w:lang w:eastAsia="en-GB"/>
        </w:rPr>
        <w:t xml:space="preserve"> conducted a large cohort investigation of the risk of MPH for schizophrenia spectrum and other psychotic disorders using ICD-9-CM codes from the nationwide Taiwanese health insurance database. They found that ADHD and MPH treatment independently predicted elevated risk of psychotic disorders.</w:t>
      </w:r>
    </w:p>
    <w:p w14:paraId="0F85D408" w14:textId="77777777" w:rsidR="00D84079" w:rsidRPr="00D662A7" w:rsidRDefault="00D84079" w:rsidP="00ED71C3">
      <w:pPr>
        <w:pStyle w:val="Heading4"/>
      </w:pPr>
      <w:r w:rsidRPr="00D662A7">
        <w:t>Unclear</w:t>
      </w:r>
    </w:p>
    <w:p w14:paraId="1C2400F0" w14:textId="77777777" w:rsidR="00D84079" w:rsidRPr="00D662A7" w:rsidRDefault="00D84079" w:rsidP="00D84079">
      <w:pPr>
        <w:rPr>
          <w:lang w:eastAsia="en-GB"/>
        </w:rPr>
      </w:pPr>
      <w:proofErr w:type="spellStart"/>
      <w:r w:rsidRPr="00D662A7">
        <w:rPr>
          <w:lang w:eastAsia="en-GB"/>
        </w:rPr>
        <w:t>Hechtman</w:t>
      </w:r>
      <w:proofErr w:type="spellEnd"/>
      <w:r w:rsidRPr="00D662A7">
        <w:rPr>
          <w:lang w:eastAsia="en-GB"/>
        </w:rPr>
        <w:t xml:space="preserve"> et al.’s </w:t>
      </w:r>
      <w:r w:rsidRPr="00D662A7">
        <w:rPr>
          <w:rFonts w:cs="Calibri"/>
        </w:rPr>
        <w:t>(1984)</w:t>
      </w:r>
      <w:r w:rsidRPr="00D662A7">
        <w:rPr>
          <w:lang w:eastAsia="en-GB"/>
        </w:rPr>
        <w:t xml:space="preserve"> study using the SADS </w:t>
      </w:r>
      <w:r w:rsidRPr="00D662A7">
        <w:rPr>
          <w:rFonts w:cs="Calibri"/>
        </w:rPr>
        <w:t>(Endicott and Spitzer, 1978)</w:t>
      </w:r>
      <w:r w:rsidRPr="00D662A7">
        <w:rPr>
          <w:lang w:eastAsia="en-GB"/>
        </w:rPr>
        <w:t xml:space="preserve">, found no statistically significant difference between treated and untreated groups in measures of psychosis, but fewer psychiatric hospitalisations in the treated group. </w:t>
      </w:r>
    </w:p>
    <w:p w14:paraId="2C44BC59" w14:textId="77777777" w:rsidR="00D84079" w:rsidRPr="00D662A7" w:rsidRDefault="00D84079" w:rsidP="00ED71C3">
      <w:pPr>
        <w:pStyle w:val="Heading3"/>
      </w:pPr>
      <w:bookmarkStart w:id="42" w:name="_Non-comparative_group_studies"/>
      <w:bookmarkEnd w:id="42"/>
      <w:r w:rsidRPr="00D662A7">
        <w:lastRenderedPageBreak/>
        <w:t>Non-comparative group studies</w:t>
      </w:r>
    </w:p>
    <w:p w14:paraId="63FA6EE8" w14:textId="77777777" w:rsidR="00D84079" w:rsidRPr="00D662A7" w:rsidRDefault="00D84079" w:rsidP="00ED71C3">
      <w:pPr>
        <w:pStyle w:val="Heading4"/>
      </w:pPr>
      <w:r w:rsidRPr="00D662A7">
        <w:t>Proceed with Caution</w:t>
      </w:r>
    </w:p>
    <w:p w14:paraId="197DAC8D" w14:textId="77777777" w:rsidR="00D84079" w:rsidRPr="00D662A7" w:rsidRDefault="00D84079" w:rsidP="00D84079">
      <w:pPr>
        <w:rPr>
          <w:lang w:eastAsia="en-GB"/>
        </w:rPr>
      </w:pPr>
      <w:proofErr w:type="spellStart"/>
      <w:r w:rsidRPr="00D662A7">
        <w:rPr>
          <w:rFonts w:cs="Calibri"/>
        </w:rPr>
        <w:t>Cherland</w:t>
      </w:r>
      <w:proofErr w:type="spellEnd"/>
      <w:r w:rsidRPr="00D662A7">
        <w:rPr>
          <w:rFonts w:cs="Calibri"/>
        </w:rPr>
        <w:t xml:space="preserve"> &amp; Fitzpatrick</w:t>
      </w:r>
      <w:r w:rsidRPr="00D662A7">
        <w:rPr>
          <w:lang w:eastAsia="en-GB"/>
        </w:rPr>
        <w:t xml:space="preserve">’s investigation into psychotic AEs in 98 children </w:t>
      </w:r>
      <w:r w:rsidRPr="00D662A7">
        <w:rPr>
          <w:rFonts w:cs="Calibri"/>
        </w:rPr>
        <w:t>(1999)</w:t>
      </w:r>
      <w:r w:rsidRPr="00D662A7">
        <w:rPr>
          <w:lang w:eastAsia="en-GB"/>
        </w:rPr>
        <w:t>, described earlier,</w:t>
      </w:r>
      <w:r w:rsidRPr="00D662A7">
        <w:rPr>
          <w:rStyle w:val="FootnoteReference"/>
          <w:lang w:eastAsia="en-GB"/>
        </w:rPr>
        <w:t xml:space="preserve"> </w:t>
      </w:r>
      <w:r w:rsidRPr="00D662A7">
        <w:rPr>
          <w:rStyle w:val="FootnoteReference"/>
        </w:rPr>
        <w:footnoteReference w:id="38"/>
      </w:r>
      <w:r w:rsidRPr="00D662A7">
        <w:rPr>
          <w:lang w:eastAsia="en-GB"/>
        </w:rPr>
        <w:t xml:space="preserve"> concluded that the number of psychotic AEs, warranted further research. They report two cases of psychotic-like symptoms after more than 12 months of MPH treatment: one of visual hallucinations (after seven years of MPH) and one of paranoia (after 15 months of MPH). </w:t>
      </w:r>
    </w:p>
    <w:p w14:paraId="055150C7" w14:textId="77777777" w:rsidR="00D84079" w:rsidRPr="00D662A7" w:rsidRDefault="00D84079" w:rsidP="00ED71C3">
      <w:pPr>
        <w:pStyle w:val="Heading3"/>
      </w:pPr>
      <w:bookmarkStart w:id="43" w:name="_Case_reports_5"/>
      <w:bookmarkEnd w:id="43"/>
      <w:r w:rsidRPr="00D662A7">
        <w:t>Case reports</w:t>
      </w:r>
    </w:p>
    <w:p w14:paraId="1B949493" w14:textId="77777777" w:rsidR="00D84079" w:rsidRPr="00D662A7" w:rsidRDefault="00D84079" w:rsidP="00D84079">
      <w:pPr>
        <w:rPr>
          <w:lang w:eastAsia="en-GB"/>
        </w:rPr>
      </w:pPr>
      <w:r w:rsidRPr="00D662A7">
        <w:rPr>
          <w:lang w:eastAsia="en-GB"/>
        </w:rPr>
        <w:t xml:space="preserve">For four of the nine case reports, we coded the authors’ conclusion as </w:t>
      </w:r>
      <w:r w:rsidRPr="00D662A7">
        <w:rPr>
          <w:i/>
          <w:lang w:eastAsia="en-GB"/>
        </w:rPr>
        <w:t>Proceed with Caution</w:t>
      </w:r>
      <w:r w:rsidRPr="00D662A7">
        <w:rPr>
          <w:lang w:eastAsia="en-GB"/>
        </w:rPr>
        <w:t xml:space="preserve">, and for four, we coded the author’s conclusion as </w:t>
      </w:r>
      <w:r w:rsidRPr="00D662A7">
        <w:rPr>
          <w:i/>
          <w:lang w:eastAsia="en-GB"/>
        </w:rPr>
        <w:t>Not Safe</w:t>
      </w:r>
      <w:r w:rsidRPr="00D662A7">
        <w:rPr>
          <w:lang w:eastAsia="en-GB"/>
        </w:rPr>
        <w:t xml:space="preserve">, at least for that case. For one, we coded the conclusion as </w:t>
      </w:r>
      <w:r w:rsidRPr="00D662A7">
        <w:rPr>
          <w:i/>
          <w:lang w:eastAsia="en-GB"/>
        </w:rPr>
        <w:t>Unclear</w:t>
      </w:r>
      <w:r w:rsidRPr="00D662A7">
        <w:rPr>
          <w:lang w:eastAsia="en-GB"/>
        </w:rPr>
        <w:t>.</w:t>
      </w:r>
    </w:p>
    <w:p w14:paraId="2E147A4F" w14:textId="77777777" w:rsidR="00D84079" w:rsidRPr="00D662A7" w:rsidRDefault="00D84079" w:rsidP="00ED71C3">
      <w:pPr>
        <w:pStyle w:val="Heading4"/>
      </w:pPr>
      <w:r w:rsidRPr="00D662A7">
        <w:t>Proceed with Caution</w:t>
      </w:r>
    </w:p>
    <w:p w14:paraId="62A4F74C" w14:textId="77777777" w:rsidR="00D84079" w:rsidRPr="00D662A7" w:rsidRDefault="00D84079" w:rsidP="00D84079">
      <w:pPr>
        <w:rPr>
          <w:lang w:eastAsia="en-GB"/>
        </w:rPr>
      </w:pPr>
      <w:r w:rsidRPr="00D662A7">
        <w:rPr>
          <w:lang w:eastAsia="en-GB"/>
        </w:rPr>
        <w:t xml:space="preserve">In the four cases we coded as </w:t>
      </w:r>
      <w:r w:rsidRPr="00D662A7">
        <w:rPr>
          <w:i/>
          <w:lang w:eastAsia="en-GB"/>
        </w:rPr>
        <w:t>Proceed with Caution</w:t>
      </w:r>
      <w:r w:rsidRPr="00D662A7">
        <w:rPr>
          <w:lang w:eastAsia="en-GB"/>
        </w:rPr>
        <w:t xml:space="preserve">, the psychotic-like symptoms were transient and in three cases followed a change in MPH exposure. </w:t>
      </w:r>
    </w:p>
    <w:p w14:paraId="6DB00D33" w14:textId="77777777" w:rsidR="00D84079" w:rsidRPr="00D662A7" w:rsidRDefault="00D84079" w:rsidP="00D84079">
      <w:r w:rsidRPr="00D662A7">
        <w:rPr>
          <w:lang w:eastAsia="en-GB"/>
        </w:rPr>
        <w:t>In two cases, the symptoms</w:t>
      </w:r>
      <w:r w:rsidRPr="00D662A7">
        <w:t xml:space="preserve"> occurred after an overdose </w:t>
      </w:r>
      <w:r w:rsidRPr="00D662A7">
        <w:rPr>
          <w:rFonts w:cs="Calibri"/>
        </w:rPr>
        <w:t>(Lucas and Weiss, 1971; Weiner et al., 1978)</w:t>
      </w:r>
      <w:r w:rsidRPr="00D662A7">
        <w:t>; in the case reported by Lucas &amp; Weiss, symptoms had resolved before cessation of MPH, whereas in the case of somatic hallucinations reported by Wiener et al, symptoms persisted for 48 hours despite temporary cessation of MPH.</w:t>
      </w:r>
      <w:r w:rsidRPr="00D662A7">
        <w:rPr>
          <w:rStyle w:val="FootnoteReference"/>
        </w:rPr>
        <w:footnoteReference w:id="39"/>
      </w:r>
    </w:p>
    <w:p w14:paraId="15F761A1" w14:textId="77777777" w:rsidR="00D84079" w:rsidRPr="00D662A7" w:rsidRDefault="00D84079" w:rsidP="00D84079">
      <w:pPr>
        <w:rPr>
          <w:lang w:eastAsia="en-GB"/>
        </w:rPr>
      </w:pPr>
      <w:r w:rsidRPr="00D662A7">
        <w:t xml:space="preserve">In the case of “Matthew” reported by </w:t>
      </w:r>
      <w:proofErr w:type="spellStart"/>
      <w:r w:rsidRPr="00D662A7">
        <w:t>Chammas</w:t>
      </w:r>
      <w:proofErr w:type="spellEnd"/>
      <w:r w:rsidRPr="00D662A7">
        <w:t xml:space="preserve"> et al. </w:t>
      </w:r>
      <w:r w:rsidRPr="00D662A7">
        <w:rPr>
          <w:rFonts w:cs="Calibri"/>
        </w:rPr>
        <w:t>(2014)</w:t>
      </w:r>
      <w:r w:rsidRPr="00D662A7">
        <w:rPr>
          <w:lang w:eastAsia="en-GB"/>
        </w:rPr>
        <w:t xml:space="preserve">, psychotic-like symptoms occurred during MPH suspension as well as during treatment, and resolved after a further </w:t>
      </w:r>
      <w:r w:rsidRPr="00D662A7">
        <w:rPr>
          <w:lang w:eastAsia="en-GB"/>
        </w:rPr>
        <w:lastRenderedPageBreak/>
        <w:t xml:space="preserve">suspension of medication. Thereafter MPH treatment was resumed and the psychotic-like symptoms did not recur. </w:t>
      </w:r>
    </w:p>
    <w:p w14:paraId="4E6919F4" w14:textId="77777777" w:rsidR="00D84079" w:rsidRPr="00D662A7" w:rsidRDefault="00D84079" w:rsidP="00D84079">
      <w:r w:rsidRPr="00D662A7">
        <w:rPr>
          <w:lang w:eastAsia="en-GB"/>
        </w:rPr>
        <w:t xml:space="preserve">In the case reported by </w:t>
      </w:r>
      <w:proofErr w:type="spellStart"/>
      <w:r w:rsidRPr="00D662A7">
        <w:rPr>
          <w:lang w:eastAsia="en-GB"/>
        </w:rPr>
        <w:t>Ekinci</w:t>
      </w:r>
      <w:proofErr w:type="spellEnd"/>
      <w:r w:rsidRPr="00D662A7">
        <w:rPr>
          <w:lang w:eastAsia="en-GB"/>
        </w:rPr>
        <w:t xml:space="preserve"> et al </w:t>
      </w:r>
      <w:r w:rsidRPr="00D662A7">
        <w:rPr>
          <w:rFonts w:cs="Calibri"/>
        </w:rPr>
        <w:t>(2017)</w:t>
      </w:r>
      <w:r w:rsidRPr="00D662A7">
        <w:rPr>
          <w:lang w:eastAsia="en-GB"/>
        </w:rPr>
        <w:t xml:space="preserve">, a 12 year old boy had been treated with OROS-MPH plus risperidone, and psychotic symptoms appeared when the OROS-MPH was switched to modified-release MPH. Symptoms resolved after OROS-MPH was reinstated at a lowered dose than earlier. </w:t>
      </w:r>
    </w:p>
    <w:p w14:paraId="311595E2" w14:textId="77777777" w:rsidR="00D84079" w:rsidRPr="00D662A7" w:rsidRDefault="00D84079" w:rsidP="00ED71C3">
      <w:pPr>
        <w:pStyle w:val="Heading4"/>
      </w:pPr>
      <w:r w:rsidRPr="00D662A7">
        <w:t>Not Safe</w:t>
      </w:r>
    </w:p>
    <w:p w14:paraId="2423DCB0" w14:textId="77777777" w:rsidR="00D84079" w:rsidRPr="00D662A7" w:rsidRDefault="00D84079" w:rsidP="00D84079">
      <w:r w:rsidRPr="00D662A7">
        <w:t xml:space="preserve">Two case reports indicated a close association with MPH exposure. In Young’s </w:t>
      </w:r>
      <w:r w:rsidRPr="00D662A7">
        <w:rPr>
          <w:rFonts w:cs="Calibri"/>
        </w:rPr>
        <w:t>(1981)</w:t>
      </w:r>
      <w:r w:rsidRPr="00D662A7">
        <w:t xml:space="preserve"> “Case 1”, a boy with ADHD, psychotic-like hallucinations did not occur during periods when MPH treatment was suspended and resolved when MPH treatment was discontinued. In Gross-</w:t>
      </w:r>
      <w:proofErr w:type="spellStart"/>
      <w:r w:rsidRPr="00D662A7">
        <w:t>Tsur</w:t>
      </w:r>
      <w:proofErr w:type="spellEnd"/>
      <w:r w:rsidRPr="00D662A7">
        <w:t xml:space="preserve"> et al.’s </w:t>
      </w:r>
      <w:r w:rsidRPr="00D662A7">
        <w:rPr>
          <w:rFonts w:cs="Calibri"/>
        </w:rPr>
        <w:t>(2004)</w:t>
      </w:r>
      <w:r w:rsidRPr="00D662A7">
        <w:t xml:space="preserve"> “Case 1”, a boy with “hyperactive behaviour”, hallucinations emerged after 1 year of treatment with MPH, occurring shortly after drug ingestion. They resolved on substitution of a placebo, and did not recur when MPH was replaced with pemoline. </w:t>
      </w:r>
    </w:p>
    <w:p w14:paraId="0ED620C2" w14:textId="77777777" w:rsidR="00D84079" w:rsidRPr="00D662A7" w:rsidRDefault="00D84079" w:rsidP="00D84079">
      <w:r w:rsidRPr="00D662A7">
        <w:t xml:space="preserve">In the case reported by Rashid &amp; </w:t>
      </w:r>
      <w:proofErr w:type="spellStart"/>
      <w:r w:rsidRPr="00D662A7">
        <w:t>Mittelman</w:t>
      </w:r>
      <w:proofErr w:type="spellEnd"/>
      <w:r w:rsidRPr="00D662A7">
        <w:t xml:space="preserve"> </w:t>
      </w:r>
      <w:r w:rsidRPr="00D662A7">
        <w:rPr>
          <w:rFonts w:cs="Calibri"/>
        </w:rPr>
        <w:t>(2007)</w:t>
      </w:r>
      <w:r w:rsidRPr="00D662A7">
        <w:t xml:space="preserve">, the symptoms occurred two days after a switch from MPH-OROS to MPH-IR in a boy with in-utero exposure to cocaine and cannabis, and resolved rapidly on cessation of MPH. </w:t>
      </w:r>
    </w:p>
    <w:p w14:paraId="47B37DA1" w14:textId="77777777" w:rsidR="00D84079" w:rsidRPr="00D662A7" w:rsidRDefault="00D84079" w:rsidP="00D84079">
      <w:pPr>
        <w:rPr>
          <w:lang w:eastAsia="en-GB"/>
        </w:rPr>
      </w:pPr>
      <w:r w:rsidRPr="00D662A7">
        <w:rPr>
          <w:lang w:eastAsia="en-GB"/>
        </w:rPr>
        <w:t xml:space="preserve">Lee </w:t>
      </w:r>
      <w:r w:rsidRPr="00D662A7">
        <w:rPr>
          <w:rFonts w:cs="Calibri"/>
        </w:rPr>
        <w:t>(2016)</w:t>
      </w:r>
      <w:r w:rsidRPr="00D662A7">
        <w:rPr>
          <w:lang w:eastAsia="en-GB"/>
        </w:rPr>
        <w:t xml:space="preserve"> reports a case of a woman in whom psychosis emerged after</w:t>
      </w:r>
      <w:r w:rsidRPr="00D662A7">
        <w:t xml:space="preserve"> long-term MPH treatment; MPH was discontinued and antipsychotic treatment started.</w:t>
      </w:r>
      <w:r w:rsidRPr="00D662A7">
        <w:rPr>
          <w:rStyle w:val="FootnoteReference"/>
        </w:rPr>
        <w:footnoteReference w:id="40"/>
      </w:r>
    </w:p>
    <w:p w14:paraId="4BE76A72" w14:textId="77777777" w:rsidR="00D84079" w:rsidRPr="00D662A7" w:rsidRDefault="00D84079" w:rsidP="00ED71C3">
      <w:pPr>
        <w:pStyle w:val="Heading4"/>
      </w:pPr>
      <w:r w:rsidRPr="00D662A7">
        <w:lastRenderedPageBreak/>
        <w:t>Unclear</w:t>
      </w:r>
    </w:p>
    <w:p w14:paraId="07EB72E8" w14:textId="77777777" w:rsidR="00D84079" w:rsidRPr="00D662A7" w:rsidRDefault="00D84079" w:rsidP="00D84079">
      <w:pPr>
        <w:rPr>
          <w:lang w:eastAsia="en-GB"/>
        </w:rPr>
      </w:pPr>
      <w:r w:rsidRPr="00D662A7">
        <w:rPr>
          <w:lang w:eastAsia="en-GB"/>
        </w:rPr>
        <w:t xml:space="preserve">In the case of the boy with ADHD reported by Rosenfeld </w:t>
      </w:r>
      <w:r w:rsidRPr="00D662A7">
        <w:rPr>
          <w:rFonts w:cs="Calibri"/>
        </w:rPr>
        <w:t>(1979)</w:t>
      </w:r>
      <w:r w:rsidRPr="00D662A7">
        <w:rPr>
          <w:lang w:eastAsia="en-GB"/>
        </w:rPr>
        <w:t>, and described earlier, psychotic symptoms occurred on withdrawal from long-term MPH medication.</w:t>
      </w:r>
      <w:r w:rsidRPr="00D662A7">
        <w:rPr>
          <w:rStyle w:val="FootnoteReference"/>
        </w:rPr>
        <w:footnoteReference w:id="41"/>
      </w:r>
    </w:p>
    <w:p w14:paraId="6EA3D970" w14:textId="77777777" w:rsidR="00D84079" w:rsidRPr="00D662A7" w:rsidRDefault="00D84079" w:rsidP="00ED71C3">
      <w:pPr>
        <w:pStyle w:val="Heading2"/>
      </w:pPr>
      <w:bookmarkStart w:id="44" w:name="_Ref4000531"/>
      <w:bookmarkStart w:id="45" w:name="_Ref4001061"/>
      <w:bookmarkStart w:id="46" w:name="_Ref4001304"/>
      <w:bookmarkStart w:id="47" w:name="_Ref4001406"/>
      <w:bookmarkStart w:id="48" w:name="_Ref4001595"/>
      <w:bookmarkStart w:id="49" w:name="_Ref4001666"/>
      <w:bookmarkStart w:id="50" w:name="_Ref4001686"/>
      <w:bookmarkStart w:id="51" w:name="_Ref4001696"/>
      <w:bookmarkStart w:id="52" w:name="_Ref4001849"/>
      <w:bookmarkStart w:id="53" w:name="_Ref4001860"/>
      <w:bookmarkStart w:id="54" w:name="_Ref4001978"/>
      <w:bookmarkStart w:id="55" w:name="_Ref4001979"/>
      <w:bookmarkStart w:id="56" w:name="_Ref4002077"/>
      <w:bookmarkStart w:id="57" w:name="_Ref4002700"/>
      <w:bookmarkStart w:id="58" w:name="_Ref4003282"/>
      <w:bookmarkStart w:id="59" w:name="_Toc4076823"/>
      <w:r w:rsidRPr="00D662A7">
        <w:t>Substance Use Disorder</w:t>
      </w:r>
      <w:bookmarkEnd w:id="44"/>
      <w:bookmarkEnd w:id="45"/>
      <w:bookmarkEnd w:id="46"/>
      <w:bookmarkEnd w:id="47"/>
      <w:r w:rsidRPr="00D662A7">
        <w:t>s</w:t>
      </w:r>
      <w:bookmarkEnd w:id="48"/>
      <w:bookmarkEnd w:id="49"/>
      <w:bookmarkEnd w:id="50"/>
      <w:bookmarkEnd w:id="51"/>
      <w:bookmarkEnd w:id="52"/>
      <w:bookmarkEnd w:id="53"/>
      <w:bookmarkEnd w:id="54"/>
      <w:bookmarkEnd w:id="55"/>
      <w:bookmarkEnd w:id="56"/>
      <w:bookmarkEnd w:id="57"/>
      <w:bookmarkEnd w:id="58"/>
      <w:bookmarkEnd w:id="59"/>
    </w:p>
    <w:p w14:paraId="1ED98F82" w14:textId="77777777" w:rsidR="00D84079" w:rsidRPr="00D662A7" w:rsidRDefault="00D84079" w:rsidP="00D84079">
      <w:r w:rsidRPr="00D662A7">
        <w:rPr>
          <w:lang w:eastAsia="en-GB"/>
        </w:rPr>
        <w:t xml:space="preserve">Sixteen studies reported on SUD as a potential adverse outcome: seven comparative studies, one non-comparative study, and eight case reports including 2 cases from one case series. The evidence regarding SUD is summarised in </w:t>
      </w:r>
      <w:r w:rsidRPr="00D662A7">
        <w:t xml:space="preserve">Table </w:t>
      </w:r>
      <w:r w:rsidRPr="00D662A7">
        <w:rPr>
          <w:noProof/>
        </w:rPr>
        <w:t>15</w:t>
      </w:r>
      <w:r w:rsidRPr="00D662A7">
        <w:rPr>
          <w:lang w:eastAsia="en-GB"/>
        </w:rPr>
        <w:t>.</w:t>
      </w:r>
    </w:p>
    <w:p w14:paraId="1B631E68" w14:textId="77777777" w:rsidR="00D84079" w:rsidRPr="00D662A7" w:rsidRDefault="00D84079" w:rsidP="00ED71C3">
      <w:pPr>
        <w:pStyle w:val="Heading3"/>
      </w:pPr>
      <w:bookmarkStart w:id="60" w:name="_Comparative_group_studies_6"/>
      <w:bookmarkEnd w:id="60"/>
      <w:r w:rsidRPr="00D662A7">
        <w:t>Comparative group studies</w:t>
      </w:r>
    </w:p>
    <w:p w14:paraId="44924DC1" w14:textId="77777777" w:rsidR="00D84079" w:rsidRPr="00D662A7" w:rsidRDefault="00D84079" w:rsidP="00D84079">
      <w:pPr>
        <w:rPr>
          <w:lang w:eastAsia="en-GB"/>
        </w:rPr>
      </w:pPr>
      <w:r w:rsidRPr="00D662A7">
        <w:rPr>
          <w:lang w:eastAsia="en-GB"/>
        </w:rPr>
        <w:t xml:space="preserve">We coded the results of five of the comparative studies as </w:t>
      </w:r>
      <w:r w:rsidRPr="00D662A7">
        <w:rPr>
          <w:i/>
          <w:lang w:eastAsia="en-GB"/>
        </w:rPr>
        <w:t>Favours MPH</w:t>
      </w:r>
      <w:r w:rsidRPr="00D662A7">
        <w:rPr>
          <w:lang w:eastAsia="en-GB"/>
        </w:rPr>
        <w:t xml:space="preserve">, and two as </w:t>
      </w:r>
      <w:r w:rsidRPr="00D662A7">
        <w:rPr>
          <w:i/>
          <w:lang w:eastAsia="en-GB"/>
        </w:rPr>
        <w:t>Unclear</w:t>
      </w:r>
      <w:r w:rsidRPr="00D662A7">
        <w:rPr>
          <w:lang w:eastAsia="en-GB"/>
        </w:rPr>
        <w:t xml:space="preserve">. </w:t>
      </w:r>
    </w:p>
    <w:p w14:paraId="3BBDB403" w14:textId="77777777" w:rsidR="00D84079" w:rsidRPr="00D662A7" w:rsidRDefault="00D84079" w:rsidP="00ED71C3">
      <w:pPr>
        <w:pStyle w:val="Heading4"/>
      </w:pPr>
      <w:r w:rsidRPr="00D662A7">
        <w:t>Favours MPH</w:t>
      </w:r>
    </w:p>
    <w:p w14:paraId="77AFBB31" w14:textId="77777777" w:rsidR="00D84079" w:rsidRPr="00D662A7" w:rsidRDefault="00D84079" w:rsidP="00D84079">
      <w:r w:rsidRPr="00D662A7">
        <w:t xml:space="preserve">In the study by </w:t>
      </w:r>
      <w:proofErr w:type="spellStart"/>
      <w:r w:rsidRPr="00D662A7">
        <w:t>Paternite</w:t>
      </w:r>
      <w:proofErr w:type="spellEnd"/>
      <w:r w:rsidRPr="00D662A7">
        <w:t xml:space="preserve"> et al. </w:t>
      </w:r>
      <w:r w:rsidRPr="00D662A7">
        <w:rPr>
          <w:rFonts w:cs="Calibri"/>
        </w:rPr>
        <w:t>(1999)</w:t>
      </w:r>
      <w:r w:rsidRPr="00D662A7">
        <w:t xml:space="preserve"> described earlier, the authors used the SADS-L </w:t>
      </w:r>
      <w:r w:rsidRPr="00D662A7">
        <w:rPr>
          <w:rFonts w:cs="Calibri"/>
        </w:rPr>
        <w:t>(Endicott and Spitzer, 1978)</w:t>
      </w:r>
      <w:r w:rsidRPr="00D662A7">
        <w:t xml:space="preserve"> as their measure of alcohol abuse, and found that higher MPH dosage was associated with fewer diagnoses of alcoholism</w:t>
      </w:r>
      <w:r w:rsidRPr="00D662A7">
        <w:rPr>
          <w:rStyle w:val="FootnoteReference"/>
        </w:rPr>
        <w:footnoteReference w:id="42"/>
      </w:r>
      <w:r w:rsidRPr="00D662A7">
        <w:t>.</w:t>
      </w:r>
    </w:p>
    <w:p w14:paraId="2BAD3A6B" w14:textId="77777777" w:rsidR="00D84079" w:rsidRPr="00D662A7" w:rsidRDefault="00D84079" w:rsidP="00D84079">
      <w:proofErr w:type="spellStart"/>
      <w:r w:rsidRPr="00D662A7">
        <w:t>Mannuzza</w:t>
      </w:r>
      <w:proofErr w:type="spellEnd"/>
      <w:r w:rsidRPr="00D662A7">
        <w:t xml:space="preserve"> and Klein </w:t>
      </w:r>
      <w:r w:rsidRPr="00D662A7">
        <w:rPr>
          <w:rFonts w:cs="Calibri"/>
        </w:rPr>
        <w:t>(2008)</w:t>
      </w:r>
      <w:r w:rsidRPr="00D662A7">
        <w:t xml:space="preserve"> followed up, in late adolescence, 176 boys who had been started on MPH treatment for ADHD between the ages of 6 and 12 years. They used their Schedule for the Assessment of Conduct, Hyperactivity, Anxiety, Mood, and Psychoactive Substances CHAMPS </w:t>
      </w:r>
      <w:r w:rsidRPr="00D662A7">
        <w:rPr>
          <w:rFonts w:cs="Calibri"/>
        </w:rPr>
        <w:t>(</w:t>
      </w:r>
      <w:proofErr w:type="spellStart"/>
      <w:r w:rsidRPr="00D662A7">
        <w:rPr>
          <w:rFonts w:cs="Calibri"/>
        </w:rPr>
        <w:t>Mannuzza</w:t>
      </w:r>
      <w:proofErr w:type="spellEnd"/>
      <w:r w:rsidRPr="00D662A7">
        <w:rPr>
          <w:rFonts w:cs="Calibri"/>
        </w:rPr>
        <w:t xml:space="preserve"> and Klein, 1987)</w:t>
      </w:r>
      <w:r w:rsidRPr="00D662A7">
        <w:t xml:space="preserve"> to assess substance abuse, and found that the later the MPH treatment started, the greater were the chances of developing a SUD. </w:t>
      </w:r>
    </w:p>
    <w:p w14:paraId="2FA6D8D7" w14:textId="77777777" w:rsidR="00D84079" w:rsidRPr="00D662A7" w:rsidRDefault="00D84079" w:rsidP="00D84079">
      <w:proofErr w:type="spellStart"/>
      <w:r w:rsidRPr="00D662A7">
        <w:rPr>
          <w:lang w:eastAsia="en-GB"/>
        </w:rPr>
        <w:lastRenderedPageBreak/>
        <w:t>Steinhausen</w:t>
      </w:r>
      <w:proofErr w:type="spellEnd"/>
      <w:r w:rsidRPr="00D662A7">
        <w:rPr>
          <w:lang w:eastAsia="en-GB"/>
        </w:rPr>
        <w:t xml:space="preserve"> et al </w:t>
      </w:r>
      <w:r w:rsidRPr="00D662A7">
        <w:rPr>
          <w:rFonts w:cs="Calibri"/>
        </w:rPr>
        <w:t>(2014)</w:t>
      </w:r>
      <w:r w:rsidRPr="00D662A7">
        <w:rPr>
          <w:lang w:eastAsia="en-GB"/>
        </w:rPr>
        <w:t xml:space="preserve"> conducted a large cohort study into SUD using </w:t>
      </w:r>
      <w:r w:rsidRPr="00D662A7">
        <w:t>a Danish nationwide database, ICD-8 and ICD-10 codes for SUD, and compared MPH with anti-depressants, anti-psychotics, mixed medication and no medication. They found higher SUD rates prior to, as compared with after, MPH treatment, but opposite results for antipsychotic and antidepressant treatments.</w:t>
      </w:r>
    </w:p>
    <w:p w14:paraId="2ED96BE6" w14:textId="77777777" w:rsidR="00D84079" w:rsidRPr="00D662A7" w:rsidRDefault="00D84079" w:rsidP="00D84079">
      <w:pPr>
        <w:rPr>
          <w:lang w:eastAsia="en-GB"/>
        </w:rPr>
      </w:pPr>
      <w:r w:rsidRPr="00D662A7">
        <w:rPr>
          <w:lang w:eastAsia="en-GB"/>
        </w:rPr>
        <w:t xml:space="preserve">Ginsberg et al </w:t>
      </w:r>
      <w:r w:rsidRPr="00D662A7">
        <w:rPr>
          <w:rFonts w:cs="Calibri"/>
        </w:rPr>
        <w:t>(2015)</w:t>
      </w:r>
      <w:r w:rsidRPr="00D662A7">
        <w:rPr>
          <w:lang w:eastAsia="en-GB"/>
        </w:rPr>
        <w:t xml:space="preserve"> used the Alcohol Use Disorder Identification Test (AUDIT) </w:t>
      </w:r>
      <w:r w:rsidRPr="00D662A7">
        <w:rPr>
          <w:rFonts w:cs="Calibri"/>
        </w:rPr>
        <w:t xml:space="preserve">(Bergman and </w:t>
      </w:r>
      <w:proofErr w:type="spellStart"/>
      <w:r w:rsidRPr="00D662A7">
        <w:rPr>
          <w:rFonts w:cs="Calibri"/>
        </w:rPr>
        <w:t>Källmén</w:t>
      </w:r>
      <w:proofErr w:type="spellEnd"/>
      <w:r w:rsidRPr="00D662A7">
        <w:rPr>
          <w:rFonts w:cs="Calibri"/>
        </w:rPr>
        <w:t>, 2002)</w:t>
      </w:r>
      <w:r w:rsidRPr="00D662A7">
        <w:rPr>
          <w:lang w:eastAsia="en-GB"/>
        </w:rPr>
        <w:t xml:space="preserve"> and the Drug Use Disorders Identification Test (DUDIT) </w:t>
      </w:r>
      <w:r w:rsidRPr="00D662A7">
        <w:rPr>
          <w:rFonts w:cs="Calibri"/>
        </w:rPr>
        <w:t>(Berman et al., 2005)</w:t>
      </w:r>
      <w:r w:rsidRPr="00D662A7">
        <w:rPr>
          <w:lang w:eastAsia="en-GB"/>
        </w:rPr>
        <w:t xml:space="preserve"> to assess substance abuse in 25 male prisoners treated for at least one year with MPH, and found that three years later, those still taking MPH had lower rates of substance abuse than those who were no longer medicated. </w:t>
      </w:r>
    </w:p>
    <w:p w14:paraId="660D2E72" w14:textId="77777777" w:rsidR="00D84079" w:rsidRPr="00D662A7" w:rsidRDefault="00D84079" w:rsidP="00D84079">
      <w:proofErr w:type="spellStart"/>
      <w:r w:rsidRPr="00D662A7">
        <w:t>Hammerness</w:t>
      </w:r>
      <w:proofErr w:type="spellEnd"/>
      <w:r w:rsidRPr="00D662A7">
        <w:t xml:space="preserve"> et al. </w:t>
      </w:r>
      <w:r w:rsidRPr="00D662A7">
        <w:rPr>
          <w:rFonts w:cs="Calibri"/>
        </w:rPr>
        <w:t>(2017)</w:t>
      </w:r>
      <w:r w:rsidRPr="00D662A7">
        <w:t xml:space="preserve"> used the Drug Use Screening Inventory-Revised (DUSI-R) </w:t>
      </w:r>
      <w:r w:rsidRPr="00D662A7">
        <w:rPr>
          <w:rFonts w:cs="Calibri"/>
        </w:rPr>
        <w:t>(Tarter et al., 1996)</w:t>
      </w:r>
      <w:r w:rsidRPr="00D662A7">
        <w:t xml:space="preserve"> to compare SUD risk in a cohort of 115 adolescents with ADHD who had been treated for 24 months with OROS-MPH in an open-label prospective study with a matched sample of 52 adolescents without ADHD and with a “naturalistic” sample of treated and untreated 44 adolescents with ADHD. They found that SUD rates were lower in the clinical MPH treated-sample than in the “naturalistic” sample and similar to those in the non-ADHD sample.</w:t>
      </w:r>
    </w:p>
    <w:p w14:paraId="22BBA7BA" w14:textId="77777777" w:rsidR="00D84079" w:rsidRPr="00D662A7" w:rsidRDefault="00D84079" w:rsidP="00ED71C3">
      <w:pPr>
        <w:pStyle w:val="Heading4"/>
      </w:pPr>
      <w:r w:rsidRPr="00D662A7">
        <w:t>Unclear</w:t>
      </w:r>
    </w:p>
    <w:p w14:paraId="141E5C05" w14:textId="77777777" w:rsidR="00D84079" w:rsidRPr="00D662A7" w:rsidRDefault="00D84079" w:rsidP="00D84079">
      <w:r w:rsidRPr="00D662A7">
        <w:rPr>
          <w:lang w:eastAsia="en-GB"/>
        </w:rPr>
        <w:t xml:space="preserve">The study by </w:t>
      </w:r>
      <w:proofErr w:type="spellStart"/>
      <w:r w:rsidRPr="00D662A7">
        <w:rPr>
          <w:lang w:eastAsia="en-GB"/>
        </w:rPr>
        <w:t>Hechtman</w:t>
      </w:r>
      <w:proofErr w:type="spellEnd"/>
      <w:r w:rsidRPr="00D662A7">
        <w:rPr>
          <w:lang w:eastAsia="en-GB"/>
        </w:rPr>
        <w:t xml:space="preserve"> et al </w:t>
      </w:r>
      <w:r w:rsidRPr="00D662A7">
        <w:rPr>
          <w:rFonts w:cs="Calibri"/>
        </w:rPr>
        <w:t>(1984)</w:t>
      </w:r>
      <w:r w:rsidRPr="00D662A7">
        <w:rPr>
          <w:lang w:eastAsia="en-GB"/>
        </w:rPr>
        <w:t xml:space="preserve"> described earlier, included psychiatric assessments of past and current nonmedical drug use in 76 young adults with and without a childhood history of ADHD. The study found </w:t>
      </w:r>
      <w:r w:rsidRPr="00D662A7">
        <w:t xml:space="preserve">no difference in rates of substance use disorder between </w:t>
      </w:r>
      <w:r w:rsidRPr="00D662A7">
        <w:lastRenderedPageBreak/>
        <w:t>the treated and the untreated ADHD groups, nor between ADHD groups and the control group</w:t>
      </w:r>
      <w:r w:rsidRPr="00D662A7">
        <w:rPr>
          <w:rStyle w:val="FootnoteReference"/>
        </w:rPr>
        <w:footnoteReference w:id="43"/>
      </w:r>
      <w:r w:rsidRPr="00D662A7">
        <w:t xml:space="preserve">. </w:t>
      </w:r>
    </w:p>
    <w:p w14:paraId="6BBCF04C" w14:textId="77777777" w:rsidR="00D84079" w:rsidRPr="00D662A7" w:rsidRDefault="00D84079" w:rsidP="00D84079">
      <w:r w:rsidRPr="00D662A7">
        <w:t xml:space="preserve">Huss et al </w:t>
      </w:r>
      <w:r w:rsidRPr="00D662A7">
        <w:rPr>
          <w:rFonts w:cs="Calibri"/>
        </w:rPr>
        <w:t>(2008)</w:t>
      </w:r>
      <w:r w:rsidRPr="00D662A7">
        <w:t xml:space="preserve"> conducted a study of nicotine use in ADHD using the Composite International Diagnostic Interview on Psychiatric Disorders (CIDI) </w:t>
      </w:r>
      <w:r w:rsidRPr="00D662A7">
        <w:rPr>
          <w:rFonts w:cs="Calibri"/>
        </w:rPr>
        <w:t>(Robins et al., 1988)</w:t>
      </w:r>
      <w:r w:rsidRPr="00D662A7">
        <w:t>. They found no evidence for elevated risk of nicotine use for MPH, and a marginally significant delay in the age of onset for continuous smoking in the MPH-treated group.</w:t>
      </w:r>
    </w:p>
    <w:p w14:paraId="4A5B9490" w14:textId="77777777" w:rsidR="00D84079" w:rsidRPr="00D662A7" w:rsidRDefault="00D84079" w:rsidP="00ED71C3">
      <w:pPr>
        <w:pStyle w:val="Heading3"/>
      </w:pPr>
      <w:r w:rsidRPr="00D662A7">
        <w:t>Non-comparative studies</w:t>
      </w:r>
    </w:p>
    <w:p w14:paraId="365F2304" w14:textId="77777777" w:rsidR="00D84079" w:rsidRPr="00D662A7" w:rsidRDefault="00D84079" w:rsidP="00ED71C3">
      <w:pPr>
        <w:pStyle w:val="Heading4"/>
      </w:pPr>
      <w:r w:rsidRPr="00D662A7">
        <w:t>Safe</w:t>
      </w:r>
    </w:p>
    <w:p w14:paraId="7ACF2DF6" w14:textId="77777777" w:rsidR="00D84079" w:rsidRPr="00D662A7" w:rsidRDefault="00D84079" w:rsidP="00D84079">
      <w:r w:rsidRPr="00D662A7">
        <w:t xml:space="preserve">In a prospective study of adults with ADHD with and without SUD at baseline, Torgersen et al. (2012) found no cases of SUD after two years of MPH treatment in the 52 cases without SUD at baseline. The 65 cases with prior SUD showed high rates of relapse and MPH treatment discontinuation, but it was not clear whether these were different to expected rates. </w:t>
      </w:r>
    </w:p>
    <w:p w14:paraId="79232A94" w14:textId="77777777" w:rsidR="00D84079" w:rsidRPr="00D662A7" w:rsidRDefault="00D84079" w:rsidP="00ED71C3">
      <w:pPr>
        <w:pStyle w:val="Heading3"/>
      </w:pPr>
      <w:bookmarkStart w:id="61" w:name="_Non-comparative_group_studies_8"/>
      <w:bookmarkEnd w:id="61"/>
      <w:r w:rsidRPr="00D662A7">
        <w:t>Case reports</w:t>
      </w:r>
    </w:p>
    <w:p w14:paraId="5525657A" w14:textId="77777777" w:rsidR="00D84079" w:rsidRPr="00D662A7" w:rsidRDefault="00D84079" w:rsidP="00D84079">
      <w:r w:rsidRPr="00D662A7">
        <w:t xml:space="preserve">We coded the authors’ conclusion in five of the case reports as </w:t>
      </w:r>
      <w:r w:rsidRPr="00D662A7">
        <w:rPr>
          <w:i/>
        </w:rPr>
        <w:t xml:space="preserve">Safe; </w:t>
      </w:r>
      <w:r w:rsidRPr="00D662A7">
        <w:t xml:space="preserve">all were of adults with SUD. The other three were all reports of cases of MPH abuse by adolescent boys; we coded two as </w:t>
      </w:r>
      <w:r w:rsidRPr="00D662A7">
        <w:rPr>
          <w:i/>
        </w:rPr>
        <w:t>Proceed with Caution</w:t>
      </w:r>
      <w:r w:rsidRPr="00D662A7">
        <w:t xml:space="preserve">, and one as </w:t>
      </w:r>
      <w:r w:rsidRPr="00D662A7">
        <w:rPr>
          <w:i/>
        </w:rPr>
        <w:t>Unclear</w:t>
      </w:r>
      <w:r w:rsidRPr="00D662A7">
        <w:t xml:space="preserve">. </w:t>
      </w:r>
    </w:p>
    <w:p w14:paraId="16B2E0F3" w14:textId="77777777" w:rsidR="00D84079" w:rsidRPr="00D662A7" w:rsidRDefault="00D84079" w:rsidP="00ED71C3">
      <w:pPr>
        <w:pStyle w:val="Heading4"/>
      </w:pPr>
      <w:r w:rsidRPr="00D662A7">
        <w:t>Safe</w:t>
      </w:r>
    </w:p>
    <w:p w14:paraId="676C85C5" w14:textId="77777777" w:rsidR="00D84079" w:rsidRPr="00D662A7" w:rsidRDefault="00D84079" w:rsidP="00D84079">
      <w:r w:rsidRPr="00D662A7">
        <w:t xml:space="preserve">All case reports of adults with comorbid SUD, including the 2 cases of men with alcohol dependency reported in </w:t>
      </w:r>
      <w:proofErr w:type="spellStart"/>
      <w:r w:rsidRPr="00D662A7">
        <w:t>Schubiner</w:t>
      </w:r>
      <w:proofErr w:type="spellEnd"/>
      <w:r w:rsidRPr="00D662A7">
        <w:t xml:space="preserve"> et al. </w:t>
      </w:r>
      <w:r w:rsidRPr="00D662A7">
        <w:rPr>
          <w:rFonts w:cs="Calibri"/>
        </w:rPr>
        <w:t>(1995)</w:t>
      </w:r>
      <w:r w:rsidRPr="00D662A7">
        <w:t xml:space="preserve">, reported abstinence for at least 2 years </w:t>
      </w:r>
      <w:r w:rsidRPr="00D662A7">
        <w:lastRenderedPageBreak/>
        <w:t xml:space="preserve">after the start of MPH treatment </w:t>
      </w:r>
      <w:r w:rsidRPr="00D662A7">
        <w:rPr>
          <w:rFonts w:cs="Calibri"/>
        </w:rPr>
        <w:t>(</w:t>
      </w:r>
      <w:proofErr w:type="spellStart"/>
      <w:r w:rsidRPr="00D662A7">
        <w:rPr>
          <w:rFonts w:cs="Calibri"/>
        </w:rPr>
        <w:t>Guerdjikova</w:t>
      </w:r>
      <w:proofErr w:type="spellEnd"/>
      <w:r w:rsidRPr="00D662A7">
        <w:rPr>
          <w:rFonts w:cs="Calibri"/>
        </w:rPr>
        <w:t xml:space="preserve"> and McElroy, 2013; Imbert et al., 2013; </w:t>
      </w:r>
      <w:proofErr w:type="spellStart"/>
      <w:r w:rsidRPr="00D662A7">
        <w:rPr>
          <w:rFonts w:cs="Calibri"/>
        </w:rPr>
        <w:t>Khantzian</w:t>
      </w:r>
      <w:proofErr w:type="spellEnd"/>
      <w:r w:rsidRPr="00D662A7">
        <w:rPr>
          <w:rFonts w:cs="Calibri"/>
        </w:rPr>
        <w:t xml:space="preserve"> et al., 1984; </w:t>
      </w:r>
      <w:proofErr w:type="spellStart"/>
      <w:r w:rsidRPr="00D662A7">
        <w:rPr>
          <w:rFonts w:cs="Calibri"/>
        </w:rPr>
        <w:t>Schubiner</w:t>
      </w:r>
      <w:proofErr w:type="spellEnd"/>
      <w:r w:rsidRPr="00D662A7">
        <w:rPr>
          <w:rFonts w:cs="Calibri"/>
        </w:rPr>
        <w:t xml:space="preserve"> et al., 1995)</w:t>
      </w:r>
      <w:r w:rsidRPr="00D662A7">
        <w:t xml:space="preserve">. </w:t>
      </w:r>
    </w:p>
    <w:p w14:paraId="4954B8F2" w14:textId="77777777" w:rsidR="00D84079" w:rsidRPr="00D662A7" w:rsidRDefault="00D84079" w:rsidP="00ED71C3">
      <w:pPr>
        <w:pStyle w:val="Heading4"/>
      </w:pPr>
      <w:r w:rsidRPr="00D662A7">
        <w:t>Proceed with Caution</w:t>
      </w:r>
    </w:p>
    <w:p w14:paraId="524808B6" w14:textId="77777777" w:rsidR="00D84079" w:rsidRPr="00D662A7" w:rsidRDefault="00D84079" w:rsidP="00D84079">
      <w:pPr>
        <w:rPr>
          <w:lang w:eastAsia="en-GB"/>
        </w:rPr>
      </w:pPr>
      <w:r w:rsidRPr="00D662A7">
        <w:rPr>
          <w:lang w:eastAsia="en-GB"/>
        </w:rPr>
        <w:t xml:space="preserve">Both cases studies coded as </w:t>
      </w:r>
      <w:r w:rsidRPr="00D662A7">
        <w:rPr>
          <w:i/>
          <w:lang w:eastAsia="en-GB"/>
        </w:rPr>
        <w:t>Proceed with Caution</w:t>
      </w:r>
      <w:r w:rsidRPr="00D662A7">
        <w:rPr>
          <w:lang w:eastAsia="en-GB"/>
        </w:rPr>
        <w:t xml:space="preserve"> were cases of intranasal MPH abuse: one was a case reported by Jaffe </w:t>
      </w:r>
      <w:r w:rsidRPr="00D662A7">
        <w:rPr>
          <w:rFonts w:cs="Calibri"/>
        </w:rPr>
        <w:t>(1991)</w:t>
      </w:r>
      <w:r w:rsidRPr="00D662A7">
        <w:rPr>
          <w:lang w:eastAsia="en-GB"/>
        </w:rPr>
        <w:t xml:space="preserve"> of a boy with additional addictions; the other was the case described earlier by Garland </w:t>
      </w:r>
      <w:r w:rsidRPr="00D662A7">
        <w:rPr>
          <w:rFonts w:cs="Calibri"/>
        </w:rPr>
        <w:t>(1998)</w:t>
      </w:r>
      <w:r w:rsidRPr="00D662A7">
        <w:rPr>
          <w:lang w:eastAsia="en-GB"/>
        </w:rPr>
        <w:t>.</w:t>
      </w:r>
    </w:p>
    <w:p w14:paraId="3082FE11" w14:textId="77777777" w:rsidR="00D84079" w:rsidRPr="00D662A7" w:rsidRDefault="00D84079" w:rsidP="00ED71C3">
      <w:pPr>
        <w:pStyle w:val="Heading4"/>
      </w:pPr>
      <w:r w:rsidRPr="00D662A7">
        <w:t>Unclear</w:t>
      </w:r>
    </w:p>
    <w:p w14:paraId="2C59A4C0" w14:textId="77777777" w:rsidR="00D84079" w:rsidRPr="00D662A7" w:rsidRDefault="00D84079" w:rsidP="00D84079">
      <w:pPr>
        <w:rPr>
          <w:lang w:eastAsia="en-GB"/>
        </w:rPr>
      </w:pPr>
      <w:r w:rsidRPr="00D662A7">
        <w:rPr>
          <w:lang w:eastAsia="en-GB"/>
        </w:rPr>
        <w:t xml:space="preserve">The case report whose conclusion we coded as </w:t>
      </w:r>
      <w:r w:rsidRPr="00D662A7">
        <w:rPr>
          <w:i/>
          <w:lang w:eastAsia="en-GB"/>
        </w:rPr>
        <w:t>Unclear</w:t>
      </w:r>
      <w:r w:rsidRPr="00D662A7">
        <w:rPr>
          <w:lang w:eastAsia="en-GB"/>
        </w:rPr>
        <w:t xml:space="preserve"> was also a case of MPH abuse </w:t>
      </w:r>
      <w:r w:rsidRPr="00D662A7">
        <w:rPr>
          <w:rFonts w:cs="Calibri"/>
        </w:rPr>
        <w:t>(</w:t>
      </w:r>
      <w:proofErr w:type="spellStart"/>
      <w:r w:rsidRPr="00D662A7">
        <w:rPr>
          <w:rFonts w:cs="Calibri"/>
        </w:rPr>
        <w:t>Goyer</w:t>
      </w:r>
      <w:proofErr w:type="spellEnd"/>
      <w:r w:rsidRPr="00D662A7">
        <w:rPr>
          <w:rFonts w:cs="Calibri"/>
        </w:rPr>
        <w:t xml:space="preserve"> et al., 1979)</w:t>
      </w:r>
      <w:r w:rsidRPr="00D662A7">
        <w:rPr>
          <w:lang w:eastAsia="en-GB"/>
        </w:rPr>
        <w:t xml:space="preserve"> in a 13-year old boy. </w:t>
      </w:r>
    </w:p>
    <w:p w14:paraId="061213AC" w14:textId="77777777" w:rsidR="00D84079" w:rsidRPr="00D662A7" w:rsidRDefault="00D84079" w:rsidP="00D84079">
      <w:pPr>
        <w:rPr>
          <w:lang w:eastAsia="en-GB"/>
        </w:rPr>
      </w:pPr>
    </w:p>
    <w:p w14:paraId="7E89709E" w14:textId="77777777" w:rsidR="00D84079" w:rsidRPr="00D662A7" w:rsidRDefault="00D84079" w:rsidP="00ED71C3">
      <w:pPr>
        <w:pStyle w:val="Heading2"/>
      </w:pPr>
      <w:bookmarkStart w:id="62" w:name="_Ref4001103"/>
      <w:bookmarkStart w:id="63" w:name="_Ref4001270"/>
      <w:bookmarkStart w:id="64" w:name="_Ref4001279"/>
      <w:bookmarkStart w:id="65" w:name="_Toc4076824"/>
      <w:r w:rsidRPr="00D662A7">
        <w:t>Tics and other dyskinesias</w:t>
      </w:r>
      <w:bookmarkEnd w:id="62"/>
      <w:bookmarkEnd w:id="63"/>
      <w:bookmarkEnd w:id="64"/>
      <w:bookmarkEnd w:id="65"/>
    </w:p>
    <w:p w14:paraId="79B25402" w14:textId="77777777" w:rsidR="00D84079" w:rsidRPr="00D662A7" w:rsidRDefault="001036CE" w:rsidP="00D84079">
      <w:pPr>
        <w:rPr>
          <w:lang w:eastAsia="en-GB"/>
        </w:rPr>
      </w:pPr>
      <w:r w:rsidRPr="00D662A7">
        <w:rPr>
          <w:lang w:eastAsia="en-GB"/>
        </w:rPr>
        <w:t>Fourteen</w:t>
      </w:r>
      <w:r w:rsidR="00D84079" w:rsidRPr="00D662A7">
        <w:rPr>
          <w:lang w:eastAsia="en-GB"/>
        </w:rPr>
        <w:t xml:space="preserve"> studies reported on tics and/or other dyskinesias as a potential adverse outcome of MPH treatment: five comparative studies, four non-comparative studies and five case reports. The evidence regarding tics and other dyskinesias is summarised in </w:t>
      </w:r>
      <w:r w:rsidR="00D84079" w:rsidRPr="00D662A7">
        <w:t xml:space="preserve">Table </w:t>
      </w:r>
      <w:r w:rsidR="00D84079" w:rsidRPr="00D662A7">
        <w:rPr>
          <w:noProof/>
        </w:rPr>
        <w:t>16</w:t>
      </w:r>
      <w:r w:rsidR="00D84079" w:rsidRPr="00D662A7">
        <w:rPr>
          <w:lang w:eastAsia="en-GB"/>
        </w:rPr>
        <w:t>.</w:t>
      </w:r>
    </w:p>
    <w:p w14:paraId="494DBF3F" w14:textId="77777777" w:rsidR="00D84079" w:rsidRPr="00D662A7" w:rsidRDefault="00D84079" w:rsidP="00ED71C3">
      <w:pPr>
        <w:pStyle w:val="Heading3"/>
      </w:pPr>
      <w:bookmarkStart w:id="66" w:name="_Comparative_group_studies_2"/>
      <w:bookmarkEnd w:id="66"/>
      <w:r w:rsidRPr="00D662A7">
        <w:t>Comparative group studies</w:t>
      </w:r>
    </w:p>
    <w:p w14:paraId="46AEAABB" w14:textId="77777777" w:rsidR="00D84079" w:rsidRPr="00D662A7" w:rsidRDefault="00D84079" w:rsidP="00D84079">
      <w:pPr>
        <w:rPr>
          <w:lang w:eastAsia="en-GB"/>
        </w:rPr>
      </w:pPr>
      <w:r w:rsidRPr="00D662A7">
        <w:rPr>
          <w:lang w:eastAsia="en-GB"/>
        </w:rPr>
        <w:t xml:space="preserve">We coded the results of two of the five comparative studies as </w:t>
      </w:r>
      <w:r w:rsidRPr="00D662A7">
        <w:rPr>
          <w:i/>
          <w:lang w:eastAsia="en-GB"/>
        </w:rPr>
        <w:t>Proceed with Caution</w:t>
      </w:r>
      <w:r w:rsidRPr="00D662A7">
        <w:rPr>
          <w:lang w:eastAsia="en-GB"/>
        </w:rPr>
        <w:t xml:space="preserve">, and three as </w:t>
      </w:r>
      <w:r w:rsidRPr="00D662A7">
        <w:rPr>
          <w:i/>
          <w:lang w:eastAsia="en-GB"/>
        </w:rPr>
        <w:t>Unclear</w:t>
      </w:r>
      <w:r w:rsidRPr="00D662A7">
        <w:rPr>
          <w:lang w:eastAsia="en-GB"/>
        </w:rPr>
        <w:t xml:space="preserve">. Two studies were within-subject time-series studies of children with comorbid tic disorder who had been treated with MPH, and who were challenged with MPH withdrawal. </w:t>
      </w:r>
      <w:r w:rsidRPr="00D662A7">
        <w:t>The other three were retrospective cohort studies using chart reviews to compared rates of emergence of tics in children treated with MPH, and other psychostimulants.</w:t>
      </w:r>
    </w:p>
    <w:p w14:paraId="35D88F6B" w14:textId="77777777" w:rsidR="00D84079" w:rsidRPr="00D662A7" w:rsidRDefault="00D84079" w:rsidP="00ED71C3">
      <w:pPr>
        <w:pStyle w:val="Heading4"/>
      </w:pPr>
      <w:r w:rsidRPr="00D662A7">
        <w:lastRenderedPageBreak/>
        <w:t>Proceed with Caution</w:t>
      </w:r>
    </w:p>
    <w:p w14:paraId="5002BA49" w14:textId="77777777" w:rsidR="00D84079" w:rsidRPr="00D662A7" w:rsidRDefault="00D84079" w:rsidP="00D84079">
      <w:pPr>
        <w:rPr>
          <w:lang w:eastAsia="en-GB"/>
        </w:rPr>
      </w:pPr>
      <w:r w:rsidRPr="00D662A7">
        <w:rPr>
          <w:lang w:eastAsia="en-GB"/>
        </w:rPr>
        <w:t xml:space="preserve">Riddle et al. </w:t>
      </w:r>
      <w:r w:rsidRPr="00D662A7">
        <w:rPr>
          <w:rFonts w:cs="Calibri"/>
        </w:rPr>
        <w:t>(1995)</w:t>
      </w:r>
      <w:r w:rsidRPr="00D662A7">
        <w:rPr>
          <w:lang w:eastAsia="en-GB"/>
        </w:rPr>
        <w:t xml:space="preserve"> blind-rated five-minute video recordings of boys with comorbid ADHD and Tourette Syndrome (TS) before, during, and after a two week suspension of MPH treatment (median duration of prior treatment =12 months). They found statistically significant reductions in tic frequency and severity during the discontinuation period, as measured by the Challenge Yale Global Tic Severity Scale (C-YGTSS) </w:t>
      </w:r>
      <w:r w:rsidRPr="00D662A7">
        <w:rPr>
          <w:rFonts w:cs="Calibri"/>
        </w:rPr>
        <w:t>(</w:t>
      </w:r>
      <w:proofErr w:type="spellStart"/>
      <w:r w:rsidRPr="00D662A7">
        <w:rPr>
          <w:rFonts w:cs="Calibri"/>
        </w:rPr>
        <w:t>Himle</w:t>
      </w:r>
      <w:proofErr w:type="spellEnd"/>
      <w:r w:rsidRPr="00D662A7">
        <w:rPr>
          <w:rFonts w:cs="Calibri"/>
        </w:rPr>
        <w:t xml:space="preserve"> et al., 2006)</w:t>
      </w:r>
      <w:r w:rsidRPr="00D662A7">
        <w:rPr>
          <w:lang w:eastAsia="en-GB"/>
        </w:rPr>
        <w:t xml:space="preserve">. </w:t>
      </w:r>
    </w:p>
    <w:p w14:paraId="13B16820" w14:textId="77777777" w:rsidR="00D84079" w:rsidRPr="00D662A7" w:rsidRDefault="00D84079" w:rsidP="00D84079">
      <w:pPr>
        <w:rPr>
          <w:lang w:eastAsia="en-GB"/>
        </w:rPr>
      </w:pPr>
      <w:r w:rsidRPr="00D662A7">
        <w:t xml:space="preserve">Varley et al. </w:t>
      </w:r>
      <w:r w:rsidRPr="00D662A7">
        <w:rPr>
          <w:rFonts w:cs="Calibri"/>
        </w:rPr>
        <w:t>(2001)</w:t>
      </w:r>
      <w:r w:rsidRPr="00D662A7">
        <w:t xml:space="preserve"> reviewed charts from a clinic that regarded tics as a contraindication for stimulant treatment and routinely monitored children for emergent tics. They found an emergence around 8% but no clear difference in rates between children treated with MPH and those treated with dexamphetamine or pemoline. </w:t>
      </w:r>
    </w:p>
    <w:p w14:paraId="17F452CB" w14:textId="77777777" w:rsidR="00D84079" w:rsidRPr="00D662A7" w:rsidRDefault="00D84079" w:rsidP="00ED71C3">
      <w:pPr>
        <w:pStyle w:val="Heading4"/>
      </w:pPr>
      <w:r w:rsidRPr="00D662A7">
        <w:t>Unclear</w:t>
      </w:r>
    </w:p>
    <w:p w14:paraId="1318EDF2" w14:textId="77777777" w:rsidR="00D84079" w:rsidRPr="00D662A7" w:rsidRDefault="00D84079" w:rsidP="00D84079">
      <w:pPr>
        <w:rPr>
          <w:lang w:eastAsia="en-GB"/>
        </w:rPr>
      </w:pPr>
      <w:r w:rsidRPr="00D662A7">
        <w:rPr>
          <w:lang w:eastAsia="en-GB"/>
        </w:rPr>
        <w:t xml:space="preserve">Nolan et al. </w:t>
      </w:r>
      <w:r w:rsidRPr="00D662A7">
        <w:rPr>
          <w:rFonts w:cs="Calibri"/>
        </w:rPr>
        <w:t>(1999)</w:t>
      </w:r>
      <w:r w:rsidRPr="00D662A7">
        <w:rPr>
          <w:lang w:eastAsia="en-GB"/>
        </w:rPr>
        <w:t xml:space="preserve"> </w:t>
      </w:r>
      <w:r w:rsidRPr="00D662A7">
        <w:t xml:space="preserve">conducted a crossover placebo-controlled withdrawal of MPH after long-term maintenance in 17 children and found no clear effect of MPH withdrawal on tics as measured by a clinician using the </w:t>
      </w:r>
      <w:r w:rsidRPr="00D662A7">
        <w:rPr>
          <w:lang w:eastAsia="en-GB"/>
        </w:rPr>
        <w:t xml:space="preserve">YGTSS </w:t>
      </w:r>
      <w:r w:rsidRPr="00D662A7">
        <w:rPr>
          <w:rFonts w:cs="Calibri"/>
        </w:rPr>
        <w:t>(</w:t>
      </w:r>
      <w:proofErr w:type="spellStart"/>
      <w:r w:rsidRPr="00D662A7">
        <w:rPr>
          <w:rFonts w:cs="Calibri"/>
        </w:rPr>
        <w:t>Leckman</w:t>
      </w:r>
      <w:proofErr w:type="spellEnd"/>
      <w:r w:rsidRPr="00D662A7">
        <w:rPr>
          <w:rFonts w:cs="Calibri"/>
        </w:rPr>
        <w:t xml:space="preserve"> et al., 1989)</w:t>
      </w:r>
      <w:r w:rsidRPr="00D662A7">
        <w:rPr>
          <w:lang w:eastAsia="en-GB"/>
        </w:rPr>
        <w:t xml:space="preserve">, the TS-CGI </w:t>
      </w:r>
      <w:r w:rsidRPr="00D662A7">
        <w:rPr>
          <w:rFonts w:cs="Calibri"/>
        </w:rPr>
        <w:t>(</w:t>
      </w:r>
      <w:proofErr w:type="spellStart"/>
      <w:r w:rsidRPr="00D662A7">
        <w:rPr>
          <w:rFonts w:cs="Calibri"/>
        </w:rPr>
        <w:t>Leckman</w:t>
      </w:r>
      <w:proofErr w:type="spellEnd"/>
      <w:r w:rsidRPr="00D662A7">
        <w:rPr>
          <w:rFonts w:cs="Calibri"/>
        </w:rPr>
        <w:t xml:space="preserve"> et al., 1988)</w:t>
      </w:r>
      <w:r w:rsidRPr="00D662A7">
        <w:rPr>
          <w:lang w:eastAsia="en-GB"/>
        </w:rPr>
        <w:t xml:space="preserve">, the Shapiro Tourette Severity Scale </w:t>
      </w:r>
      <w:r w:rsidRPr="00D662A7">
        <w:rPr>
          <w:rFonts w:cs="Calibri"/>
        </w:rPr>
        <w:t>(Shapiro et al., 1988)</w:t>
      </w:r>
      <w:r w:rsidRPr="00D662A7">
        <w:rPr>
          <w:lang w:eastAsia="en-GB"/>
        </w:rPr>
        <w:t xml:space="preserve"> and the Tourette Syndrome Unified Rating Scale </w:t>
      </w:r>
      <w:r w:rsidRPr="00D662A7">
        <w:rPr>
          <w:rFonts w:cs="Calibri"/>
        </w:rPr>
        <w:t>(</w:t>
      </w:r>
      <w:proofErr w:type="spellStart"/>
      <w:r w:rsidRPr="00D662A7">
        <w:rPr>
          <w:rFonts w:cs="Calibri"/>
        </w:rPr>
        <w:t>Kurlan</w:t>
      </w:r>
      <w:proofErr w:type="spellEnd"/>
      <w:r w:rsidRPr="00D662A7">
        <w:rPr>
          <w:rFonts w:cs="Calibri"/>
        </w:rPr>
        <w:t xml:space="preserve"> et al., 1988)</w:t>
      </w:r>
      <w:r w:rsidRPr="00D662A7">
        <w:rPr>
          <w:lang w:eastAsia="en-GB"/>
        </w:rPr>
        <w:t xml:space="preserve">. </w:t>
      </w:r>
    </w:p>
    <w:p w14:paraId="3E6D193B" w14:textId="77777777" w:rsidR="00D84079" w:rsidRPr="00D662A7" w:rsidRDefault="00D84079" w:rsidP="00D84079">
      <w:r w:rsidRPr="00D662A7">
        <w:t xml:space="preserve">A chart review by Lipkin et al. </w:t>
      </w:r>
      <w:r w:rsidRPr="00D662A7">
        <w:rPr>
          <w:rFonts w:cs="Calibri"/>
        </w:rPr>
        <w:t>(1994)</w:t>
      </w:r>
      <w:r w:rsidRPr="00D662A7">
        <w:t xml:space="preserve"> reported similar rates of emergence (around 8%) to those found by Varley et al. </w:t>
      </w:r>
      <w:r w:rsidRPr="00D662A7">
        <w:rPr>
          <w:rFonts w:cs="Calibri"/>
        </w:rPr>
        <w:t>(2001)</w:t>
      </w:r>
      <w:r w:rsidRPr="00D662A7">
        <w:t xml:space="preserve"> (see above), and, again, no clear difference in rates between children treated with MPH and those treated with dexamphetamine or pemoline. </w:t>
      </w:r>
    </w:p>
    <w:p w14:paraId="7A6DCEBC" w14:textId="77777777" w:rsidR="00D84079" w:rsidRPr="00D662A7" w:rsidRDefault="00D84079" w:rsidP="00D84079">
      <w:pPr>
        <w:rPr>
          <w:lang w:eastAsia="en-GB"/>
        </w:rPr>
      </w:pPr>
      <w:proofErr w:type="spellStart"/>
      <w:r w:rsidRPr="00D662A7">
        <w:lastRenderedPageBreak/>
        <w:t>Ghuman</w:t>
      </w:r>
      <w:proofErr w:type="spellEnd"/>
      <w:r w:rsidRPr="00D662A7">
        <w:t xml:space="preserve"> et </w:t>
      </w:r>
      <w:proofErr w:type="spellStart"/>
      <w:r w:rsidRPr="00D662A7">
        <w:t>al’s</w:t>
      </w:r>
      <w:proofErr w:type="spellEnd"/>
      <w:r w:rsidRPr="00D662A7">
        <w:t xml:space="preserve"> </w:t>
      </w:r>
      <w:r w:rsidRPr="00D662A7">
        <w:rPr>
          <w:rFonts w:cs="Calibri"/>
        </w:rPr>
        <w:t>(2001)</w:t>
      </w:r>
      <w:r w:rsidRPr="00D662A7">
        <w:rPr>
          <w:lang w:eastAsia="en-GB"/>
        </w:rPr>
        <w:t xml:space="preserve"> retrospective chart review of pre-schoolers with ADHD, described earlier,</w:t>
      </w:r>
      <w:r w:rsidRPr="00D662A7">
        <w:rPr>
          <w:rStyle w:val="FootnoteReference"/>
        </w:rPr>
        <w:t xml:space="preserve"> </w:t>
      </w:r>
      <w:r w:rsidRPr="00D662A7">
        <w:rPr>
          <w:rStyle w:val="FootnoteReference"/>
        </w:rPr>
        <w:footnoteReference w:id="44"/>
      </w:r>
      <w:r w:rsidRPr="00D662A7">
        <w:rPr>
          <w:lang w:eastAsia="en-GB"/>
        </w:rPr>
        <w:t xml:space="preserve"> found a high rate of AEs including tics, but no difference in side-effect rate between MPH and other psychostimulants, and found that severity decreased over time. </w:t>
      </w:r>
    </w:p>
    <w:p w14:paraId="61A10E7C" w14:textId="77777777" w:rsidR="00D84079" w:rsidRPr="00D662A7" w:rsidRDefault="00D84079" w:rsidP="00ED71C3">
      <w:pPr>
        <w:pStyle w:val="Heading3"/>
      </w:pPr>
      <w:bookmarkStart w:id="67" w:name="_Non-comparative_group_studies_5"/>
      <w:bookmarkEnd w:id="67"/>
      <w:r w:rsidRPr="00D662A7">
        <w:t>Non-comparative group studies</w:t>
      </w:r>
    </w:p>
    <w:p w14:paraId="7AB5A58D" w14:textId="77777777" w:rsidR="00D84079" w:rsidRPr="00D662A7" w:rsidRDefault="00D84079" w:rsidP="00D84079">
      <w:r w:rsidRPr="00D662A7">
        <w:t xml:space="preserve">We coded the authors’ conclusion from three of the four non-comparative studies as </w:t>
      </w:r>
      <w:r w:rsidRPr="00D662A7">
        <w:rPr>
          <w:i/>
        </w:rPr>
        <w:t>Safe</w:t>
      </w:r>
      <w:r w:rsidRPr="00D662A7">
        <w:t xml:space="preserve">, and one as </w:t>
      </w:r>
      <w:r w:rsidRPr="00D662A7">
        <w:rPr>
          <w:i/>
        </w:rPr>
        <w:t>Proceed with Caution</w:t>
      </w:r>
      <w:r w:rsidRPr="00D662A7">
        <w:t>.</w:t>
      </w:r>
    </w:p>
    <w:p w14:paraId="259D11C1" w14:textId="77777777" w:rsidR="00D84079" w:rsidRPr="00D662A7" w:rsidRDefault="00D84079" w:rsidP="00ED71C3">
      <w:pPr>
        <w:pStyle w:val="Heading4"/>
      </w:pPr>
      <w:r w:rsidRPr="00D662A7">
        <w:t>Safe</w:t>
      </w:r>
    </w:p>
    <w:p w14:paraId="15BED296" w14:textId="77777777" w:rsidR="00D84079" w:rsidRPr="00D662A7" w:rsidRDefault="00D84079" w:rsidP="00D84079">
      <w:pPr>
        <w:rPr>
          <w:lang w:eastAsia="en-GB"/>
        </w:rPr>
      </w:pPr>
      <w:r w:rsidRPr="00D662A7">
        <w:rPr>
          <w:lang w:eastAsia="en-GB"/>
        </w:rPr>
        <w:t xml:space="preserve">All three of the non-comparative studies in which we coded the authors’ conclusion as </w:t>
      </w:r>
      <w:r w:rsidRPr="00D662A7">
        <w:rPr>
          <w:i/>
          <w:lang w:eastAsia="en-GB"/>
        </w:rPr>
        <w:t>Safe</w:t>
      </w:r>
      <w:r w:rsidRPr="00D662A7">
        <w:rPr>
          <w:lang w:eastAsia="en-GB"/>
        </w:rPr>
        <w:t xml:space="preserve"> were studies of adverse effects that have been described earlier. </w:t>
      </w:r>
    </w:p>
    <w:p w14:paraId="54A1842E" w14:textId="77777777" w:rsidR="00D84079" w:rsidRPr="00D662A7" w:rsidRDefault="00D84079" w:rsidP="00D84079">
      <w:r w:rsidRPr="00D662A7">
        <w:rPr>
          <w:lang w:eastAsia="en-GB"/>
        </w:rPr>
        <w:t>One was the</w:t>
      </w:r>
      <w:r w:rsidRPr="00D662A7">
        <w:rPr>
          <w:rFonts w:cs="Calibri"/>
        </w:rPr>
        <w:t xml:space="preserve"> study of 228 children and youth with ADHD by </w:t>
      </w:r>
      <w:proofErr w:type="spellStart"/>
      <w:r w:rsidRPr="00D662A7">
        <w:rPr>
          <w:rFonts w:cs="Calibri"/>
        </w:rPr>
        <w:t>Wilens</w:t>
      </w:r>
      <w:proofErr w:type="spellEnd"/>
      <w:r w:rsidRPr="00D662A7">
        <w:rPr>
          <w:rFonts w:cs="Calibri"/>
        </w:rPr>
        <w:t xml:space="preserve"> et al (2005); in this study, participants with a diagnosis of </w:t>
      </w:r>
      <w:proofErr w:type="spellStart"/>
      <w:r w:rsidRPr="00D662A7">
        <w:rPr>
          <w:rFonts w:cs="Calibri"/>
        </w:rPr>
        <w:t>Tourrette</w:t>
      </w:r>
      <w:proofErr w:type="spellEnd"/>
      <w:r w:rsidRPr="00D662A7">
        <w:rPr>
          <w:rFonts w:cs="Calibri"/>
        </w:rPr>
        <w:t xml:space="preserve"> Syndrome were explicitly excluded, but participants with tics or a family history of Tourette Syndrome were included.</w:t>
      </w:r>
      <w:r w:rsidRPr="00D662A7">
        <w:rPr>
          <w:rStyle w:val="FootnoteReference"/>
        </w:rPr>
        <w:footnoteReference w:id="45"/>
      </w:r>
      <w:r w:rsidRPr="00D662A7">
        <w:rPr>
          <w:rFonts w:cs="Calibri"/>
        </w:rPr>
        <w:t xml:space="preserve"> Another was the </w:t>
      </w:r>
      <w:r w:rsidRPr="00D662A7">
        <w:rPr>
          <w:lang w:eastAsia="en-GB"/>
        </w:rPr>
        <w:t xml:space="preserve">study of 134 children with ADHD by </w:t>
      </w:r>
      <w:proofErr w:type="spellStart"/>
      <w:r w:rsidRPr="00D662A7">
        <w:rPr>
          <w:lang w:eastAsia="en-GB"/>
        </w:rPr>
        <w:t>Atzori</w:t>
      </w:r>
      <w:proofErr w:type="spellEnd"/>
      <w:r w:rsidRPr="00D662A7">
        <w:rPr>
          <w:lang w:eastAsia="en-GB"/>
        </w:rPr>
        <w:t xml:space="preserve"> et al </w:t>
      </w:r>
      <w:r w:rsidRPr="00D662A7">
        <w:rPr>
          <w:rFonts w:cs="Calibri"/>
        </w:rPr>
        <w:t>(2009).</w:t>
      </w:r>
      <w:r w:rsidRPr="00D662A7">
        <w:rPr>
          <w:rStyle w:val="FootnoteReference"/>
        </w:rPr>
        <w:footnoteReference w:id="46"/>
      </w:r>
      <w:r w:rsidRPr="00D662A7">
        <w:rPr>
          <w:rFonts w:cs="Calibri"/>
        </w:rPr>
        <w:t xml:space="preserve"> The third study was the six-year follow-up study of 112 adults by </w:t>
      </w:r>
      <w:proofErr w:type="spellStart"/>
      <w:r w:rsidRPr="00D662A7">
        <w:rPr>
          <w:rFonts w:cs="Calibri"/>
        </w:rPr>
        <w:t>Edvinsson</w:t>
      </w:r>
      <w:proofErr w:type="spellEnd"/>
      <w:r w:rsidRPr="00D662A7">
        <w:rPr>
          <w:rFonts w:cs="Calibri"/>
        </w:rPr>
        <w:t xml:space="preserve"> et al. (2018). One participant gave dyskinesias as the reason for discontinuation, and one </w:t>
      </w:r>
      <w:r w:rsidRPr="00D662A7">
        <w:rPr>
          <w:lang w:eastAsia="en-GB"/>
        </w:rPr>
        <w:t>still on MPH at follow-up reported tics.</w:t>
      </w:r>
      <w:r w:rsidRPr="00D662A7">
        <w:rPr>
          <w:rStyle w:val="FootnoteReference"/>
        </w:rPr>
        <w:footnoteReference w:id="47"/>
      </w:r>
    </w:p>
    <w:p w14:paraId="5358C1AF" w14:textId="77777777" w:rsidR="00D84079" w:rsidRPr="00D662A7" w:rsidRDefault="00D84079" w:rsidP="00ED71C3">
      <w:pPr>
        <w:pStyle w:val="Heading4"/>
      </w:pPr>
      <w:r w:rsidRPr="00D662A7">
        <w:t>Proceed with Caution</w:t>
      </w:r>
    </w:p>
    <w:p w14:paraId="0F0B42C6" w14:textId="6D31BC11" w:rsidR="00D84079" w:rsidRPr="00D662A7" w:rsidRDefault="00D84079" w:rsidP="00D84079">
      <w:pPr>
        <w:rPr>
          <w:lang w:eastAsia="en-GB"/>
        </w:rPr>
      </w:pPr>
      <w:r w:rsidRPr="00D662A7">
        <w:rPr>
          <w:lang w:eastAsia="en-GB"/>
        </w:rPr>
        <w:t xml:space="preserve">One of the three non-comparative studies was the prospective open-label two-year extension study of 34 children with ADHD and comorbid tic disorders by </w:t>
      </w:r>
      <w:proofErr w:type="spellStart"/>
      <w:r w:rsidRPr="00D662A7">
        <w:rPr>
          <w:lang w:eastAsia="en-GB"/>
        </w:rPr>
        <w:t>Gadow</w:t>
      </w:r>
      <w:proofErr w:type="spellEnd"/>
      <w:r w:rsidRPr="00D662A7">
        <w:rPr>
          <w:lang w:eastAsia="en-GB"/>
        </w:rPr>
        <w:t xml:space="preserve"> et al. </w:t>
      </w:r>
      <w:r w:rsidRPr="00D662A7">
        <w:rPr>
          <w:rFonts w:cs="Calibri"/>
        </w:rPr>
        <w:lastRenderedPageBreak/>
        <w:t>(</w:t>
      </w:r>
      <w:proofErr w:type="spellStart"/>
      <w:r w:rsidRPr="00D662A7">
        <w:rPr>
          <w:rFonts w:cs="Calibri"/>
        </w:rPr>
        <w:t>Gadow</w:t>
      </w:r>
      <w:proofErr w:type="spellEnd"/>
      <w:r w:rsidRPr="00D662A7">
        <w:rPr>
          <w:rFonts w:cs="Calibri"/>
        </w:rPr>
        <w:t xml:space="preserve"> et al., 1999)</w:t>
      </w:r>
      <w:r w:rsidRPr="00D662A7">
        <w:rPr>
          <w:lang w:eastAsia="en-GB"/>
        </w:rPr>
        <w:t xml:space="preserve"> described earlier</w:t>
      </w:r>
      <w:r w:rsidRPr="00D662A7">
        <w:rPr>
          <w:rStyle w:val="FootnoteReference"/>
        </w:rPr>
        <w:footnoteReference w:id="48"/>
      </w:r>
      <w:r w:rsidRPr="00D662A7">
        <w:rPr>
          <w:lang w:eastAsia="en-GB"/>
        </w:rPr>
        <w:t xml:space="preserve">. Tic severity was rated at two-year follow-up by a clinician using the YGTSS, the TS-CGI, the Shapiro Tourette Severity Scale </w:t>
      </w:r>
      <w:r w:rsidR="00D662A7" w:rsidRPr="00D662A7">
        <w:rPr>
          <w:lang w:eastAsia="en-GB"/>
        </w:rPr>
        <w:t xml:space="preserve">(Shapiro et al., 1988) </w:t>
      </w:r>
      <w:r w:rsidRPr="00D662A7">
        <w:rPr>
          <w:lang w:eastAsia="en-GB"/>
        </w:rPr>
        <w:t>and the Tourette Syndrome Unified Rating Scale</w:t>
      </w:r>
      <w:r w:rsidR="00D662A7" w:rsidRPr="00D662A7">
        <w:rPr>
          <w:lang w:eastAsia="en-GB"/>
        </w:rPr>
        <w:t xml:space="preserve"> (</w:t>
      </w:r>
      <w:proofErr w:type="spellStart"/>
      <w:r w:rsidR="00D662A7" w:rsidRPr="00D662A7">
        <w:rPr>
          <w:lang w:eastAsia="en-GB"/>
        </w:rPr>
        <w:t>Kurlan</w:t>
      </w:r>
      <w:proofErr w:type="spellEnd"/>
      <w:r w:rsidR="00D662A7" w:rsidRPr="00D662A7">
        <w:rPr>
          <w:lang w:eastAsia="en-GB"/>
        </w:rPr>
        <w:t xml:space="preserve"> et. al., 1988)</w:t>
      </w:r>
      <w:r w:rsidRPr="00D662A7">
        <w:rPr>
          <w:lang w:eastAsia="en-GB"/>
        </w:rPr>
        <w:t xml:space="preserve">. They found no group trend for tics to worsen in frequency or severity during maintenance MPH treatment. The authors nevertheless urge caution when attempting to apply these group-level findings to individual cases of children with tic disorder. </w:t>
      </w:r>
    </w:p>
    <w:p w14:paraId="3E0D647F" w14:textId="77777777" w:rsidR="00D84079" w:rsidRPr="00D662A7" w:rsidRDefault="00D84079" w:rsidP="00ED71C3">
      <w:pPr>
        <w:pStyle w:val="Heading3"/>
      </w:pPr>
      <w:bookmarkStart w:id="68" w:name="_Case_reports_1"/>
      <w:bookmarkEnd w:id="68"/>
      <w:r w:rsidRPr="00D662A7">
        <w:t>Case reports</w:t>
      </w:r>
    </w:p>
    <w:p w14:paraId="22D52951" w14:textId="77777777" w:rsidR="00D84079" w:rsidRPr="00D662A7" w:rsidRDefault="00D84079" w:rsidP="00D84079">
      <w:pPr>
        <w:rPr>
          <w:lang w:eastAsia="en-GB"/>
        </w:rPr>
      </w:pPr>
      <w:r w:rsidRPr="00D662A7">
        <w:rPr>
          <w:lang w:eastAsia="en-GB"/>
        </w:rPr>
        <w:t xml:space="preserve">We coded the authors’ conclusion in two of the five case studies as </w:t>
      </w:r>
      <w:r w:rsidRPr="00D662A7">
        <w:rPr>
          <w:i/>
          <w:lang w:eastAsia="en-GB"/>
        </w:rPr>
        <w:t>Proceed with Caution</w:t>
      </w:r>
      <w:r w:rsidRPr="00D662A7">
        <w:rPr>
          <w:lang w:eastAsia="en-GB"/>
        </w:rPr>
        <w:t xml:space="preserve">, two as </w:t>
      </w:r>
      <w:r w:rsidRPr="00D662A7">
        <w:rPr>
          <w:i/>
          <w:lang w:eastAsia="en-GB"/>
        </w:rPr>
        <w:t>Unclear</w:t>
      </w:r>
      <w:r w:rsidRPr="00D662A7">
        <w:rPr>
          <w:lang w:eastAsia="en-GB"/>
        </w:rPr>
        <w:t xml:space="preserve">, and one as </w:t>
      </w:r>
      <w:r w:rsidRPr="00D662A7">
        <w:rPr>
          <w:i/>
          <w:lang w:eastAsia="en-GB"/>
        </w:rPr>
        <w:t>Not Safe</w:t>
      </w:r>
      <w:r w:rsidRPr="00D662A7">
        <w:rPr>
          <w:lang w:eastAsia="en-GB"/>
        </w:rPr>
        <w:t>.</w:t>
      </w:r>
    </w:p>
    <w:p w14:paraId="669EBF59" w14:textId="77777777" w:rsidR="00D84079" w:rsidRPr="00D662A7" w:rsidRDefault="00D84079" w:rsidP="00ED71C3">
      <w:pPr>
        <w:pStyle w:val="Heading4"/>
      </w:pPr>
      <w:r w:rsidRPr="00D662A7">
        <w:t>Proceed with Caution</w:t>
      </w:r>
    </w:p>
    <w:p w14:paraId="731F98A3" w14:textId="77777777" w:rsidR="00D84079" w:rsidRPr="00D662A7" w:rsidRDefault="00D84079" w:rsidP="00D84079">
      <w:pPr>
        <w:rPr>
          <w:lang w:eastAsia="en-GB"/>
        </w:rPr>
      </w:pPr>
      <w:proofErr w:type="spellStart"/>
      <w:r w:rsidRPr="00D662A7">
        <w:rPr>
          <w:lang w:eastAsia="en-GB"/>
        </w:rPr>
        <w:t>Sprafkin</w:t>
      </w:r>
      <w:proofErr w:type="spellEnd"/>
      <w:r w:rsidRPr="00D662A7">
        <w:rPr>
          <w:lang w:eastAsia="en-GB"/>
        </w:rPr>
        <w:t xml:space="preserve"> and </w:t>
      </w:r>
      <w:proofErr w:type="spellStart"/>
      <w:r w:rsidRPr="00D662A7">
        <w:rPr>
          <w:lang w:eastAsia="en-GB"/>
        </w:rPr>
        <w:t>Gadow</w:t>
      </w:r>
      <w:proofErr w:type="spellEnd"/>
      <w:r w:rsidRPr="00D662A7">
        <w:rPr>
          <w:lang w:eastAsia="en-GB"/>
        </w:rPr>
        <w:t xml:space="preserve"> </w:t>
      </w:r>
      <w:r w:rsidRPr="00D662A7">
        <w:rPr>
          <w:rFonts w:cs="Calibri"/>
          <w:sz w:val="22"/>
        </w:rPr>
        <w:t>(1993)</w:t>
      </w:r>
      <w:r w:rsidRPr="00D662A7">
        <w:rPr>
          <w:lang w:eastAsia="en-GB"/>
        </w:rPr>
        <w:t xml:space="preserve"> report two cases (Patient A and Patient B) in which children with tic disorder were treated with MPH for more than a year without major tic exacerbation. The cases reported in </w:t>
      </w:r>
      <w:proofErr w:type="spellStart"/>
      <w:r w:rsidRPr="00D662A7">
        <w:rPr>
          <w:lang w:eastAsia="en-GB"/>
        </w:rPr>
        <w:t>Kazanci</w:t>
      </w:r>
      <w:proofErr w:type="spellEnd"/>
      <w:r w:rsidRPr="00D662A7">
        <w:rPr>
          <w:lang w:eastAsia="en-GB"/>
        </w:rPr>
        <w:t xml:space="preserve"> et al </w:t>
      </w:r>
      <w:r w:rsidRPr="00D662A7">
        <w:rPr>
          <w:rFonts w:cs="Calibri"/>
        </w:rPr>
        <w:t>(2015)</w:t>
      </w:r>
      <w:r w:rsidRPr="00D662A7">
        <w:rPr>
          <w:lang w:eastAsia="en-GB"/>
        </w:rPr>
        <w:t xml:space="preserve"> (Cases 2 &amp; 3) were both cases in which dyskinesias occurred shortly after the first dose of MPH but did not recur within the next 12 months of MPH treatment. </w:t>
      </w:r>
    </w:p>
    <w:p w14:paraId="1E2FA738" w14:textId="77777777" w:rsidR="00D84079" w:rsidRPr="00D662A7" w:rsidRDefault="00D84079" w:rsidP="00ED71C3">
      <w:pPr>
        <w:pStyle w:val="Heading4"/>
      </w:pPr>
      <w:r w:rsidRPr="00D662A7">
        <w:t>Not Safe</w:t>
      </w:r>
    </w:p>
    <w:p w14:paraId="252EC884" w14:textId="77777777" w:rsidR="00D84079" w:rsidRPr="00D662A7" w:rsidRDefault="00D84079" w:rsidP="00D84079">
      <w:pPr>
        <w:rPr>
          <w:lang w:eastAsia="en-GB"/>
        </w:rPr>
      </w:pPr>
      <w:r w:rsidRPr="00D662A7">
        <w:rPr>
          <w:lang w:eastAsia="en-GB"/>
        </w:rPr>
        <w:t xml:space="preserve">Wiener et al. </w:t>
      </w:r>
      <w:r w:rsidRPr="00D662A7">
        <w:rPr>
          <w:rFonts w:cs="Calibri"/>
        </w:rPr>
        <w:t>(1978)</w:t>
      </w:r>
      <w:r w:rsidRPr="00D662A7">
        <w:rPr>
          <w:lang w:eastAsia="en-GB"/>
        </w:rPr>
        <w:t xml:space="preserve"> report a case of a boy who developed a chorea that resolved on cessation of his MPH treatment.</w:t>
      </w:r>
    </w:p>
    <w:p w14:paraId="0ECF3A23" w14:textId="77777777" w:rsidR="00D84079" w:rsidRPr="00D662A7" w:rsidRDefault="00D84079" w:rsidP="00ED71C3">
      <w:pPr>
        <w:pStyle w:val="Heading4"/>
      </w:pPr>
      <w:r w:rsidRPr="00D662A7">
        <w:lastRenderedPageBreak/>
        <w:t>Unclear</w:t>
      </w:r>
    </w:p>
    <w:p w14:paraId="3EF5FD73" w14:textId="77777777" w:rsidR="00D84079" w:rsidRPr="00D662A7" w:rsidRDefault="00D84079" w:rsidP="00D84079">
      <w:pPr>
        <w:rPr>
          <w:lang w:eastAsia="en-GB"/>
        </w:rPr>
      </w:pPr>
      <w:proofErr w:type="spellStart"/>
      <w:r w:rsidRPr="00D662A7">
        <w:rPr>
          <w:lang w:eastAsia="en-GB"/>
        </w:rPr>
        <w:t>Waserman</w:t>
      </w:r>
      <w:proofErr w:type="spellEnd"/>
      <w:r w:rsidRPr="00D662A7">
        <w:rPr>
          <w:lang w:eastAsia="en-GB"/>
        </w:rPr>
        <w:t xml:space="preserve"> et al </w:t>
      </w:r>
      <w:r w:rsidRPr="00D662A7">
        <w:rPr>
          <w:rFonts w:cs="Calibri"/>
        </w:rPr>
        <w:t>(1983)</w:t>
      </w:r>
      <w:r w:rsidRPr="00D662A7">
        <w:rPr>
          <w:lang w:eastAsia="en-GB"/>
        </w:rPr>
        <w:t xml:space="preserve"> describes a pair of twin boys with Tourette Syndrome, one of whom (“DV”) was treated for several years with MPH for comorbid ADHD until he “outgrew” his ADHD at 13 years. By age 16 years, his Tourette Syndrome had largely abated. </w:t>
      </w:r>
    </w:p>
    <w:p w14:paraId="7E08E91C" w14:textId="77777777" w:rsidR="00D84079" w:rsidRPr="00D662A7" w:rsidRDefault="00D84079" w:rsidP="00D84079">
      <w:pPr>
        <w:rPr>
          <w:lang w:eastAsia="en-GB"/>
        </w:rPr>
      </w:pPr>
      <w:r w:rsidRPr="00D662A7">
        <w:rPr>
          <w:lang w:eastAsia="en-GB"/>
        </w:rPr>
        <w:t xml:space="preserve">The case reported by Lee </w:t>
      </w:r>
      <w:r w:rsidRPr="00D662A7">
        <w:rPr>
          <w:rFonts w:cs="Calibri"/>
        </w:rPr>
        <w:t>(2016)</w:t>
      </w:r>
      <w:r w:rsidRPr="00D662A7">
        <w:rPr>
          <w:lang w:eastAsia="en-GB"/>
        </w:rPr>
        <w:t xml:space="preserve"> and described earlier, of a woman treated with MPH who developed schizophrenia, also developed severe parkinsonism</w:t>
      </w:r>
      <w:r w:rsidRPr="00D662A7">
        <w:rPr>
          <w:rStyle w:val="FootnoteReference"/>
        </w:rPr>
        <w:footnoteReference w:id="49"/>
      </w:r>
      <w:r w:rsidRPr="00D662A7">
        <w:rPr>
          <w:lang w:eastAsia="en-GB"/>
        </w:rPr>
        <w:t>.</w:t>
      </w:r>
    </w:p>
    <w:p w14:paraId="36E3CA30" w14:textId="77777777" w:rsidR="00D84079" w:rsidRPr="00D662A7" w:rsidRDefault="00D84079" w:rsidP="00835A6D">
      <w:pPr>
        <w:pStyle w:val="Heading2"/>
      </w:pPr>
      <w:bookmarkStart w:id="69" w:name="_Ref4000216"/>
      <w:bookmarkStart w:id="70" w:name="_Ref4000392"/>
      <w:bookmarkStart w:id="71" w:name="_Toc4076825"/>
      <w:r w:rsidRPr="00D662A7">
        <w:t>Seizures or EEG abnormalities</w:t>
      </w:r>
      <w:bookmarkEnd w:id="69"/>
      <w:bookmarkEnd w:id="70"/>
      <w:bookmarkEnd w:id="71"/>
    </w:p>
    <w:p w14:paraId="5BD06662" w14:textId="77777777" w:rsidR="00D84079" w:rsidRPr="00D662A7" w:rsidRDefault="00D84079" w:rsidP="00D84079">
      <w:pPr>
        <w:rPr>
          <w:lang w:eastAsia="en-GB"/>
        </w:rPr>
      </w:pPr>
      <w:r w:rsidRPr="00D662A7">
        <w:rPr>
          <w:lang w:eastAsia="en-GB"/>
        </w:rPr>
        <w:t xml:space="preserve">Nine studies reported on seizures or EEG abnormalities as a potential adverse outcome of MPH treatment: two comparative studies, four non-comparative group studies, and three case reports. The evidence regarding seizures or EEG abnormalities is summarised in </w:t>
      </w:r>
      <w:r w:rsidRPr="00D662A7">
        <w:t xml:space="preserve">Table </w:t>
      </w:r>
      <w:r w:rsidRPr="00D662A7">
        <w:rPr>
          <w:noProof/>
        </w:rPr>
        <w:t>17</w:t>
      </w:r>
      <w:r w:rsidRPr="00D662A7">
        <w:rPr>
          <w:lang w:eastAsia="en-GB"/>
        </w:rPr>
        <w:t>.</w:t>
      </w:r>
    </w:p>
    <w:p w14:paraId="64F49A5C" w14:textId="77777777" w:rsidR="00D84079" w:rsidRPr="00D662A7" w:rsidRDefault="00D84079" w:rsidP="00ED71C3">
      <w:pPr>
        <w:pStyle w:val="Heading3"/>
      </w:pPr>
      <w:bookmarkStart w:id="72" w:name="_Comparative_group_studies_8"/>
      <w:bookmarkEnd w:id="72"/>
      <w:r w:rsidRPr="00D662A7">
        <w:t>Comparative group studies</w:t>
      </w:r>
    </w:p>
    <w:p w14:paraId="16D2B6AF" w14:textId="77777777" w:rsidR="00D84079" w:rsidRPr="00D662A7" w:rsidRDefault="00D84079" w:rsidP="00D84079">
      <w:r w:rsidRPr="00D662A7">
        <w:t xml:space="preserve">We coded the results of one of the two comparative studies as </w:t>
      </w:r>
      <w:r w:rsidRPr="00D662A7">
        <w:rPr>
          <w:i/>
        </w:rPr>
        <w:t xml:space="preserve">Unclear </w:t>
      </w:r>
      <w:r w:rsidRPr="00D662A7">
        <w:t xml:space="preserve">and one as </w:t>
      </w:r>
      <w:r w:rsidRPr="00D662A7">
        <w:rPr>
          <w:i/>
        </w:rPr>
        <w:t>Proceed with Caution</w:t>
      </w:r>
      <w:r w:rsidRPr="00D662A7">
        <w:t>.</w:t>
      </w:r>
    </w:p>
    <w:p w14:paraId="2CB70355" w14:textId="77777777" w:rsidR="00D84079" w:rsidRPr="00D662A7" w:rsidRDefault="00D84079" w:rsidP="00ED71C3">
      <w:pPr>
        <w:pStyle w:val="Heading4"/>
      </w:pPr>
      <w:r w:rsidRPr="00D662A7">
        <w:t>Proceed with Caution</w:t>
      </w:r>
    </w:p>
    <w:p w14:paraId="0407B0B8" w14:textId="77777777" w:rsidR="00D84079" w:rsidRPr="00D662A7" w:rsidRDefault="00D84079" w:rsidP="00D84079">
      <w:pPr>
        <w:rPr>
          <w:lang w:eastAsia="en-GB"/>
        </w:rPr>
      </w:pPr>
      <w:r w:rsidRPr="00D662A7">
        <w:rPr>
          <w:lang w:eastAsia="en-GB"/>
        </w:rPr>
        <w:t xml:space="preserve">Hemmer et al. </w:t>
      </w:r>
      <w:r w:rsidRPr="00D662A7">
        <w:rPr>
          <w:rFonts w:cs="Calibri"/>
        </w:rPr>
        <w:t>(2001)</w:t>
      </w:r>
      <w:r w:rsidRPr="00D662A7">
        <w:rPr>
          <w:lang w:eastAsia="en-GB"/>
        </w:rPr>
        <w:t xml:space="preserve"> conducted a retrospective chart review of 234 children with ADHD who had been routinely evaluated with EEG at initial assessment. Of these, 205 opted for stimulant therapy. Four developed seizures, three substantially after MPH treatment initiation (10 months; 12 months; 3 years). The inference from their analysis of the </w:t>
      </w:r>
      <w:r w:rsidRPr="00D662A7">
        <w:rPr>
          <w:lang w:eastAsia="en-GB"/>
        </w:rPr>
        <w:lastRenderedPageBreak/>
        <w:t xml:space="preserve">relationship between MPH treatment, baseline EEG and risk of seizures is unclear but the authors suggest that EEG screening may be useful. </w:t>
      </w:r>
    </w:p>
    <w:p w14:paraId="36133858" w14:textId="77777777" w:rsidR="00D84079" w:rsidRPr="00D662A7" w:rsidRDefault="00D84079" w:rsidP="00ED71C3">
      <w:pPr>
        <w:pStyle w:val="Heading4"/>
      </w:pPr>
      <w:r w:rsidRPr="00D662A7">
        <w:t>Unclear</w:t>
      </w:r>
    </w:p>
    <w:p w14:paraId="1A6555F9" w14:textId="77777777" w:rsidR="00D84079" w:rsidRPr="00D662A7" w:rsidRDefault="00D84079" w:rsidP="00D84079">
      <w:pPr>
        <w:rPr>
          <w:lang w:eastAsia="en-GB"/>
        </w:rPr>
      </w:pPr>
      <w:r w:rsidRPr="00D662A7">
        <w:rPr>
          <w:lang w:eastAsia="en-GB"/>
        </w:rPr>
        <w:t xml:space="preserve">The large cohort study by Cortese et al. </w:t>
      </w:r>
      <w:r w:rsidRPr="00D662A7">
        <w:rPr>
          <w:rFonts w:cs="Calibri"/>
        </w:rPr>
        <w:t>(2015)</w:t>
      </w:r>
      <w:r w:rsidRPr="00D662A7">
        <w:rPr>
          <w:lang w:eastAsia="en-GB"/>
        </w:rPr>
        <w:t xml:space="preserve"> compared AEs on MPH with those on atomoxetine.</w:t>
      </w:r>
      <w:r w:rsidRPr="00D662A7">
        <w:rPr>
          <w:rStyle w:val="FootnoteReference"/>
          <w:rFonts w:cs="Calibri"/>
          <w:color w:val="000000"/>
          <w:lang w:eastAsia="en-GB"/>
        </w:rPr>
        <w:t xml:space="preserve"> </w:t>
      </w:r>
      <w:r w:rsidRPr="00D662A7">
        <w:rPr>
          <w:rStyle w:val="FootnoteReference"/>
        </w:rPr>
        <w:footnoteReference w:id="50"/>
      </w:r>
      <w:r w:rsidRPr="00D662A7">
        <w:rPr>
          <w:lang w:eastAsia="en-GB"/>
        </w:rPr>
        <w:t xml:space="preserve"> They found no difference between the two drugs for seizure AEs. While we coded the overall result of the study as </w:t>
      </w:r>
      <w:r w:rsidRPr="00D662A7">
        <w:rPr>
          <w:i/>
          <w:lang w:eastAsia="en-GB"/>
        </w:rPr>
        <w:t>Favours MPH</w:t>
      </w:r>
      <w:r w:rsidRPr="00D662A7">
        <w:rPr>
          <w:lang w:eastAsia="en-GB"/>
        </w:rPr>
        <w:t xml:space="preserve">, we coded the result for this outcome as </w:t>
      </w:r>
      <w:r w:rsidRPr="00D662A7">
        <w:rPr>
          <w:i/>
          <w:lang w:eastAsia="en-GB"/>
        </w:rPr>
        <w:t>Unclear</w:t>
      </w:r>
      <w:r w:rsidRPr="00D662A7">
        <w:rPr>
          <w:lang w:eastAsia="en-GB"/>
        </w:rPr>
        <w:t xml:space="preserve">. </w:t>
      </w:r>
    </w:p>
    <w:p w14:paraId="3C9FE84E" w14:textId="77777777" w:rsidR="00D84079" w:rsidRPr="00D662A7" w:rsidRDefault="00D84079" w:rsidP="00ED71C3">
      <w:pPr>
        <w:pStyle w:val="Heading3"/>
      </w:pPr>
      <w:r w:rsidRPr="00D662A7">
        <w:t>Non-comparative group studies</w:t>
      </w:r>
    </w:p>
    <w:p w14:paraId="5D9FD0AD" w14:textId="77777777" w:rsidR="00D84079" w:rsidRPr="00D662A7" w:rsidRDefault="00D84079" w:rsidP="00D84079">
      <w:pPr>
        <w:rPr>
          <w:lang w:eastAsia="en-GB"/>
        </w:rPr>
      </w:pPr>
      <w:r w:rsidRPr="00D662A7">
        <w:rPr>
          <w:lang w:eastAsia="en-GB"/>
        </w:rPr>
        <w:t xml:space="preserve">Three of the four non-comparative studies were on children and adolescents with a history of seizures and/or EEG abnormalities. We coded the authors’ conclusions in two these studies as </w:t>
      </w:r>
      <w:r w:rsidRPr="00D662A7">
        <w:rPr>
          <w:i/>
          <w:lang w:eastAsia="en-GB"/>
        </w:rPr>
        <w:t>Safe</w:t>
      </w:r>
      <w:r w:rsidRPr="00D662A7">
        <w:rPr>
          <w:lang w:eastAsia="en-GB"/>
        </w:rPr>
        <w:t xml:space="preserve">, and one as </w:t>
      </w:r>
      <w:r w:rsidRPr="00D662A7">
        <w:rPr>
          <w:i/>
          <w:lang w:eastAsia="en-GB"/>
        </w:rPr>
        <w:t>Proceed with Caution</w:t>
      </w:r>
      <w:r w:rsidRPr="00D662A7">
        <w:rPr>
          <w:lang w:eastAsia="en-GB"/>
        </w:rPr>
        <w:t xml:space="preserve">. The fourth was a study of children who had an EEG evaluation at initial assessment. We coded the authors’ conclusion as </w:t>
      </w:r>
      <w:r w:rsidRPr="00D662A7">
        <w:rPr>
          <w:i/>
          <w:lang w:eastAsia="en-GB"/>
        </w:rPr>
        <w:t>Unclear</w:t>
      </w:r>
      <w:r w:rsidRPr="00D662A7">
        <w:rPr>
          <w:lang w:eastAsia="en-GB"/>
        </w:rPr>
        <w:t xml:space="preserve">. </w:t>
      </w:r>
    </w:p>
    <w:p w14:paraId="57155C9B" w14:textId="77777777" w:rsidR="00D84079" w:rsidRPr="00D662A7" w:rsidRDefault="00D84079" w:rsidP="00ED71C3">
      <w:pPr>
        <w:pStyle w:val="Heading4"/>
      </w:pPr>
      <w:r w:rsidRPr="00D662A7">
        <w:t>Safe</w:t>
      </w:r>
    </w:p>
    <w:p w14:paraId="698E8564" w14:textId="77777777" w:rsidR="00D84079" w:rsidRPr="00D662A7" w:rsidRDefault="00D84079" w:rsidP="00D84079">
      <w:pPr>
        <w:rPr>
          <w:lang w:eastAsia="en-GB"/>
        </w:rPr>
      </w:pPr>
      <w:proofErr w:type="spellStart"/>
      <w:r w:rsidRPr="00D662A7">
        <w:rPr>
          <w:lang w:eastAsia="en-GB"/>
        </w:rPr>
        <w:t>Gucuyener</w:t>
      </w:r>
      <w:proofErr w:type="spellEnd"/>
      <w:r w:rsidRPr="00D662A7">
        <w:rPr>
          <w:lang w:eastAsia="en-GB"/>
        </w:rPr>
        <w:t xml:space="preserve"> et al. </w:t>
      </w:r>
      <w:r w:rsidRPr="00D662A7">
        <w:rPr>
          <w:rFonts w:cs="Calibri"/>
        </w:rPr>
        <w:t>(2003)</w:t>
      </w:r>
      <w:r w:rsidRPr="00D662A7">
        <w:rPr>
          <w:lang w:eastAsia="en-GB"/>
        </w:rPr>
        <w:t xml:space="preserve"> conducted a prospective 12-month open-label trial of MPH and concurrent anticonvulsant treatment in children with ADHD with either a history of seizures (N=57) or evidence of EEG abnormalities (N=62), and evaluated them at three-month intervals, including the 12 month follow-up. They found no change in seizure frequency, and an improvement on EEG measures. </w:t>
      </w:r>
    </w:p>
    <w:p w14:paraId="1BA03A6D" w14:textId="77777777" w:rsidR="00D84079" w:rsidRPr="00D662A7" w:rsidRDefault="00D84079" w:rsidP="00D84079">
      <w:pPr>
        <w:rPr>
          <w:lang w:eastAsia="en-GB"/>
        </w:rPr>
      </w:pPr>
      <w:proofErr w:type="spellStart"/>
      <w:r w:rsidRPr="00D662A7">
        <w:rPr>
          <w:lang w:eastAsia="en-GB"/>
        </w:rPr>
        <w:lastRenderedPageBreak/>
        <w:t>Fosi</w:t>
      </w:r>
      <w:proofErr w:type="spellEnd"/>
      <w:r w:rsidRPr="00D662A7">
        <w:rPr>
          <w:lang w:eastAsia="en-GB"/>
        </w:rPr>
        <w:t xml:space="preserve"> et al. </w:t>
      </w:r>
      <w:r w:rsidRPr="00D662A7">
        <w:rPr>
          <w:rFonts w:cs="Calibri"/>
        </w:rPr>
        <w:t>(2013)</w:t>
      </w:r>
      <w:r w:rsidRPr="00D662A7">
        <w:rPr>
          <w:lang w:eastAsia="en-GB"/>
        </w:rPr>
        <w:t xml:space="preserve"> conducted a retrospective chart review on eighteen children and adolescents with seizures and found no increase in seizure rate since starting MPH, nor any discontinuations due to seizures in case of treatment over 12 months. </w:t>
      </w:r>
    </w:p>
    <w:p w14:paraId="6CEE2D0E" w14:textId="77777777" w:rsidR="00D84079" w:rsidRPr="00D662A7" w:rsidRDefault="00D84079" w:rsidP="00ED71C3">
      <w:pPr>
        <w:pStyle w:val="Heading4"/>
      </w:pPr>
      <w:r w:rsidRPr="00D662A7">
        <w:t>Proceed with Caution</w:t>
      </w:r>
    </w:p>
    <w:p w14:paraId="08435A8A" w14:textId="77777777" w:rsidR="00D84079" w:rsidRPr="00D662A7" w:rsidRDefault="00D84079" w:rsidP="00D84079">
      <w:pPr>
        <w:rPr>
          <w:lang w:eastAsia="en-GB"/>
        </w:rPr>
      </w:pPr>
      <w:r w:rsidRPr="00D662A7">
        <w:t>In a retrospective chart review (</w:t>
      </w:r>
      <w:proofErr w:type="spellStart"/>
      <w:r w:rsidRPr="00D662A7">
        <w:t>Mulas</w:t>
      </w:r>
      <w:proofErr w:type="spellEnd"/>
      <w:r w:rsidRPr="00D662A7">
        <w:t xml:space="preserve"> et al., 2014) found that in 17 children with comorbid epilepsy treated with MPH children, no new EEG alterations and 3 EEG normalizations were observed, although the authors caution that the type of anti-convulsive drug prescribed should be considered.</w:t>
      </w:r>
    </w:p>
    <w:p w14:paraId="1AF51BB4" w14:textId="77777777" w:rsidR="00D84079" w:rsidRPr="00D662A7" w:rsidRDefault="00D84079" w:rsidP="00ED71C3">
      <w:pPr>
        <w:pStyle w:val="Heading4"/>
      </w:pPr>
      <w:r w:rsidRPr="00D662A7">
        <w:t>Unclear</w:t>
      </w:r>
    </w:p>
    <w:p w14:paraId="48348B60" w14:textId="77777777" w:rsidR="00D84079" w:rsidRPr="00D662A7" w:rsidRDefault="00D84079" w:rsidP="00D84079">
      <w:pPr>
        <w:rPr>
          <w:lang w:eastAsia="en-GB"/>
        </w:rPr>
      </w:pPr>
      <w:r w:rsidRPr="00D662A7">
        <w:rPr>
          <w:lang w:eastAsia="en-GB"/>
        </w:rPr>
        <w:t xml:space="preserve">A study by Weiss et al </w:t>
      </w:r>
      <w:r w:rsidRPr="00D662A7">
        <w:rPr>
          <w:rFonts w:cs="Calibri"/>
        </w:rPr>
        <w:t>(1975)</w:t>
      </w:r>
      <w:r w:rsidRPr="00D662A7">
        <w:rPr>
          <w:lang w:eastAsia="en-GB"/>
        </w:rPr>
        <w:t xml:space="preserve"> includes a report on 22 out of 24 children who had EEG evaluations at their initial assessment for ADHD, and again at five-year follow-up after at least 3 years of MPH. There was no clear pattern of change in EEG abnormality in either direction.</w:t>
      </w:r>
    </w:p>
    <w:p w14:paraId="22D3CA8D" w14:textId="77777777" w:rsidR="00D84079" w:rsidRPr="00D662A7" w:rsidRDefault="00D84079" w:rsidP="00ED71C3">
      <w:pPr>
        <w:pStyle w:val="Heading3"/>
      </w:pPr>
      <w:r w:rsidRPr="00D662A7">
        <w:t>Case reports</w:t>
      </w:r>
    </w:p>
    <w:p w14:paraId="320E538C" w14:textId="77777777" w:rsidR="00D84079" w:rsidRPr="00D662A7" w:rsidRDefault="00D84079" w:rsidP="00D84079">
      <w:pPr>
        <w:rPr>
          <w:lang w:eastAsia="en-GB"/>
        </w:rPr>
      </w:pPr>
      <w:r w:rsidRPr="00D662A7">
        <w:rPr>
          <w:lang w:eastAsia="en-GB"/>
        </w:rPr>
        <w:t xml:space="preserve">We coded the authors’ conclusion in one case report as </w:t>
      </w:r>
      <w:r w:rsidRPr="00D662A7">
        <w:rPr>
          <w:i/>
          <w:lang w:eastAsia="en-GB"/>
        </w:rPr>
        <w:t xml:space="preserve">Safe </w:t>
      </w:r>
      <w:r w:rsidRPr="00D662A7">
        <w:rPr>
          <w:lang w:eastAsia="en-GB"/>
        </w:rPr>
        <w:t>and the other as</w:t>
      </w:r>
      <w:r w:rsidRPr="00D662A7">
        <w:rPr>
          <w:i/>
          <w:lang w:eastAsia="en-GB"/>
        </w:rPr>
        <w:t xml:space="preserve"> Proceed with Caution</w:t>
      </w:r>
      <w:r w:rsidRPr="00D662A7">
        <w:rPr>
          <w:lang w:eastAsia="en-GB"/>
        </w:rPr>
        <w:t>.</w:t>
      </w:r>
    </w:p>
    <w:p w14:paraId="6AA7F0E8" w14:textId="77777777" w:rsidR="00D84079" w:rsidRPr="00D662A7" w:rsidRDefault="00D84079" w:rsidP="00ED71C3">
      <w:pPr>
        <w:pStyle w:val="Heading4"/>
      </w:pPr>
      <w:r w:rsidRPr="00D662A7">
        <w:t>Safe</w:t>
      </w:r>
    </w:p>
    <w:p w14:paraId="47D1E652" w14:textId="77777777" w:rsidR="00D84079" w:rsidRPr="00D662A7" w:rsidRDefault="00D84079" w:rsidP="00D84079">
      <w:pPr>
        <w:rPr>
          <w:lang w:eastAsia="en-GB"/>
        </w:rPr>
      </w:pPr>
      <w:proofErr w:type="spellStart"/>
      <w:r w:rsidRPr="00D662A7">
        <w:rPr>
          <w:lang w:eastAsia="en-GB"/>
        </w:rPr>
        <w:t>Ickowicz</w:t>
      </w:r>
      <w:proofErr w:type="spellEnd"/>
      <w:r w:rsidRPr="00D662A7">
        <w:rPr>
          <w:lang w:eastAsia="en-GB"/>
        </w:rPr>
        <w:t xml:space="preserve"> </w:t>
      </w:r>
      <w:r w:rsidRPr="00D662A7">
        <w:rPr>
          <w:rFonts w:cs="Calibri"/>
          <w:sz w:val="22"/>
        </w:rPr>
        <w:t>(2002)</w:t>
      </w:r>
      <w:r w:rsidRPr="00D662A7">
        <w:rPr>
          <w:lang w:eastAsia="en-GB"/>
        </w:rPr>
        <w:t xml:space="preserve"> reported a case in which a 14 year-old boy treated with MPH had a grand mal seizure following adjunct treatment with </w:t>
      </w:r>
      <w:r w:rsidRPr="00D662A7">
        <w:t>bupropion</w:t>
      </w:r>
      <w:r w:rsidRPr="00D662A7">
        <w:rPr>
          <w:lang w:eastAsia="en-GB"/>
        </w:rPr>
        <w:t xml:space="preserve">; discontinuation of </w:t>
      </w:r>
      <w:proofErr w:type="spellStart"/>
      <w:r w:rsidRPr="00D662A7">
        <w:rPr>
          <w:lang w:eastAsia="en-GB"/>
        </w:rPr>
        <w:t>buproprion</w:t>
      </w:r>
      <w:proofErr w:type="spellEnd"/>
      <w:r w:rsidRPr="00D662A7">
        <w:rPr>
          <w:lang w:eastAsia="en-GB"/>
        </w:rPr>
        <w:t xml:space="preserve"> resolved the seizures. </w:t>
      </w:r>
    </w:p>
    <w:p w14:paraId="5A7DC329" w14:textId="77777777" w:rsidR="00D84079" w:rsidRPr="00D662A7" w:rsidRDefault="00D84079" w:rsidP="00D84079">
      <w:pPr>
        <w:rPr>
          <w:lang w:eastAsia="en-GB"/>
        </w:rPr>
      </w:pPr>
      <w:proofErr w:type="spellStart"/>
      <w:r w:rsidRPr="00D662A7">
        <w:rPr>
          <w:lang w:eastAsia="en-GB"/>
        </w:rPr>
        <w:lastRenderedPageBreak/>
        <w:t>Socanksi</w:t>
      </w:r>
      <w:proofErr w:type="spellEnd"/>
      <w:r w:rsidRPr="00D662A7">
        <w:rPr>
          <w:lang w:eastAsia="en-GB"/>
        </w:rPr>
        <w:t xml:space="preserve"> et al. </w:t>
      </w:r>
      <w:r w:rsidRPr="00D662A7">
        <w:rPr>
          <w:rFonts w:cs="Calibri"/>
        </w:rPr>
        <w:t>(2018)</w:t>
      </w:r>
      <w:r w:rsidRPr="00D662A7">
        <w:rPr>
          <w:lang w:eastAsia="en-GB"/>
        </w:rPr>
        <w:t xml:space="preserve"> reported a case of a boy with ADHD who also had drug-resistant epilepsy caused by hypothalamic tumour. The boy was successfully treated with MPH without aggravation of his epilepsy. </w:t>
      </w:r>
    </w:p>
    <w:p w14:paraId="25B4E0E6" w14:textId="77777777" w:rsidR="00D84079" w:rsidRPr="00D662A7" w:rsidRDefault="00D84079" w:rsidP="00ED71C3">
      <w:pPr>
        <w:pStyle w:val="Heading4"/>
      </w:pPr>
      <w:r w:rsidRPr="00D662A7">
        <w:t>Proceed with Caution</w:t>
      </w:r>
    </w:p>
    <w:p w14:paraId="2724ABB3" w14:textId="77777777" w:rsidR="00D84079" w:rsidRPr="00D662A7" w:rsidRDefault="00D84079" w:rsidP="00D84079">
      <w:pPr>
        <w:rPr>
          <w:lang w:eastAsia="en-GB"/>
        </w:rPr>
      </w:pPr>
      <w:r w:rsidRPr="00D662A7">
        <w:rPr>
          <w:lang w:eastAsia="en-GB"/>
        </w:rPr>
        <w:t xml:space="preserve">Schertz and Steinberg </w:t>
      </w:r>
      <w:r w:rsidRPr="00D662A7">
        <w:t>(2008)</w:t>
      </w:r>
      <w:r w:rsidRPr="00D662A7">
        <w:rPr>
          <w:lang w:eastAsia="en-GB"/>
        </w:rPr>
        <w:t xml:space="preserve"> report a case of a 12 year old girl who has been treated for ADHD with MPH since age 4, but who developed seizures after concomitant treatment with sertraline for anxiety disorder. The authors propose that combination of MPH and sertraline should be investigated as a risk factor for seizures.</w:t>
      </w:r>
    </w:p>
    <w:p w14:paraId="44DBCB31" w14:textId="77777777" w:rsidR="00D84079" w:rsidRPr="00D662A7" w:rsidRDefault="00D84079" w:rsidP="00ED71C3">
      <w:pPr>
        <w:pStyle w:val="Heading2"/>
      </w:pPr>
      <w:bookmarkStart w:id="73" w:name="_Ref3822752"/>
      <w:bookmarkStart w:id="74" w:name="_Toc4076826"/>
      <w:r w:rsidRPr="00D662A7">
        <w:t>Sleep disorders</w:t>
      </w:r>
      <w:bookmarkEnd w:id="73"/>
      <w:bookmarkEnd w:id="74"/>
    </w:p>
    <w:p w14:paraId="3F0EF67C" w14:textId="77777777" w:rsidR="00D84079" w:rsidRPr="00D662A7" w:rsidRDefault="00D84079" w:rsidP="00D84079">
      <w:pPr>
        <w:rPr>
          <w:lang w:eastAsia="en-GB"/>
        </w:rPr>
      </w:pPr>
      <w:r w:rsidRPr="00D662A7">
        <w:rPr>
          <w:lang w:eastAsia="en-GB"/>
        </w:rPr>
        <w:t xml:space="preserve">Eleven studies reported on sleep disorders as a potential adverse outcome of long-term MPH treatment: five comparative studies, three non-comparative studies and three case reports. The evidence regarding sleep disorders is summarised in </w:t>
      </w:r>
      <w:r w:rsidRPr="00D662A7">
        <w:t xml:space="preserve">Table </w:t>
      </w:r>
      <w:r w:rsidRPr="00D662A7">
        <w:rPr>
          <w:noProof/>
        </w:rPr>
        <w:t>18</w:t>
      </w:r>
      <w:r w:rsidRPr="00D662A7">
        <w:rPr>
          <w:lang w:eastAsia="en-GB"/>
        </w:rPr>
        <w:t xml:space="preserve">. </w:t>
      </w:r>
    </w:p>
    <w:p w14:paraId="3C12CB2A" w14:textId="77777777" w:rsidR="00D84079" w:rsidRPr="00D662A7" w:rsidRDefault="00D84079" w:rsidP="00ED71C3">
      <w:pPr>
        <w:pStyle w:val="Heading3"/>
      </w:pPr>
      <w:bookmarkStart w:id="75" w:name="_Comparative_group_studies_3"/>
      <w:bookmarkEnd w:id="75"/>
      <w:r w:rsidRPr="00D662A7">
        <w:t>Comparative group studies</w:t>
      </w:r>
    </w:p>
    <w:p w14:paraId="3808D51D" w14:textId="77777777" w:rsidR="00D84079" w:rsidRPr="00D662A7" w:rsidRDefault="00D84079" w:rsidP="00D84079">
      <w:pPr>
        <w:rPr>
          <w:lang w:eastAsia="en-GB"/>
        </w:rPr>
      </w:pPr>
      <w:r w:rsidRPr="00D662A7">
        <w:rPr>
          <w:lang w:eastAsia="en-GB"/>
        </w:rPr>
        <w:t xml:space="preserve">All five comparative studies were cohort studies. We coded one as </w:t>
      </w:r>
      <w:r w:rsidRPr="00D662A7">
        <w:rPr>
          <w:i/>
          <w:lang w:eastAsia="en-GB"/>
        </w:rPr>
        <w:t xml:space="preserve">Favours Comparator </w:t>
      </w:r>
      <w:r w:rsidRPr="00D662A7">
        <w:rPr>
          <w:lang w:eastAsia="en-GB"/>
        </w:rPr>
        <w:t>for this outcome</w:t>
      </w:r>
      <w:r w:rsidRPr="00D662A7">
        <w:rPr>
          <w:i/>
          <w:lang w:eastAsia="en-GB"/>
        </w:rPr>
        <w:t xml:space="preserve"> </w:t>
      </w:r>
      <w:r w:rsidRPr="00D662A7">
        <w:rPr>
          <w:lang w:eastAsia="en-GB"/>
        </w:rPr>
        <w:t xml:space="preserve">although we coded the overall result as </w:t>
      </w:r>
      <w:r w:rsidRPr="00D662A7">
        <w:rPr>
          <w:i/>
          <w:lang w:eastAsia="en-GB"/>
        </w:rPr>
        <w:t>Favours MPH</w:t>
      </w:r>
      <w:r w:rsidRPr="00D662A7">
        <w:rPr>
          <w:lang w:eastAsia="en-GB"/>
        </w:rPr>
        <w:t>. We coded the results of the other four comparative studies (two against no current treatment or placebo; one against atomoxetine; one against other stimulants) as</w:t>
      </w:r>
      <w:r w:rsidRPr="00D662A7">
        <w:rPr>
          <w:i/>
          <w:lang w:eastAsia="en-GB"/>
        </w:rPr>
        <w:t xml:space="preserve"> Unclear.</w:t>
      </w:r>
    </w:p>
    <w:p w14:paraId="45E47E9E" w14:textId="77777777" w:rsidR="00D84079" w:rsidRPr="00D662A7" w:rsidRDefault="00D84079" w:rsidP="00ED71C3">
      <w:pPr>
        <w:pStyle w:val="Heading4"/>
      </w:pPr>
      <w:r w:rsidRPr="00D662A7">
        <w:lastRenderedPageBreak/>
        <w:t xml:space="preserve">Favours comparator </w:t>
      </w:r>
    </w:p>
    <w:p w14:paraId="69DA5F5E" w14:textId="77777777" w:rsidR="00D84079" w:rsidRPr="00D662A7" w:rsidRDefault="00D84079" w:rsidP="00D84079">
      <w:pPr>
        <w:rPr>
          <w:lang w:eastAsia="en-GB"/>
        </w:rPr>
      </w:pPr>
      <w:r w:rsidRPr="00D662A7">
        <w:rPr>
          <w:lang w:eastAsia="en-GB"/>
        </w:rPr>
        <w:t xml:space="preserve">The large study by Cortese et al. </w:t>
      </w:r>
      <w:r w:rsidRPr="00D662A7">
        <w:rPr>
          <w:rFonts w:cs="Calibri"/>
        </w:rPr>
        <w:t>(2015)</w:t>
      </w:r>
      <w:r w:rsidRPr="00D662A7">
        <w:rPr>
          <w:lang w:eastAsia="en-GB"/>
        </w:rPr>
        <w:t xml:space="preserve"> found AE rates for insomnia significantly higher in MPH than atomoxetine, although their findings favoured MPH over the comparator on other outcome measures.</w:t>
      </w:r>
      <w:r w:rsidRPr="00D662A7">
        <w:rPr>
          <w:rStyle w:val="FootnoteReference"/>
          <w:rFonts w:cs="Calibri"/>
          <w:color w:val="000000"/>
          <w:lang w:eastAsia="en-GB"/>
        </w:rPr>
        <w:t xml:space="preserve"> </w:t>
      </w:r>
      <w:r w:rsidRPr="00D662A7">
        <w:rPr>
          <w:rStyle w:val="FootnoteReference"/>
        </w:rPr>
        <w:footnoteReference w:id="51"/>
      </w:r>
      <w:r w:rsidRPr="00D662A7">
        <w:rPr>
          <w:lang w:eastAsia="en-GB"/>
        </w:rPr>
        <w:t>.</w:t>
      </w:r>
    </w:p>
    <w:p w14:paraId="79898F88" w14:textId="77777777" w:rsidR="00D84079" w:rsidRPr="00D662A7" w:rsidRDefault="00D84079" w:rsidP="00ED71C3">
      <w:pPr>
        <w:pStyle w:val="Heading4"/>
      </w:pPr>
      <w:r w:rsidRPr="00D662A7">
        <w:t>Unclear</w:t>
      </w:r>
    </w:p>
    <w:p w14:paraId="2D54544F" w14:textId="654D284A" w:rsidR="00D84079" w:rsidRPr="00D662A7" w:rsidRDefault="00D84079" w:rsidP="00D84079">
      <w:pPr>
        <w:rPr>
          <w:lang w:eastAsia="en-GB"/>
        </w:rPr>
      </w:pPr>
      <w:proofErr w:type="spellStart"/>
      <w:r w:rsidRPr="00D662A7">
        <w:rPr>
          <w:lang w:eastAsia="en-GB"/>
        </w:rPr>
        <w:t>Corkum</w:t>
      </w:r>
      <w:proofErr w:type="spellEnd"/>
      <w:r w:rsidRPr="00D662A7">
        <w:rPr>
          <w:lang w:eastAsia="en-GB"/>
        </w:rPr>
        <w:t xml:space="preserve"> et al. </w:t>
      </w:r>
      <w:r w:rsidRPr="00D662A7">
        <w:rPr>
          <w:rFonts w:cs="Calibri"/>
        </w:rPr>
        <w:t>(1999)</w:t>
      </w:r>
      <w:r w:rsidRPr="00D662A7">
        <w:rPr>
          <w:lang w:eastAsia="en-GB"/>
        </w:rPr>
        <w:t xml:space="preserve"> used the Child Sleep Questionnaire</w:t>
      </w:r>
      <w:r w:rsidR="00E70D91" w:rsidRPr="00D662A7">
        <w:rPr>
          <w:lang w:eastAsia="en-GB"/>
        </w:rPr>
        <w:t xml:space="preserve"> (SLQ)</w:t>
      </w:r>
      <w:r w:rsidRPr="00D662A7">
        <w:rPr>
          <w:lang w:eastAsia="en-GB"/>
        </w:rPr>
        <w:t xml:space="preserve"> </w:t>
      </w:r>
      <w:r w:rsidRPr="00D662A7">
        <w:rPr>
          <w:rFonts w:cs="Calibri"/>
        </w:rPr>
        <w:t>(</w:t>
      </w:r>
      <w:proofErr w:type="spellStart"/>
      <w:r w:rsidRPr="00D662A7">
        <w:rPr>
          <w:rFonts w:cs="Calibri"/>
        </w:rPr>
        <w:t>Blader</w:t>
      </w:r>
      <w:proofErr w:type="spellEnd"/>
      <w:r w:rsidRPr="00D662A7">
        <w:rPr>
          <w:rFonts w:cs="Calibri"/>
        </w:rPr>
        <w:t xml:space="preserve"> et al., 1997)</w:t>
      </w:r>
      <w:r w:rsidRPr="00D662A7">
        <w:rPr>
          <w:lang w:eastAsia="en-GB"/>
        </w:rPr>
        <w:t xml:space="preserve"> to investigate predictors of sleep disorder in children with ADHD including stimulant medication, subtype and comorbidities. They</w:t>
      </w:r>
      <w:r w:rsidRPr="00D662A7">
        <w:t xml:space="preserve"> reported higher rates of </w:t>
      </w:r>
      <w:proofErr w:type="spellStart"/>
      <w:r w:rsidRPr="00D662A7">
        <w:rPr>
          <w:rFonts w:cs="Arial"/>
        </w:rPr>
        <w:t>dysomnias</w:t>
      </w:r>
      <w:proofErr w:type="spellEnd"/>
      <w:r w:rsidRPr="00D662A7">
        <w:rPr>
          <w:rFonts w:cs="Arial"/>
        </w:rPr>
        <w:t xml:space="preserve"> (bedtime resistance, sleep onset problems, problems arising)</w:t>
      </w:r>
      <w:r w:rsidRPr="00D662A7">
        <w:t xml:space="preserve"> in medicated vs. unmedicated ADHD children</w:t>
      </w:r>
      <w:r w:rsidRPr="00D662A7">
        <w:rPr>
          <w:lang w:eastAsia="en-GB"/>
        </w:rPr>
        <w:t xml:space="preserve">, but concluded that the relationship between ADHD and sleep disorders was complex. </w:t>
      </w:r>
    </w:p>
    <w:p w14:paraId="173336F0" w14:textId="77777777" w:rsidR="00D84079" w:rsidRPr="00D662A7" w:rsidRDefault="00D84079" w:rsidP="00D84079">
      <w:pPr>
        <w:rPr>
          <w:lang w:eastAsia="en-GB"/>
        </w:rPr>
      </w:pPr>
      <w:proofErr w:type="spellStart"/>
      <w:r w:rsidRPr="00D662A7">
        <w:rPr>
          <w:lang w:eastAsia="en-GB"/>
        </w:rPr>
        <w:t>Ghuman</w:t>
      </w:r>
      <w:proofErr w:type="spellEnd"/>
      <w:r w:rsidRPr="00D662A7">
        <w:rPr>
          <w:lang w:eastAsia="en-GB"/>
        </w:rPr>
        <w:t xml:space="preserve"> et al.’s </w:t>
      </w:r>
      <w:r w:rsidRPr="00D662A7">
        <w:rPr>
          <w:rFonts w:cs="Calibri"/>
        </w:rPr>
        <w:t>(2001)</w:t>
      </w:r>
      <w:r w:rsidRPr="00D662A7">
        <w:rPr>
          <w:lang w:eastAsia="en-GB"/>
        </w:rPr>
        <w:t xml:space="preserve"> study of 27 AEs associated with psychostimulant treatment in pre-schoolers, described earlier,</w:t>
      </w:r>
      <w:r w:rsidRPr="00D662A7">
        <w:rPr>
          <w:rStyle w:val="FootnoteReference"/>
        </w:rPr>
        <w:footnoteReference w:id="52"/>
      </w:r>
      <w:r w:rsidRPr="00D662A7">
        <w:rPr>
          <w:lang w:eastAsia="en-GB"/>
        </w:rPr>
        <w:t xml:space="preserve"> found 6 mild AE reports of “trouble sleeping”, but overall found no difference in AEs between those treated with MPH and those treated with dexamphetamine and Adderall. </w:t>
      </w:r>
    </w:p>
    <w:p w14:paraId="22CF5FAB" w14:textId="48101AC7" w:rsidR="00D84079" w:rsidRPr="00D662A7" w:rsidRDefault="00D84079" w:rsidP="00D84079">
      <w:pPr>
        <w:rPr>
          <w:lang w:eastAsia="en-GB"/>
        </w:rPr>
      </w:pPr>
      <w:proofErr w:type="spellStart"/>
      <w:r w:rsidRPr="00D662A7">
        <w:rPr>
          <w:lang w:eastAsia="en-GB"/>
        </w:rPr>
        <w:t>Gau</w:t>
      </w:r>
      <w:proofErr w:type="spellEnd"/>
      <w:r w:rsidRPr="00D662A7">
        <w:rPr>
          <w:lang w:eastAsia="en-GB"/>
        </w:rPr>
        <w:t xml:space="preserve"> et al. </w:t>
      </w:r>
      <w:r w:rsidRPr="00D662A7">
        <w:rPr>
          <w:rFonts w:cs="Calibri"/>
        </w:rPr>
        <w:t>(2009)</w:t>
      </w:r>
      <w:r w:rsidRPr="00D662A7">
        <w:rPr>
          <w:lang w:eastAsia="en-GB"/>
        </w:rPr>
        <w:t xml:space="preserve"> investigated current MPH use as a predictor of sleep disorder, measured using </w:t>
      </w:r>
      <w:r w:rsidR="0099568D">
        <w:rPr>
          <w:lang w:eastAsia="en-GB"/>
        </w:rPr>
        <w:t>the</w:t>
      </w:r>
      <w:r w:rsidRPr="00D662A7">
        <w:rPr>
          <w:lang w:eastAsia="en-GB"/>
        </w:rPr>
        <w:t xml:space="preserve"> Sleep Disorder Questionnaire </w:t>
      </w:r>
      <w:r w:rsidRPr="00D662A7">
        <w:rPr>
          <w:rFonts w:cs="Calibri"/>
        </w:rPr>
        <w:t>(</w:t>
      </w:r>
      <w:proofErr w:type="spellStart"/>
      <w:r w:rsidRPr="00D662A7">
        <w:rPr>
          <w:rFonts w:cs="Calibri"/>
        </w:rPr>
        <w:t>Gau</w:t>
      </w:r>
      <w:proofErr w:type="spellEnd"/>
      <w:r w:rsidR="00C13C00">
        <w:rPr>
          <w:rFonts w:cs="Calibri"/>
        </w:rPr>
        <w:t>, 200</w:t>
      </w:r>
      <w:r w:rsidR="00DD11DE">
        <w:rPr>
          <w:rFonts w:cs="Calibri"/>
        </w:rPr>
        <w:t>6</w:t>
      </w:r>
      <w:r w:rsidRPr="00D662A7">
        <w:rPr>
          <w:rFonts w:cs="Calibri"/>
        </w:rPr>
        <w:t>)</w:t>
      </w:r>
      <w:r w:rsidRPr="00D662A7">
        <w:rPr>
          <w:lang w:eastAsia="en-GB"/>
        </w:rPr>
        <w:t xml:space="preserve"> in a sample of adolescents with and without ADHD. They found that ADHD, but not current MPH use, predicted sleep disorder.</w:t>
      </w:r>
    </w:p>
    <w:p w14:paraId="0895EBBB" w14:textId="77777777" w:rsidR="00D84079" w:rsidRPr="00D662A7" w:rsidRDefault="00D84079" w:rsidP="00D84079">
      <w:pPr>
        <w:rPr>
          <w:lang w:eastAsia="en-GB"/>
        </w:rPr>
      </w:pPr>
      <w:r w:rsidRPr="00D662A7">
        <w:rPr>
          <w:lang w:eastAsia="en-GB"/>
        </w:rPr>
        <w:lastRenderedPageBreak/>
        <w:t xml:space="preserve">Haynes et al. </w:t>
      </w:r>
      <w:r w:rsidRPr="00D662A7">
        <w:rPr>
          <w:rFonts w:cs="Calibri"/>
        </w:rPr>
        <w:t>(2015)</w:t>
      </w:r>
      <w:r w:rsidRPr="00D662A7">
        <w:rPr>
          <w:lang w:eastAsia="en-GB"/>
        </w:rPr>
        <w:t xml:space="preserve"> conducted a prospective two-year observational study of 704 children and adolescents who had responded to either stimulants (mostly MPH) or atomoxetine and found no difference between groups for insomnia risk at 24 months, although they found a lower risk for the stimulant group at 12 months</w:t>
      </w:r>
      <w:r w:rsidRPr="00D662A7">
        <w:rPr>
          <w:rStyle w:val="FootnoteReference"/>
        </w:rPr>
        <w:footnoteReference w:id="53"/>
      </w:r>
      <w:r w:rsidRPr="00D662A7">
        <w:rPr>
          <w:lang w:eastAsia="en-GB"/>
        </w:rPr>
        <w:t>.</w:t>
      </w:r>
    </w:p>
    <w:p w14:paraId="7A8118C8" w14:textId="77777777" w:rsidR="00D84079" w:rsidRPr="00D662A7" w:rsidRDefault="00D84079" w:rsidP="00ED71C3">
      <w:pPr>
        <w:pStyle w:val="Heading3"/>
      </w:pPr>
      <w:bookmarkStart w:id="76" w:name="_Non-comparative_group_studies_6"/>
      <w:bookmarkEnd w:id="76"/>
      <w:r w:rsidRPr="00D662A7">
        <w:t>Non-comparative group studies</w:t>
      </w:r>
    </w:p>
    <w:p w14:paraId="45A0A52B" w14:textId="77777777" w:rsidR="00D84079" w:rsidRPr="00D662A7" w:rsidRDefault="00D84079" w:rsidP="00ED71C3">
      <w:pPr>
        <w:pStyle w:val="Heading4"/>
      </w:pPr>
      <w:r w:rsidRPr="00D662A7">
        <w:t>Safe</w:t>
      </w:r>
    </w:p>
    <w:p w14:paraId="3EED4DD8" w14:textId="77777777" w:rsidR="00D84079" w:rsidRPr="00D662A7" w:rsidRDefault="00D84079" w:rsidP="00D84079">
      <w:pPr>
        <w:rPr>
          <w:lang w:eastAsia="en-GB"/>
        </w:rPr>
      </w:pPr>
      <w:r w:rsidRPr="00D662A7">
        <w:rPr>
          <w:lang w:eastAsia="en-GB"/>
        </w:rPr>
        <w:t xml:space="preserve">The three non-comparative studies were all studies of AEs: the two prospective open-label longitudinal studies by </w:t>
      </w:r>
      <w:proofErr w:type="spellStart"/>
      <w:r w:rsidRPr="00D662A7">
        <w:rPr>
          <w:lang w:eastAsia="en-GB"/>
        </w:rPr>
        <w:t>Wilens</w:t>
      </w:r>
      <w:proofErr w:type="spellEnd"/>
      <w:r w:rsidRPr="00D662A7">
        <w:rPr>
          <w:lang w:eastAsia="en-GB"/>
        </w:rPr>
        <w:t xml:space="preserve"> et al. </w:t>
      </w:r>
      <w:r w:rsidRPr="00D662A7">
        <w:rPr>
          <w:rFonts w:cs="Calibri"/>
        </w:rPr>
        <w:t>(2005)</w:t>
      </w:r>
      <w:r w:rsidRPr="00D662A7">
        <w:rPr>
          <w:rStyle w:val="FootnoteReference"/>
          <w:lang w:eastAsia="en-GB"/>
        </w:rPr>
        <w:t xml:space="preserve"> </w:t>
      </w:r>
      <w:r w:rsidRPr="00D662A7">
        <w:rPr>
          <w:rStyle w:val="FootnoteReference"/>
        </w:rPr>
        <w:footnoteReference w:id="54"/>
      </w:r>
      <w:r w:rsidRPr="00D662A7">
        <w:rPr>
          <w:lang w:eastAsia="en-GB"/>
        </w:rPr>
        <w:t xml:space="preserve"> and </w:t>
      </w:r>
      <w:proofErr w:type="spellStart"/>
      <w:r w:rsidRPr="00D662A7">
        <w:rPr>
          <w:lang w:eastAsia="en-GB"/>
        </w:rPr>
        <w:t>Atzori</w:t>
      </w:r>
      <w:proofErr w:type="spellEnd"/>
      <w:r w:rsidRPr="00D662A7">
        <w:rPr>
          <w:lang w:eastAsia="en-GB"/>
        </w:rPr>
        <w:t xml:space="preserve"> et al. </w:t>
      </w:r>
      <w:r w:rsidRPr="00D662A7">
        <w:rPr>
          <w:rFonts w:cs="Calibri"/>
        </w:rPr>
        <w:t>(2009)</w:t>
      </w:r>
      <w:r w:rsidRPr="00D662A7">
        <w:rPr>
          <w:rStyle w:val="FootnoteReference"/>
          <w:lang w:eastAsia="en-GB"/>
        </w:rPr>
        <w:t xml:space="preserve"> </w:t>
      </w:r>
      <w:r w:rsidRPr="00D662A7">
        <w:rPr>
          <w:rStyle w:val="FootnoteReference"/>
        </w:rPr>
        <w:footnoteReference w:id="55"/>
      </w:r>
      <w:r w:rsidRPr="00D662A7">
        <w:rPr>
          <w:lang w:eastAsia="en-GB"/>
        </w:rPr>
        <w:t xml:space="preserve"> of children and the six-year follow-up of adults by </w:t>
      </w:r>
      <w:proofErr w:type="spellStart"/>
      <w:r w:rsidRPr="00D662A7">
        <w:rPr>
          <w:lang w:eastAsia="en-GB"/>
        </w:rPr>
        <w:t>Edvinsson</w:t>
      </w:r>
      <w:proofErr w:type="spellEnd"/>
      <w:r w:rsidRPr="00D662A7">
        <w:rPr>
          <w:lang w:eastAsia="en-GB"/>
        </w:rPr>
        <w:t xml:space="preserve"> et al </w:t>
      </w:r>
      <w:r w:rsidRPr="00D662A7">
        <w:rPr>
          <w:rFonts w:cs="Calibri"/>
          <w:lang w:eastAsia="en-GB"/>
        </w:rPr>
        <w:t xml:space="preserve">(2018). </w:t>
      </w:r>
      <w:r w:rsidRPr="00D662A7">
        <w:rPr>
          <w:lang w:eastAsia="en-GB"/>
        </w:rPr>
        <w:t xml:space="preserve">The AEs reported included sleep disorders, and we coded the authors’ general conclusions in both studies as </w:t>
      </w:r>
      <w:r w:rsidRPr="00D662A7">
        <w:rPr>
          <w:i/>
          <w:lang w:eastAsia="en-GB"/>
        </w:rPr>
        <w:t>Safe</w:t>
      </w:r>
      <w:r w:rsidRPr="00D662A7">
        <w:rPr>
          <w:lang w:eastAsia="en-GB"/>
        </w:rPr>
        <w:t xml:space="preserve">. In the 112 adults followed up by </w:t>
      </w:r>
      <w:proofErr w:type="spellStart"/>
      <w:r w:rsidRPr="00D662A7">
        <w:rPr>
          <w:lang w:eastAsia="en-GB"/>
        </w:rPr>
        <w:t>Edvinsson</w:t>
      </w:r>
      <w:proofErr w:type="spellEnd"/>
      <w:r w:rsidRPr="00D662A7">
        <w:rPr>
          <w:lang w:eastAsia="en-GB"/>
        </w:rPr>
        <w:t xml:space="preserve"> et al., two gave insomnia as the reason for discontinuation, and four reported difficulty getting to sleep.</w:t>
      </w:r>
    </w:p>
    <w:p w14:paraId="30D02E89" w14:textId="77777777" w:rsidR="00D84079" w:rsidRPr="00D662A7" w:rsidRDefault="00D84079" w:rsidP="00ED71C3">
      <w:pPr>
        <w:pStyle w:val="Heading3"/>
      </w:pPr>
      <w:bookmarkStart w:id="77" w:name="_Case_reports_7"/>
      <w:bookmarkEnd w:id="77"/>
      <w:r w:rsidRPr="00D662A7">
        <w:t>Case reports</w:t>
      </w:r>
    </w:p>
    <w:p w14:paraId="3D961A28" w14:textId="77777777" w:rsidR="00D84079" w:rsidRPr="00D662A7" w:rsidRDefault="00D84079" w:rsidP="00D84079">
      <w:pPr>
        <w:rPr>
          <w:lang w:eastAsia="en-GB"/>
        </w:rPr>
      </w:pPr>
      <w:r w:rsidRPr="00D662A7">
        <w:rPr>
          <w:lang w:eastAsia="en-GB"/>
        </w:rPr>
        <w:t xml:space="preserve">We coded the authors’ conclusion in one case report as </w:t>
      </w:r>
      <w:r w:rsidRPr="00D662A7">
        <w:rPr>
          <w:i/>
          <w:lang w:eastAsia="en-GB"/>
        </w:rPr>
        <w:t>Safe</w:t>
      </w:r>
      <w:r w:rsidRPr="00D662A7">
        <w:rPr>
          <w:lang w:eastAsia="en-GB"/>
        </w:rPr>
        <w:t xml:space="preserve">, one as </w:t>
      </w:r>
      <w:r w:rsidRPr="00D662A7">
        <w:rPr>
          <w:i/>
          <w:lang w:eastAsia="en-GB"/>
        </w:rPr>
        <w:t>Proceed with Caution</w:t>
      </w:r>
      <w:r w:rsidRPr="00D662A7">
        <w:rPr>
          <w:lang w:eastAsia="en-GB"/>
        </w:rPr>
        <w:t xml:space="preserve">, and one as </w:t>
      </w:r>
      <w:r w:rsidRPr="00D662A7">
        <w:rPr>
          <w:i/>
          <w:lang w:eastAsia="en-GB"/>
        </w:rPr>
        <w:t>Unclear</w:t>
      </w:r>
      <w:r w:rsidRPr="00D662A7">
        <w:rPr>
          <w:lang w:eastAsia="en-GB"/>
        </w:rPr>
        <w:t>.</w:t>
      </w:r>
    </w:p>
    <w:p w14:paraId="427648F2" w14:textId="77777777" w:rsidR="00D84079" w:rsidRPr="00D662A7" w:rsidRDefault="00D84079" w:rsidP="00ED71C3">
      <w:pPr>
        <w:pStyle w:val="Heading4"/>
      </w:pPr>
      <w:r w:rsidRPr="00D662A7">
        <w:t>Safe</w:t>
      </w:r>
    </w:p>
    <w:p w14:paraId="4ED952A4" w14:textId="77777777" w:rsidR="00D84079" w:rsidRPr="00D662A7" w:rsidRDefault="00D84079" w:rsidP="00D84079">
      <w:pPr>
        <w:rPr>
          <w:lang w:eastAsia="en-GB"/>
        </w:rPr>
      </w:pPr>
      <w:r w:rsidRPr="00D662A7">
        <w:rPr>
          <w:lang w:eastAsia="en-GB"/>
        </w:rPr>
        <w:t xml:space="preserve">In the case report by </w:t>
      </w:r>
      <w:proofErr w:type="spellStart"/>
      <w:r w:rsidRPr="00D662A7">
        <w:rPr>
          <w:lang w:eastAsia="en-GB"/>
        </w:rPr>
        <w:t>Guerdjikova</w:t>
      </w:r>
      <w:proofErr w:type="spellEnd"/>
      <w:r w:rsidRPr="00D662A7">
        <w:rPr>
          <w:lang w:eastAsia="en-GB"/>
        </w:rPr>
        <w:t xml:space="preserve"> and McElroy, described earlier, of a woman with multiple comorbidities successfully treated with MPH, the authors report that her sleeping habits improved.</w:t>
      </w:r>
      <w:r w:rsidRPr="00D662A7">
        <w:rPr>
          <w:rStyle w:val="FootnoteReference"/>
        </w:rPr>
        <w:footnoteReference w:id="56"/>
      </w:r>
    </w:p>
    <w:p w14:paraId="0244388C" w14:textId="77777777" w:rsidR="00D84079" w:rsidRPr="00D662A7" w:rsidRDefault="00D84079" w:rsidP="00ED71C3">
      <w:pPr>
        <w:pStyle w:val="Heading4"/>
      </w:pPr>
      <w:r w:rsidRPr="00D662A7">
        <w:lastRenderedPageBreak/>
        <w:t>Proceed with Caution</w:t>
      </w:r>
    </w:p>
    <w:p w14:paraId="0E39F39B" w14:textId="77777777" w:rsidR="00D84079" w:rsidRPr="00D662A7" w:rsidRDefault="00D84079" w:rsidP="00D84079">
      <w:pPr>
        <w:rPr>
          <w:lang w:eastAsia="en-GB"/>
        </w:rPr>
      </w:pPr>
      <w:r w:rsidRPr="00D662A7">
        <w:rPr>
          <w:lang w:eastAsia="en-GB"/>
        </w:rPr>
        <w:t xml:space="preserve">In the case report by Garland </w:t>
      </w:r>
      <w:r w:rsidRPr="00D662A7">
        <w:rPr>
          <w:rFonts w:cs="Calibri"/>
        </w:rPr>
        <w:t>(1998)</w:t>
      </w:r>
      <w:r w:rsidRPr="00D662A7">
        <w:rPr>
          <w:lang w:eastAsia="en-GB"/>
        </w:rPr>
        <w:t>, also reported earlier, of an adolescent who had been abusing his MPH medication, his symptoms included insomnia</w:t>
      </w:r>
      <w:r w:rsidRPr="00D662A7">
        <w:rPr>
          <w:rStyle w:val="FootnoteReference"/>
        </w:rPr>
        <w:footnoteReference w:id="57"/>
      </w:r>
      <w:r w:rsidRPr="00D662A7">
        <w:rPr>
          <w:lang w:eastAsia="en-GB"/>
        </w:rPr>
        <w:t>.</w:t>
      </w:r>
    </w:p>
    <w:p w14:paraId="6043433F" w14:textId="77777777" w:rsidR="00D84079" w:rsidRPr="00D662A7" w:rsidRDefault="00D84079" w:rsidP="00ED71C3">
      <w:pPr>
        <w:pStyle w:val="Heading4"/>
      </w:pPr>
      <w:r w:rsidRPr="00D662A7">
        <w:t>Unclear</w:t>
      </w:r>
    </w:p>
    <w:p w14:paraId="0F77B2BD" w14:textId="77777777" w:rsidR="00D84079" w:rsidRPr="00D662A7" w:rsidRDefault="00D84079" w:rsidP="00D84079">
      <w:pPr>
        <w:rPr>
          <w:lang w:eastAsia="en-GB"/>
        </w:rPr>
      </w:pPr>
      <w:proofErr w:type="spellStart"/>
      <w:r w:rsidRPr="00D662A7">
        <w:rPr>
          <w:lang w:eastAsia="en-GB"/>
        </w:rPr>
        <w:t>Villafuerte-Trisolini</w:t>
      </w:r>
      <w:proofErr w:type="spellEnd"/>
      <w:r w:rsidRPr="00D662A7">
        <w:rPr>
          <w:lang w:eastAsia="en-GB"/>
        </w:rPr>
        <w:t xml:space="preserve"> et al. </w:t>
      </w:r>
      <w:r w:rsidRPr="00D662A7">
        <w:t>(2017)</w:t>
      </w:r>
      <w:r w:rsidRPr="00D662A7">
        <w:rPr>
          <w:lang w:eastAsia="en-GB"/>
        </w:rPr>
        <w:t xml:space="preserve"> report a case of a 10-year-old boy with ADHD who developed </w:t>
      </w:r>
      <w:proofErr w:type="spellStart"/>
      <w:r w:rsidRPr="00D662A7">
        <w:rPr>
          <w:lang w:eastAsia="en-GB"/>
        </w:rPr>
        <w:t>catathrenia</w:t>
      </w:r>
      <w:proofErr w:type="spellEnd"/>
      <w:r w:rsidRPr="00D662A7">
        <w:rPr>
          <w:lang w:eastAsia="en-GB"/>
        </w:rPr>
        <w:t xml:space="preserve">, a sleep disorder characterised by </w:t>
      </w:r>
      <w:proofErr w:type="spellStart"/>
      <w:r w:rsidRPr="00D662A7">
        <w:rPr>
          <w:lang w:eastAsia="en-GB"/>
        </w:rPr>
        <w:t>breathholding</w:t>
      </w:r>
      <w:proofErr w:type="spellEnd"/>
      <w:r w:rsidRPr="00D662A7">
        <w:rPr>
          <w:lang w:eastAsia="en-GB"/>
        </w:rPr>
        <w:t xml:space="preserve"> during REM sleep, after three years of MPH treatment. </w:t>
      </w:r>
    </w:p>
    <w:p w14:paraId="7E10B0E2" w14:textId="77777777" w:rsidR="00D84079" w:rsidRPr="00D662A7" w:rsidRDefault="00D84079" w:rsidP="00ED71C3">
      <w:pPr>
        <w:pStyle w:val="Heading2"/>
      </w:pPr>
      <w:bookmarkStart w:id="78" w:name="_Ref4001124"/>
      <w:bookmarkStart w:id="79" w:name="_Ref4001199"/>
      <w:bookmarkStart w:id="80" w:name="_Toc4076827"/>
      <w:r w:rsidRPr="00D662A7">
        <w:t>Other notable neuropsychiatric outcomes</w:t>
      </w:r>
      <w:bookmarkEnd w:id="78"/>
      <w:bookmarkEnd w:id="79"/>
      <w:bookmarkEnd w:id="80"/>
    </w:p>
    <w:p w14:paraId="615EBF17" w14:textId="77777777" w:rsidR="00D84079" w:rsidRPr="00D662A7" w:rsidRDefault="00D84079" w:rsidP="00D84079">
      <w:pPr>
        <w:rPr>
          <w:lang w:eastAsia="en-GB"/>
        </w:rPr>
      </w:pPr>
      <w:r w:rsidRPr="00D662A7">
        <w:rPr>
          <w:lang w:eastAsia="en-GB"/>
        </w:rPr>
        <w:t xml:space="preserve">Three studies reported on “aggression” or “hostility” as an adverse effect, and one reported on “personality changes”. The evidence regarding these outcomes is summarised in </w:t>
      </w:r>
      <w:r w:rsidRPr="00D662A7">
        <w:t xml:space="preserve">Table </w:t>
      </w:r>
      <w:r w:rsidRPr="00D662A7">
        <w:rPr>
          <w:noProof/>
        </w:rPr>
        <w:t>19</w:t>
      </w:r>
      <w:r w:rsidRPr="00D662A7">
        <w:rPr>
          <w:lang w:eastAsia="en-GB"/>
        </w:rPr>
        <w:t>.</w:t>
      </w:r>
    </w:p>
    <w:p w14:paraId="0AD5D244" w14:textId="77777777" w:rsidR="00D84079" w:rsidRPr="00D662A7" w:rsidRDefault="00D84079" w:rsidP="00ED71C3">
      <w:pPr>
        <w:pStyle w:val="Heading3"/>
      </w:pPr>
      <w:bookmarkStart w:id="81" w:name="_Comparative_group_studies_9"/>
      <w:bookmarkEnd w:id="81"/>
      <w:r w:rsidRPr="00D662A7">
        <w:t>Comparative group studies</w:t>
      </w:r>
    </w:p>
    <w:p w14:paraId="47F02650" w14:textId="77777777" w:rsidR="00D84079" w:rsidRPr="00D662A7" w:rsidRDefault="00D84079" w:rsidP="00D84079">
      <w:pPr>
        <w:rPr>
          <w:i/>
          <w:lang w:eastAsia="en-GB"/>
        </w:rPr>
      </w:pPr>
      <w:r w:rsidRPr="00D662A7">
        <w:rPr>
          <w:lang w:eastAsia="en-GB"/>
        </w:rPr>
        <w:t xml:space="preserve">Two of these were comparative studies. One was the retrospective chart review of AEs in 27 pre-school children by </w:t>
      </w:r>
      <w:proofErr w:type="spellStart"/>
      <w:r w:rsidRPr="00D662A7">
        <w:rPr>
          <w:lang w:eastAsia="en-GB"/>
        </w:rPr>
        <w:t>Ghuman</w:t>
      </w:r>
      <w:proofErr w:type="spellEnd"/>
      <w:r w:rsidRPr="00D662A7">
        <w:rPr>
          <w:lang w:eastAsia="en-GB"/>
        </w:rPr>
        <w:t xml:space="preserve"> et al. </w:t>
      </w:r>
      <w:r w:rsidRPr="00D662A7">
        <w:rPr>
          <w:rFonts w:cs="Calibri"/>
        </w:rPr>
        <w:t>(2001)</w:t>
      </w:r>
      <w:r w:rsidRPr="00D662A7">
        <w:rPr>
          <w:lang w:eastAsia="en-GB"/>
        </w:rPr>
        <w:t>, described earlier</w:t>
      </w:r>
      <w:r w:rsidRPr="00D662A7">
        <w:rPr>
          <w:rStyle w:val="FootnoteReference"/>
        </w:rPr>
        <w:footnoteReference w:id="58"/>
      </w:r>
      <w:r w:rsidRPr="00D662A7">
        <w:rPr>
          <w:lang w:eastAsia="en-GB"/>
        </w:rPr>
        <w:t xml:space="preserve">. The study found two severe and one moderate report of “agitation/aggression” AE, but no overall difference in AEs between MPH and dexamphetamine and Adderall. We coded the authors’ conclusion overall </w:t>
      </w:r>
      <w:r w:rsidRPr="00D662A7">
        <w:rPr>
          <w:i/>
          <w:lang w:eastAsia="en-GB"/>
        </w:rPr>
        <w:t>Unclear</w:t>
      </w:r>
      <w:r w:rsidRPr="00D662A7">
        <w:rPr>
          <w:lang w:eastAsia="en-GB"/>
        </w:rPr>
        <w:t xml:space="preserve"> with respect to this outcome, although they advised caution due to high rates of AEs on other outcomes</w:t>
      </w:r>
      <w:r w:rsidRPr="00D662A7">
        <w:t>.</w:t>
      </w:r>
      <w:r w:rsidRPr="00D662A7">
        <w:rPr>
          <w:lang w:eastAsia="en-GB"/>
        </w:rPr>
        <w:t xml:space="preserve"> </w:t>
      </w:r>
      <w:r w:rsidRPr="00D662A7">
        <w:rPr>
          <w:rFonts w:cs="Calibri"/>
          <w:color w:val="000000"/>
          <w:lang w:eastAsia="en-GB"/>
        </w:rPr>
        <w:t xml:space="preserve">The other was the two-year prospective observational </w:t>
      </w:r>
      <w:r w:rsidRPr="00D662A7">
        <w:rPr>
          <w:lang w:eastAsia="en-GB"/>
        </w:rPr>
        <w:t xml:space="preserve">study by Haynes et al. </w:t>
      </w:r>
      <w:r w:rsidRPr="00D662A7">
        <w:rPr>
          <w:rFonts w:cs="Calibri"/>
        </w:rPr>
        <w:t>(2015)</w:t>
      </w:r>
      <w:r w:rsidRPr="00D662A7">
        <w:rPr>
          <w:lang w:eastAsia="en-GB"/>
        </w:rPr>
        <w:t xml:space="preserve">, also described earlier. “Personality changes” were included in </w:t>
      </w:r>
      <w:r w:rsidRPr="00D662A7">
        <w:rPr>
          <w:lang w:eastAsia="en-GB"/>
        </w:rPr>
        <w:lastRenderedPageBreak/>
        <w:t>the AEs the authors solicited, but they report no significant difference in risk of “Personality change” between MPH and atomoxetine</w:t>
      </w:r>
      <w:r w:rsidRPr="00D662A7">
        <w:rPr>
          <w:rStyle w:val="FootnoteReference"/>
        </w:rPr>
        <w:footnoteReference w:id="59"/>
      </w:r>
      <w:r w:rsidRPr="00D662A7">
        <w:rPr>
          <w:lang w:eastAsia="en-GB"/>
        </w:rPr>
        <w:t xml:space="preserve">. We also coded this study as </w:t>
      </w:r>
      <w:r w:rsidRPr="00D662A7">
        <w:rPr>
          <w:i/>
          <w:lang w:eastAsia="en-GB"/>
        </w:rPr>
        <w:t>Unclear.</w:t>
      </w:r>
    </w:p>
    <w:p w14:paraId="62FA99F6" w14:textId="77777777" w:rsidR="00D84079" w:rsidRPr="00D662A7" w:rsidRDefault="00D84079" w:rsidP="00ED71C3">
      <w:pPr>
        <w:pStyle w:val="Heading3"/>
      </w:pPr>
      <w:bookmarkStart w:id="82" w:name="_Non-comparative_group_studies_1"/>
      <w:bookmarkEnd w:id="82"/>
      <w:r w:rsidRPr="00D662A7">
        <w:t>Non-comparative group studies</w:t>
      </w:r>
    </w:p>
    <w:p w14:paraId="42F15679" w14:textId="77777777" w:rsidR="00D84079" w:rsidRPr="00D662A7" w:rsidRDefault="00D84079" w:rsidP="00D84079">
      <w:pPr>
        <w:rPr>
          <w:lang w:eastAsia="en-GB"/>
        </w:rPr>
      </w:pPr>
      <w:r w:rsidRPr="00D662A7">
        <w:rPr>
          <w:lang w:eastAsia="en-GB"/>
        </w:rPr>
        <w:t xml:space="preserve">Two non-comparative studies provided evidence regarding aggression/hostility as a potential adverse effect. In both, we coded the authors’ conclusion as </w:t>
      </w:r>
      <w:r w:rsidRPr="00D662A7">
        <w:rPr>
          <w:i/>
          <w:lang w:eastAsia="en-GB"/>
        </w:rPr>
        <w:t>Safe</w:t>
      </w:r>
      <w:r w:rsidRPr="00D662A7">
        <w:rPr>
          <w:lang w:eastAsia="en-GB"/>
        </w:rPr>
        <w:t xml:space="preserve">. One was the study by </w:t>
      </w:r>
      <w:proofErr w:type="spellStart"/>
      <w:r w:rsidRPr="00D662A7">
        <w:rPr>
          <w:lang w:eastAsia="en-GB"/>
        </w:rPr>
        <w:t>Kutlu</w:t>
      </w:r>
      <w:proofErr w:type="spellEnd"/>
      <w:r w:rsidRPr="00D662A7">
        <w:rPr>
          <w:lang w:eastAsia="en-GB"/>
        </w:rPr>
        <w:t xml:space="preserve"> et al </w:t>
      </w:r>
      <w:r w:rsidRPr="00D662A7">
        <w:rPr>
          <w:rFonts w:cs="Calibri"/>
        </w:rPr>
        <w:t>(2017)</w:t>
      </w:r>
      <w:r w:rsidRPr="00D662A7">
        <w:rPr>
          <w:lang w:eastAsia="en-GB"/>
        </w:rPr>
        <w:t xml:space="preserve"> of 118 boys with ADHD and ODD/CD described earlier. Their ED measures included measures of aggression</w:t>
      </w:r>
      <w:r w:rsidR="00F81325" w:rsidRPr="00D662A7">
        <w:rPr>
          <w:lang w:eastAsia="en-GB"/>
        </w:rPr>
        <w:t xml:space="preserve"> (CBCL: Achenbach and </w:t>
      </w:r>
      <w:proofErr w:type="spellStart"/>
      <w:r w:rsidR="00F81325" w:rsidRPr="00D662A7">
        <w:rPr>
          <w:lang w:eastAsia="en-GB"/>
        </w:rPr>
        <w:t>Edelbrock</w:t>
      </w:r>
      <w:proofErr w:type="spellEnd"/>
      <w:r w:rsidR="00F81325" w:rsidRPr="00D662A7">
        <w:rPr>
          <w:lang w:eastAsia="en-GB"/>
        </w:rPr>
        <w:t>, 1983)</w:t>
      </w:r>
      <w:r w:rsidRPr="00D662A7">
        <w:rPr>
          <w:lang w:eastAsia="en-GB"/>
        </w:rPr>
        <w:t>, which improved over two years of MPH treatment from high baseline levels</w:t>
      </w:r>
      <w:r w:rsidRPr="00D662A7">
        <w:rPr>
          <w:rStyle w:val="FootnoteReference"/>
        </w:rPr>
        <w:footnoteReference w:id="60"/>
      </w:r>
      <w:r w:rsidRPr="00D662A7">
        <w:rPr>
          <w:lang w:eastAsia="en-GB"/>
        </w:rPr>
        <w:t>.</w:t>
      </w:r>
    </w:p>
    <w:p w14:paraId="3F8F2D35" w14:textId="77777777" w:rsidR="00D84079" w:rsidRPr="00D662A7" w:rsidRDefault="00D84079" w:rsidP="00D84079">
      <w:pPr>
        <w:rPr>
          <w:rFonts w:cs="Calibri"/>
          <w:color w:val="000000"/>
          <w:lang w:eastAsia="en-GB"/>
        </w:rPr>
      </w:pPr>
      <w:r w:rsidRPr="00D662A7">
        <w:rPr>
          <w:lang w:eastAsia="en-GB"/>
        </w:rPr>
        <w:t xml:space="preserve">The other was the prospective open-label longitudinal study In the </w:t>
      </w:r>
      <w:proofErr w:type="spellStart"/>
      <w:r w:rsidRPr="00D662A7">
        <w:rPr>
          <w:lang w:eastAsia="en-GB"/>
        </w:rPr>
        <w:t>Wilens</w:t>
      </w:r>
      <w:proofErr w:type="spellEnd"/>
      <w:r w:rsidRPr="00D662A7">
        <w:rPr>
          <w:lang w:eastAsia="en-GB"/>
        </w:rPr>
        <w:t xml:space="preserve"> et al. </w:t>
      </w:r>
      <w:r w:rsidRPr="00D662A7">
        <w:rPr>
          <w:rFonts w:cs="Calibri"/>
        </w:rPr>
        <w:t>(2005)</w:t>
      </w:r>
      <w:r w:rsidRPr="00D662A7">
        <w:rPr>
          <w:lang w:eastAsia="en-GB"/>
        </w:rPr>
        <w:t xml:space="preserve"> described earlier. The study reported AEs that included “</w:t>
      </w:r>
      <w:r w:rsidRPr="00D662A7">
        <w:rPr>
          <w:rFonts w:cs="Calibri"/>
          <w:color w:val="000000"/>
          <w:lang w:eastAsia="en-GB"/>
        </w:rPr>
        <w:t xml:space="preserve">hostility”, and which led to two discontinuations. We coded the authors’ general conclusion as </w:t>
      </w:r>
      <w:r w:rsidRPr="00D662A7">
        <w:rPr>
          <w:rFonts w:cs="Calibri"/>
          <w:i/>
          <w:color w:val="000000"/>
          <w:lang w:eastAsia="en-GB"/>
        </w:rPr>
        <w:t>Safe</w:t>
      </w:r>
      <w:r w:rsidRPr="00D662A7">
        <w:rPr>
          <w:rFonts w:cs="Calibri"/>
          <w:color w:val="000000"/>
          <w:lang w:eastAsia="en-GB"/>
        </w:rPr>
        <w:t>.</w:t>
      </w:r>
      <w:r w:rsidRPr="00D662A7">
        <w:rPr>
          <w:rStyle w:val="FootnoteReference"/>
        </w:rPr>
        <w:footnoteReference w:id="61"/>
      </w:r>
    </w:p>
    <w:p w14:paraId="72C62E81" w14:textId="77777777" w:rsidR="00D84079" w:rsidRPr="00D662A7" w:rsidRDefault="00D84079" w:rsidP="00D84079">
      <w:pPr>
        <w:rPr>
          <w:lang w:eastAsia="en-GB"/>
        </w:rPr>
      </w:pPr>
      <w:r w:rsidRPr="00D662A7">
        <w:rPr>
          <w:rFonts w:cs="Calibri"/>
          <w:color w:val="000000"/>
          <w:lang w:eastAsia="en-GB"/>
        </w:rPr>
        <w:t>No other notable neuropsychiatric effects were reported specifically as potential adverse outcomes of treatment.</w:t>
      </w:r>
      <w:r w:rsidRPr="00D662A7">
        <w:rPr>
          <w:lang w:eastAsia="en-GB"/>
        </w:rPr>
        <w:t xml:space="preserve"> </w:t>
      </w:r>
    </w:p>
    <w:p w14:paraId="37F30C6A" w14:textId="77777777" w:rsidR="006A784C" w:rsidRPr="00D662A7" w:rsidRDefault="006A784C">
      <w:pPr>
        <w:spacing w:after="0" w:line="240" w:lineRule="auto"/>
      </w:pPr>
      <w:r w:rsidRPr="00D662A7">
        <w:br w:type="page"/>
      </w:r>
    </w:p>
    <w:p w14:paraId="02301A99" w14:textId="77777777" w:rsidR="006A784C" w:rsidRPr="00D662A7" w:rsidRDefault="006A784C" w:rsidP="006A784C">
      <w:pPr>
        <w:pStyle w:val="Heading2"/>
      </w:pPr>
      <w:r w:rsidRPr="00D662A7">
        <w:lastRenderedPageBreak/>
        <w:t xml:space="preserve">References for rating scales used in the studies. </w:t>
      </w:r>
    </w:p>
    <w:p w14:paraId="0A791C21" w14:textId="77777777" w:rsidR="006A784C" w:rsidRPr="00D662A7" w:rsidRDefault="006A784C" w:rsidP="006A784C">
      <w:pPr>
        <w:pStyle w:val="Bibliography"/>
        <w:rPr>
          <w:i/>
        </w:rPr>
      </w:pPr>
      <w:r w:rsidRPr="00D662A7">
        <w:rPr>
          <w:i/>
        </w:rPr>
        <w:t>For all other citations, see References in the main text.</w:t>
      </w:r>
    </w:p>
    <w:tbl>
      <w:tblPr>
        <w:tblStyle w:val="TableGrid"/>
        <w:tblW w:w="77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6"/>
        <w:gridCol w:w="2235"/>
      </w:tblGrid>
      <w:tr w:rsidR="00D662A7" w:rsidRPr="00D662A7" w14:paraId="45B28F05" w14:textId="77777777" w:rsidTr="00D662A7">
        <w:tc>
          <w:tcPr>
            <w:tcW w:w="5556" w:type="dxa"/>
          </w:tcPr>
          <w:p w14:paraId="683895B9" w14:textId="3BC5B418" w:rsidR="00D662A7" w:rsidRPr="00D662A7" w:rsidRDefault="00D662A7" w:rsidP="00D662A7">
            <w:pPr>
              <w:pStyle w:val="Bibliography"/>
              <w:spacing w:line="276" w:lineRule="auto"/>
              <w:ind w:left="313" w:hanging="313"/>
              <w:rPr>
                <w:rStyle w:val="Emphasis"/>
                <w:b/>
                <w:bCs/>
                <w:i w:val="0"/>
              </w:rPr>
            </w:pPr>
            <w:r w:rsidRPr="00D662A7">
              <w:rPr>
                <w:rStyle w:val="Emphasis"/>
                <w:b/>
                <w:bCs/>
                <w:i w:val="0"/>
              </w:rPr>
              <w:t>Reference</w:t>
            </w:r>
          </w:p>
        </w:tc>
        <w:tc>
          <w:tcPr>
            <w:tcW w:w="2235" w:type="dxa"/>
          </w:tcPr>
          <w:p w14:paraId="5DD4BF0F" w14:textId="227F3A8E" w:rsidR="00D662A7" w:rsidRPr="00D662A7" w:rsidRDefault="00D662A7" w:rsidP="00D662A7">
            <w:pPr>
              <w:pStyle w:val="Bibliography"/>
              <w:spacing w:line="276" w:lineRule="auto"/>
              <w:rPr>
                <w:b/>
                <w:bCs/>
                <w:iCs/>
                <w:lang w:eastAsia="en-GB"/>
              </w:rPr>
            </w:pPr>
            <w:r w:rsidRPr="00D662A7">
              <w:rPr>
                <w:b/>
                <w:bCs/>
                <w:iCs/>
                <w:lang w:eastAsia="en-GB"/>
              </w:rPr>
              <w:t>Rating Scale</w:t>
            </w:r>
          </w:p>
        </w:tc>
      </w:tr>
      <w:tr w:rsidR="00D662A7" w:rsidRPr="00D662A7" w14:paraId="2846EF42" w14:textId="61853018" w:rsidTr="00D662A7">
        <w:tc>
          <w:tcPr>
            <w:tcW w:w="5556" w:type="dxa"/>
          </w:tcPr>
          <w:p w14:paraId="53EC38AC" w14:textId="296F73E8" w:rsidR="00D662A7" w:rsidRPr="00D662A7" w:rsidRDefault="00D662A7" w:rsidP="00D662A7">
            <w:pPr>
              <w:pStyle w:val="Bibliography"/>
              <w:spacing w:line="276" w:lineRule="auto"/>
              <w:ind w:left="313" w:hanging="313"/>
              <w:rPr>
                <w:i/>
              </w:rPr>
            </w:pPr>
            <w:r w:rsidRPr="00D662A7">
              <w:rPr>
                <w:rStyle w:val="Emphasis"/>
                <w:i w:val="0"/>
              </w:rPr>
              <w:t xml:space="preserve">Achenbach, T.M., </w:t>
            </w:r>
            <w:proofErr w:type="spellStart"/>
            <w:r w:rsidRPr="00D662A7">
              <w:rPr>
                <w:rStyle w:val="Emphasis"/>
                <w:i w:val="0"/>
              </w:rPr>
              <w:t>Edelbrock</w:t>
            </w:r>
            <w:proofErr w:type="spellEnd"/>
            <w:r w:rsidRPr="00D662A7">
              <w:rPr>
                <w:rStyle w:val="Emphasis"/>
                <w:i w:val="0"/>
              </w:rPr>
              <w:t>, C. 1983. Manual for the Child Behaviour checklist and Revised child Behaviour Profile. Queen City Printers: Burlington VT.</w:t>
            </w:r>
          </w:p>
        </w:tc>
        <w:tc>
          <w:tcPr>
            <w:tcW w:w="2235" w:type="dxa"/>
          </w:tcPr>
          <w:p w14:paraId="65F5A7E0" w14:textId="1EC1CCA3" w:rsidR="00D662A7" w:rsidRPr="00D662A7" w:rsidRDefault="00D662A7" w:rsidP="00D662A7">
            <w:pPr>
              <w:pStyle w:val="Bibliography"/>
              <w:spacing w:line="276" w:lineRule="auto"/>
              <w:rPr>
                <w:rStyle w:val="Emphasis"/>
                <w:i w:val="0"/>
              </w:rPr>
            </w:pPr>
            <w:r w:rsidRPr="00D662A7">
              <w:rPr>
                <w:lang w:eastAsia="en-GB"/>
              </w:rPr>
              <w:t>CBCL</w:t>
            </w:r>
          </w:p>
        </w:tc>
      </w:tr>
      <w:tr w:rsidR="00D662A7" w:rsidRPr="00D662A7" w14:paraId="2087C046" w14:textId="1746B6E8" w:rsidTr="00D662A7">
        <w:tc>
          <w:tcPr>
            <w:tcW w:w="5556" w:type="dxa"/>
          </w:tcPr>
          <w:p w14:paraId="44558979" w14:textId="255D7FEF" w:rsidR="00D662A7" w:rsidRPr="00D662A7" w:rsidRDefault="00D662A7" w:rsidP="00D662A7">
            <w:pPr>
              <w:pStyle w:val="Bibliography"/>
              <w:spacing w:line="276" w:lineRule="auto"/>
              <w:ind w:left="313" w:hanging="313"/>
            </w:pPr>
            <w:r w:rsidRPr="00D662A7">
              <w:t>Beck, A.T., Steer, R., Brown, G., 1996. Beck Depression Inventory. Psychological Corporation, San Antonio. TX.</w:t>
            </w:r>
          </w:p>
        </w:tc>
        <w:tc>
          <w:tcPr>
            <w:tcW w:w="2235" w:type="dxa"/>
          </w:tcPr>
          <w:p w14:paraId="66C7968F" w14:textId="0BD4459C" w:rsidR="00D662A7" w:rsidRPr="00D662A7" w:rsidRDefault="00D662A7" w:rsidP="00D662A7">
            <w:pPr>
              <w:pStyle w:val="Bibliography"/>
              <w:spacing w:line="276" w:lineRule="auto"/>
            </w:pPr>
            <w:r w:rsidRPr="00D662A7">
              <w:t>BDI</w:t>
            </w:r>
          </w:p>
        </w:tc>
      </w:tr>
      <w:tr w:rsidR="00D662A7" w:rsidRPr="00D662A7" w14:paraId="6A08A3CF" w14:textId="502AF4A7" w:rsidTr="00D662A7">
        <w:tc>
          <w:tcPr>
            <w:tcW w:w="5556" w:type="dxa"/>
          </w:tcPr>
          <w:p w14:paraId="12E804B1" w14:textId="505EC568" w:rsidR="00D662A7" w:rsidRPr="00D662A7" w:rsidRDefault="00D662A7" w:rsidP="00D662A7">
            <w:pPr>
              <w:pStyle w:val="Bibliography"/>
              <w:spacing w:line="276" w:lineRule="auto"/>
              <w:ind w:left="313" w:hanging="313"/>
            </w:pPr>
            <w:r w:rsidRPr="00D662A7">
              <w:t>Beck, A.T., Steer, R., Brown, G., 1993</w:t>
            </w:r>
            <w:r w:rsidRPr="00D662A7">
              <w:rPr>
                <w:rStyle w:val="Emphasis"/>
              </w:rPr>
              <w:t xml:space="preserve"> Beck Anxiety Inventory</w:t>
            </w:r>
            <w:r w:rsidRPr="00D662A7">
              <w:t>. Psychological Corporation, San Antonio.  TX.</w:t>
            </w:r>
          </w:p>
        </w:tc>
        <w:tc>
          <w:tcPr>
            <w:tcW w:w="2235" w:type="dxa"/>
          </w:tcPr>
          <w:p w14:paraId="04E9190F" w14:textId="697F3495" w:rsidR="00D662A7" w:rsidRPr="00D662A7" w:rsidRDefault="00D662A7" w:rsidP="00D662A7">
            <w:pPr>
              <w:pStyle w:val="Bibliography"/>
              <w:spacing w:line="276" w:lineRule="auto"/>
            </w:pPr>
            <w:r w:rsidRPr="00D662A7">
              <w:t>BAI</w:t>
            </w:r>
          </w:p>
        </w:tc>
      </w:tr>
      <w:tr w:rsidR="00D662A7" w:rsidRPr="00D662A7" w14:paraId="3ED4E5AA" w14:textId="494E346D" w:rsidTr="00D662A7">
        <w:tc>
          <w:tcPr>
            <w:tcW w:w="5556" w:type="dxa"/>
          </w:tcPr>
          <w:p w14:paraId="68812E2A" w14:textId="3BFD2C37" w:rsidR="00D662A7" w:rsidRPr="00D662A7" w:rsidRDefault="00D662A7" w:rsidP="00D662A7">
            <w:pPr>
              <w:pStyle w:val="Bibliography"/>
              <w:spacing w:line="276" w:lineRule="auto"/>
              <w:ind w:left="313" w:hanging="313"/>
            </w:pPr>
            <w:r w:rsidRPr="00D662A7">
              <w:t xml:space="preserve">Bergman, H., </w:t>
            </w:r>
            <w:proofErr w:type="spellStart"/>
            <w:r w:rsidRPr="00D662A7">
              <w:t>Källmén</w:t>
            </w:r>
            <w:proofErr w:type="spellEnd"/>
            <w:r w:rsidRPr="00D662A7">
              <w:t xml:space="preserve">, H., 2002. Alcohol use among Swedes and a psychometric evaluation of the alcohol use disorders identification test. Alcohol </w:t>
            </w:r>
            <w:proofErr w:type="spellStart"/>
            <w:r w:rsidRPr="00D662A7">
              <w:t>Alcohol</w:t>
            </w:r>
            <w:proofErr w:type="spellEnd"/>
            <w:r w:rsidRPr="00D662A7">
              <w:t xml:space="preserve">. </w:t>
            </w:r>
            <w:proofErr w:type="spellStart"/>
            <w:r w:rsidRPr="00D662A7">
              <w:t>Oxf</w:t>
            </w:r>
            <w:proofErr w:type="spellEnd"/>
            <w:r w:rsidRPr="00D662A7">
              <w:t xml:space="preserve">. </w:t>
            </w:r>
            <w:proofErr w:type="spellStart"/>
            <w:r w:rsidRPr="00D662A7">
              <w:t>Oxfs</w:t>
            </w:r>
            <w:proofErr w:type="spellEnd"/>
            <w:r w:rsidRPr="00D662A7">
              <w:t>. 37, 245–251.</w:t>
            </w:r>
          </w:p>
        </w:tc>
        <w:tc>
          <w:tcPr>
            <w:tcW w:w="2235" w:type="dxa"/>
          </w:tcPr>
          <w:p w14:paraId="3E4C4011" w14:textId="501119D6" w:rsidR="00D662A7" w:rsidRPr="00D662A7" w:rsidRDefault="00D662A7" w:rsidP="00D662A7">
            <w:pPr>
              <w:pStyle w:val="Bibliography"/>
              <w:spacing w:line="276" w:lineRule="auto"/>
            </w:pPr>
            <w:r w:rsidRPr="00D662A7">
              <w:t>AUDIT</w:t>
            </w:r>
          </w:p>
        </w:tc>
      </w:tr>
      <w:tr w:rsidR="00D662A7" w:rsidRPr="00D662A7" w14:paraId="02255B17" w14:textId="61B01385" w:rsidTr="00D662A7">
        <w:tc>
          <w:tcPr>
            <w:tcW w:w="5556" w:type="dxa"/>
          </w:tcPr>
          <w:p w14:paraId="087B6D86" w14:textId="6ABF8E3E" w:rsidR="00D662A7" w:rsidRPr="00D662A7" w:rsidRDefault="00D662A7" w:rsidP="00D662A7">
            <w:pPr>
              <w:pStyle w:val="Bibliography"/>
              <w:spacing w:line="276" w:lineRule="auto"/>
              <w:ind w:left="313" w:hanging="313"/>
            </w:pPr>
            <w:r w:rsidRPr="00D662A7">
              <w:t xml:space="preserve">Berman, A.H., Bergman, H., </w:t>
            </w:r>
            <w:proofErr w:type="spellStart"/>
            <w:r w:rsidRPr="00D662A7">
              <w:t>Palmstierna</w:t>
            </w:r>
            <w:proofErr w:type="spellEnd"/>
            <w:r w:rsidRPr="00D662A7">
              <w:t xml:space="preserve">, T., </w:t>
            </w:r>
            <w:proofErr w:type="spellStart"/>
            <w:r w:rsidRPr="00D662A7">
              <w:t>Schlyter</w:t>
            </w:r>
            <w:proofErr w:type="spellEnd"/>
            <w:r w:rsidRPr="00D662A7">
              <w:t>, F., 2005. Evaluation of the Drug Use Disorders Identification Test (DUDIT) in criminal justice and detoxification settings and in a Swedish population sample. Eur. Addict. Res. 11, 22–31. https://doi.org/10.1159/000081413</w:t>
            </w:r>
          </w:p>
        </w:tc>
        <w:tc>
          <w:tcPr>
            <w:tcW w:w="2235" w:type="dxa"/>
          </w:tcPr>
          <w:p w14:paraId="2DD0BA29" w14:textId="3B18FB30" w:rsidR="00D662A7" w:rsidRPr="00D662A7" w:rsidRDefault="00D662A7" w:rsidP="00D662A7">
            <w:pPr>
              <w:pStyle w:val="Bibliography"/>
              <w:spacing w:line="276" w:lineRule="auto"/>
            </w:pPr>
            <w:r w:rsidRPr="00D662A7">
              <w:t>DUDIT</w:t>
            </w:r>
          </w:p>
        </w:tc>
      </w:tr>
      <w:tr w:rsidR="00D662A7" w:rsidRPr="00D662A7" w14:paraId="7E78DC23" w14:textId="34C8A27C" w:rsidTr="00D662A7">
        <w:tc>
          <w:tcPr>
            <w:tcW w:w="5556" w:type="dxa"/>
          </w:tcPr>
          <w:p w14:paraId="6E2437AD" w14:textId="6DF322D4" w:rsidR="00D662A7" w:rsidRPr="00D662A7" w:rsidRDefault="00D662A7" w:rsidP="00D662A7">
            <w:pPr>
              <w:pStyle w:val="Bibliography"/>
              <w:spacing w:line="276" w:lineRule="auto"/>
              <w:ind w:left="313" w:hanging="313"/>
            </w:pPr>
            <w:proofErr w:type="spellStart"/>
            <w:r w:rsidRPr="00D662A7">
              <w:t>Blader</w:t>
            </w:r>
            <w:proofErr w:type="spellEnd"/>
            <w:r w:rsidRPr="00D662A7">
              <w:t xml:space="preserve">, J.C., </w:t>
            </w:r>
            <w:proofErr w:type="spellStart"/>
            <w:r w:rsidRPr="00D662A7">
              <w:t>Koplewicz</w:t>
            </w:r>
            <w:proofErr w:type="spellEnd"/>
            <w:r w:rsidRPr="00D662A7">
              <w:t xml:space="preserve">, H.S., </w:t>
            </w:r>
            <w:proofErr w:type="spellStart"/>
            <w:r w:rsidRPr="00D662A7">
              <w:t>Abikoff</w:t>
            </w:r>
            <w:proofErr w:type="spellEnd"/>
            <w:r w:rsidRPr="00D662A7">
              <w:t xml:space="preserve">, H., Foley, C., 1997. Sleep problems of elementary school children. A community survey. Arch. </w:t>
            </w:r>
            <w:proofErr w:type="spellStart"/>
            <w:r w:rsidRPr="00D662A7">
              <w:t>Pediatr</w:t>
            </w:r>
            <w:proofErr w:type="spellEnd"/>
            <w:r w:rsidRPr="00D662A7">
              <w:t xml:space="preserve">. </w:t>
            </w:r>
            <w:proofErr w:type="spellStart"/>
            <w:r w:rsidRPr="00D662A7">
              <w:t>Adolesc</w:t>
            </w:r>
            <w:proofErr w:type="spellEnd"/>
            <w:r w:rsidRPr="00D662A7">
              <w:t>. Med. 151, 473–480.</w:t>
            </w:r>
          </w:p>
        </w:tc>
        <w:tc>
          <w:tcPr>
            <w:tcW w:w="2235" w:type="dxa"/>
          </w:tcPr>
          <w:p w14:paraId="1A17180F" w14:textId="48692F1D" w:rsidR="00D662A7" w:rsidRPr="00D662A7" w:rsidRDefault="00D662A7" w:rsidP="00D662A7">
            <w:pPr>
              <w:pStyle w:val="Bibliography"/>
              <w:spacing w:line="276" w:lineRule="auto"/>
            </w:pPr>
            <w:r w:rsidRPr="00D662A7">
              <w:rPr>
                <w:lang w:eastAsia="en-GB"/>
              </w:rPr>
              <w:t>SLQ</w:t>
            </w:r>
          </w:p>
        </w:tc>
      </w:tr>
      <w:tr w:rsidR="00D662A7" w:rsidRPr="00D662A7" w14:paraId="4E80EBB5" w14:textId="0DF82AAF" w:rsidTr="00D662A7">
        <w:tc>
          <w:tcPr>
            <w:tcW w:w="5556" w:type="dxa"/>
          </w:tcPr>
          <w:p w14:paraId="7DA21808" w14:textId="4F4653BB" w:rsidR="00D662A7" w:rsidRPr="00D662A7" w:rsidRDefault="00D662A7" w:rsidP="00D662A7">
            <w:pPr>
              <w:spacing w:line="276" w:lineRule="auto"/>
              <w:ind w:left="313" w:hanging="313"/>
            </w:pPr>
            <w:proofErr w:type="spellStart"/>
            <w:r w:rsidRPr="00D662A7">
              <w:t>Conners</w:t>
            </w:r>
            <w:proofErr w:type="spellEnd"/>
            <w:r w:rsidRPr="00D662A7">
              <w:t>, C.K., 1970. Symptom patterns in hyperkinetic neurotic and normal children. Child Dev. 41, 667-682. http://dx.doi.org/10.2307/1127215</w:t>
            </w:r>
          </w:p>
        </w:tc>
        <w:tc>
          <w:tcPr>
            <w:tcW w:w="2235" w:type="dxa"/>
          </w:tcPr>
          <w:p w14:paraId="1A807F75" w14:textId="06413ABD" w:rsidR="00D662A7" w:rsidRPr="00D662A7" w:rsidRDefault="00D662A7" w:rsidP="00D662A7">
            <w:pPr>
              <w:spacing w:line="276" w:lineRule="auto"/>
            </w:pPr>
            <w:r w:rsidRPr="00D662A7">
              <w:t>PSQ</w:t>
            </w:r>
          </w:p>
        </w:tc>
      </w:tr>
      <w:tr w:rsidR="00D662A7" w:rsidRPr="00D662A7" w14:paraId="0EBB00DC" w14:textId="46949C5E" w:rsidTr="00D662A7">
        <w:tc>
          <w:tcPr>
            <w:tcW w:w="5556" w:type="dxa"/>
          </w:tcPr>
          <w:p w14:paraId="42DF61E2" w14:textId="225377D1" w:rsidR="00D662A7" w:rsidRPr="00D662A7" w:rsidRDefault="00D662A7" w:rsidP="00D662A7">
            <w:pPr>
              <w:spacing w:line="276" w:lineRule="auto"/>
              <w:ind w:left="313" w:hanging="313"/>
            </w:pPr>
            <w:proofErr w:type="spellStart"/>
            <w:r w:rsidRPr="00D662A7">
              <w:t>Conners</w:t>
            </w:r>
            <w:proofErr w:type="spellEnd"/>
            <w:r w:rsidRPr="00D662A7">
              <w:t>, C.K., 1969. A Teacher Rating Scale for Use in Drug Studies with Children | American Journal of Psychiatry. Am. J. Psychiatry 126, 884–888. https://doi.org/doi.org/10.1176/ajp.126.6.884</w:t>
            </w:r>
          </w:p>
        </w:tc>
        <w:tc>
          <w:tcPr>
            <w:tcW w:w="2235" w:type="dxa"/>
          </w:tcPr>
          <w:p w14:paraId="6425B75A" w14:textId="0F7717EA" w:rsidR="00D662A7" w:rsidRPr="00D662A7" w:rsidRDefault="00D662A7" w:rsidP="00D662A7">
            <w:pPr>
              <w:spacing w:line="276" w:lineRule="auto"/>
            </w:pPr>
            <w:r w:rsidRPr="00D662A7">
              <w:t>TRC</w:t>
            </w:r>
          </w:p>
        </w:tc>
      </w:tr>
      <w:tr w:rsidR="00D662A7" w:rsidRPr="00D662A7" w14:paraId="5FFF8FB6" w14:textId="76A6C93B" w:rsidTr="00D662A7">
        <w:tc>
          <w:tcPr>
            <w:tcW w:w="5556" w:type="dxa"/>
          </w:tcPr>
          <w:p w14:paraId="371C9EA9" w14:textId="6168FC7D" w:rsidR="00D662A7" w:rsidRPr="00D662A7" w:rsidRDefault="00D662A7" w:rsidP="00D662A7">
            <w:pPr>
              <w:pStyle w:val="Bibliography"/>
              <w:spacing w:line="276" w:lineRule="auto"/>
              <w:ind w:left="313" w:hanging="313"/>
            </w:pPr>
            <w:proofErr w:type="spellStart"/>
            <w:r w:rsidRPr="00D662A7">
              <w:lastRenderedPageBreak/>
              <w:t>Derogatis</w:t>
            </w:r>
            <w:proofErr w:type="spellEnd"/>
            <w:r w:rsidRPr="00D662A7">
              <w:t>, L.R., Cleary, P.A., 1977. Confirmation of the dimensional structure of the scl-90: A study in construct validation. J. Clin. Psychol. 33, 981–989. https://doi.org/10.1002/1097-4679(197710)33:4&lt;981::AID-JCLP2270330412&gt;3.0.CO;2-0</w:t>
            </w:r>
          </w:p>
        </w:tc>
        <w:tc>
          <w:tcPr>
            <w:tcW w:w="2235" w:type="dxa"/>
          </w:tcPr>
          <w:p w14:paraId="5FFA5D42" w14:textId="66DD28C6" w:rsidR="00D662A7" w:rsidRPr="00D662A7" w:rsidRDefault="00D662A7" w:rsidP="00D662A7">
            <w:pPr>
              <w:pStyle w:val="Bibliography"/>
              <w:spacing w:line="276" w:lineRule="auto"/>
            </w:pPr>
            <w:r w:rsidRPr="00D662A7">
              <w:t>SCL-90</w:t>
            </w:r>
          </w:p>
        </w:tc>
      </w:tr>
      <w:tr w:rsidR="00D662A7" w:rsidRPr="00D662A7" w14:paraId="2C090220" w14:textId="6F29AF7C" w:rsidTr="00D662A7">
        <w:tc>
          <w:tcPr>
            <w:tcW w:w="5556" w:type="dxa"/>
          </w:tcPr>
          <w:p w14:paraId="6A391C8B" w14:textId="2A8B7EDE" w:rsidR="00D662A7" w:rsidRPr="00D662A7" w:rsidRDefault="00D662A7" w:rsidP="00D662A7">
            <w:pPr>
              <w:pStyle w:val="Bibliography"/>
              <w:spacing w:line="276" w:lineRule="auto"/>
              <w:ind w:left="313" w:hanging="313"/>
            </w:pPr>
            <w:r w:rsidRPr="00D662A7">
              <w:t>Endicott, J., Spitzer, R.L., 1978. A diagnostic interview: the schedule for affective disorders and schizophrenia. Arch. Gen. Psychiatry 35, 837–844.</w:t>
            </w:r>
          </w:p>
        </w:tc>
        <w:tc>
          <w:tcPr>
            <w:tcW w:w="2235" w:type="dxa"/>
          </w:tcPr>
          <w:p w14:paraId="69CC99AC" w14:textId="4D7219AF" w:rsidR="00D662A7" w:rsidRPr="00D662A7" w:rsidRDefault="00D662A7" w:rsidP="00D662A7">
            <w:pPr>
              <w:pStyle w:val="Bibliography"/>
              <w:spacing w:line="276" w:lineRule="auto"/>
            </w:pPr>
            <w:r w:rsidRPr="00D662A7">
              <w:rPr>
                <w:lang w:eastAsia="en-GB"/>
              </w:rPr>
              <w:t>SADS</w:t>
            </w:r>
          </w:p>
        </w:tc>
      </w:tr>
      <w:tr w:rsidR="00C13C00" w:rsidRPr="00D662A7" w14:paraId="6B351FEC" w14:textId="77777777" w:rsidTr="00D662A7">
        <w:tc>
          <w:tcPr>
            <w:tcW w:w="5556" w:type="dxa"/>
          </w:tcPr>
          <w:p w14:paraId="5D23FD5E" w14:textId="27B94A3D" w:rsidR="00C13C00" w:rsidRPr="00D662A7" w:rsidRDefault="00C13C00" w:rsidP="00C13C00">
            <w:pPr>
              <w:pStyle w:val="Bibliography"/>
              <w:spacing w:line="276" w:lineRule="auto"/>
              <w:ind w:left="313" w:hanging="313"/>
            </w:pPr>
            <w:proofErr w:type="spellStart"/>
            <w:r w:rsidRPr="00D662A7">
              <w:t>Gadow</w:t>
            </w:r>
            <w:proofErr w:type="spellEnd"/>
            <w:r w:rsidRPr="00D662A7">
              <w:t xml:space="preserve">, K.D., </w:t>
            </w:r>
            <w:proofErr w:type="spellStart"/>
            <w:r w:rsidRPr="00D662A7">
              <w:t>Sprafkin</w:t>
            </w:r>
            <w:proofErr w:type="spellEnd"/>
            <w:r w:rsidRPr="00D662A7">
              <w:t>, J., 1994. Child Symptom Inventories Manual. Checkmate Plus, Stony Brook, NY.</w:t>
            </w:r>
          </w:p>
        </w:tc>
        <w:tc>
          <w:tcPr>
            <w:tcW w:w="2235" w:type="dxa"/>
          </w:tcPr>
          <w:p w14:paraId="48BBE460" w14:textId="0A61C866" w:rsidR="00C13C00" w:rsidRPr="00D662A7" w:rsidRDefault="00C13C00" w:rsidP="00C13C00">
            <w:pPr>
              <w:pStyle w:val="Bibliography"/>
              <w:spacing w:line="276" w:lineRule="auto"/>
              <w:rPr>
                <w:lang w:eastAsia="en-GB"/>
              </w:rPr>
            </w:pPr>
            <w:r w:rsidRPr="00D662A7">
              <w:rPr>
                <w:lang w:eastAsia="en-GB"/>
              </w:rPr>
              <w:t>CSI-3R</w:t>
            </w:r>
          </w:p>
        </w:tc>
      </w:tr>
      <w:tr w:rsidR="00C13C00" w:rsidRPr="00D662A7" w14:paraId="42311C57" w14:textId="411A1959" w:rsidTr="00D662A7">
        <w:tc>
          <w:tcPr>
            <w:tcW w:w="5556" w:type="dxa"/>
          </w:tcPr>
          <w:p w14:paraId="70A3423D" w14:textId="3AA71380" w:rsidR="00C13C00" w:rsidRPr="00D662A7" w:rsidRDefault="00C13C00" w:rsidP="00C13C00">
            <w:pPr>
              <w:pStyle w:val="Bibliography"/>
              <w:spacing w:line="276" w:lineRule="auto"/>
              <w:ind w:left="313" w:hanging="313"/>
            </w:pPr>
            <w:proofErr w:type="spellStart"/>
            <w:r>
              <w:t>Gau</w:t>
            </w:r>
            <w:proofErr w:type="spellEnd"/>
            <w:r>
              <w:t>, S.S., 2006. Prevalence of sleep problems and their association with inattention/hyperactivity among children aged 6–15 in Taiwan</w:t>
            </w:r>
            <w:r w:rsidRPr="00C13C00">
              <w:t>. J. Sleep Res. 15(4), 403-414.</w:t>
            </w:r>
          </w:p>
        </w:tc>
        <w:tc>
          <w:tcPr>
            <w:tcW w:w="2235" w:type="dxa"/>
          </w:tcPr>
          <w:p w14:paraId="7A241B31" w14:textId="56081A24" w:rsidR="00C13C00" w:rsidRPr="00D662A7" w:rsidRDefault="00C13C00" w:rsidP="00C13C00">
            <w:pPr>
              <w:pStyle w:val="Bibliography"/>
              <w:spacing w:line="276" w:lineRule="auto"/>
            </w:pPr>
            <w:r w:rsidRPr="00D662A7">
              <w:rPr>
                <w:lang w:eastAsia="en-GB"/>
              </w:rPr>
              <w:t>Sleep Disorder Questionnaire</w:t>
            </w:r>
          </w:p>
        </w:tc>
      </w:tr>
      <w:tr w:rsidR="00C13C00" w:rsidRPr="00D662A7" w14:paraId="68C5E1D8" w14:textId="5DDAAF7A" w:rsidTr="00D662A7">
        <w:tc>
          <w:tcPr>
            <w:tcW w:w="5556" w:type="dxa"/>
          </w:tcPr>
          <w:p w14:paraId="71190AF2" w14:textId="0157AB01" w:rsidR="00C13C00" w:rsidRPr="00D662A7" w:rsidRDefault="00C13C00" w:rsidP="00C13C00">
            <w:pPr>
              <w:pStyle w:val="Bibliography"/>
              <w:spacing w:line="276" w:lineRule="auto"/>
              <w:ind w:left="313" w:hanging="313"/>
            </w:pPr>
            <w:r w:rsidRPr="00D662A7">
              <w:t>Hathaway, S.R., McKinley, J.C., 1951. Minnesota Multiphasic Personality Inventory; manual, Revised. Psychological Corporation, San Antonio.</w:t>
            </w:r>
          </w:p>
        </w:tc>
        <w:tc>
          <w:tcPr>
            <w:tcW w:w="2235" w:type="dxa"/>
          </w:tcPr>
          <w:p w14:paraId="27C69A30" w14:textId="7542922A" w:rsidR="00C13C00" w:rsidRPr="00D662A7" w:rsidRDefault="00C13C00" w:rsidP="00C13C00">
            <w:pPr>
              <w:pStyle w:val="Bibliography"/>
              <w:spacing w:line="276" w:lineRule="auto"/>
            </w:pPr>
            <w:r w:rsidRPr="00D662A7">
              <w:rPr>
                <w:lang w:eastAsia="en-GB"/>
              </w:rPr>
              <w:t>MMPI</w:t>
            </w:r>
          </w:p>
        </w:tc>
      </w:tr>
      <w:tr w:rsidR="00C13C00" w:rsidRPr="00D662A7" w14:paraId="6CD48C66" w14:textId="4AF584D0" w:rsidTr="00D662A7">
        <w:tc>
          <w:tcPr>
            <w:tcW w:w="5556" w:type="dxa"/>
          </w:tcPr>
          <w:p w14:paraId="0A760618" w14:textId="32BAA66F" w:rsidR="00C13C00" w:rsidRPr="00D662A7" w:rsidRDefault="00C13C00" w:rsidP="00C13C00">
            <w:pPr>
              <w:pStyle w:val="Bibliography"/>
              <w:spacing w:line="276" w:lineRule="auto"/>
              <w:ind w:left="313" w:hanging="313"/>
            </w:pPr>
            <w:proofErr w:type="spellStart"/>
            <w:r w:rsidRPr="00D662A7">
              <w:t>Himle</w:t>
            </w:r>
            <w:proofErr w:type="spellEnd"/>
            <w:r w:rsidRPr="00D662A7">
              <w:t xml:space="preserve">, M.B., Chang, S., Woods, D.W., Pearlman, A., </w:t>
            </w:r>
            <w:proofErr w:type="spellStart"/>
            <w:r w:rsidRPr="00D662A7">
              <w:t>Buzzella</w:t>
            </w:r>
            <w:proofErr w:type="spellEnd"/>
            <w:r w:rsidRPr="00D662A7">
              <w:t xml:space="preserve">, B., </w:t>
            </w:r>
            <w:proofErr w:type="spellStart"/>
            <w:r w:rsidRPr="00D662A7">
              <w:t>Bunaciu</w:t>
            </w:r>
            <w:proofErr w:type="spellEnd"/>
            <w:r w:rsidRPr="00D662A7">
              <w:t xml:space="preserve">, L., </w:t>
            </w:r>
            <w:proofErr w:type="spellStart"/>
            <w:r w:rsidRPr="00D662A7">
              <w:t>Piacentini</w:t>
            </w:r>
            <w:proofErr w:type="spellEnd"/>
            <w:r w:rsidRPr="00D662A7">
              <w:t xml:space="preserve">, J.C., 2006. Establishing the Feasibility of Direct Observation in the Assessment of Tics in Children with Chronic Tic Disorders. J. Appl. </w:t>
            </w:r>
            <w:proofErr w:type="spellStart"/>
            <w:r w:rsidRPr="00D662A7">
              <w:t>Behav</w:t>
            </w:r>
            <w:proofErr w:type="spellEnd"/>
            <w:r w:rsidRPr="00D662A7">
              <w:t>. Anal. 39, 429–440. https://doi.org/10.1901/jaba.2006.63-06</w:t>
            </w:r>
          </w:p>
        </w:tc>
        <w:tc>
          <w:tcPr>
            <w:tcW w:w="2235" w:type="dxa"/>
          </w:tcPr>
          <w:p w14:paraId="2721B254" w14:textId="15EE38B1" w:rsidR="00C13C00" w:rsidRPr="00D662A7" w:rsidRDefault="00C13C00" w:rsidP="00C13C00">
            <w:pPr>
              <w:pStyle w:val="Bibliography"/>
              <w:spacing w:line="276" w:lineRule="auto"/>
            </w:pPr>
            <w:r w:rsidRPr="00D662A7">
              <w:rPr>
                <w:lang w:eastAsia="en-GB"/>
              </w:rPr>
              <w:t>C-YGTSS</w:t>
            </w:r>
          </w:p>
        </w:tc>
      </w:tr>
      <w:tr w:rsidR="00C13C00" w:rsidRPr="00D662A7" w14:paraId="7903EBA2" w14:textId="1E6F3ACE" w:rsidTr="00D662A7">
        <w:tc>
          <w:tcPr>
            <w:tcW w:w="5556" w:type="dxa"/>
          </w:tcPr>
          <w:p w14:paraId="311B2269" w14:textId="513004A6" w:rsidR="00C13C00" w:rsidRPr="00D662A7" w:rsidRDefault="00C13C00" w:rsidP="00C13C00">
            <w:pPr>
              <w:pStyle w:val="Bibliography"/>
              <w:spacing w:line="276" w:lineRule="auto"/>
              <w:ind w:left="313" w:hanging="313"/>
            </w:pPr>
            <w:r w:rsidRPr="00D662A7">
              <w:t>Jensen, P.S., 1999. A 14-month randomized clinical trial of treatment strategies for attention-deficit/hyperactivity disorder. Arch. Gen. Psychiatry 56, 1073–1086.</w:t>
            </w:r>
          </w:p>
        </w:tc>
        <w:tc>
          <w:tcPr>
            <w:tcW w:w="2235" w:type="dxa"/>
          </w:tcPr>
          <w:p w14:paraId="1C7604AE" w14:textId="6F019346" w:rsidR="00C13C00" w:rsidRPr="00D662A7" w:rsidRDefault="00C13C00" w:rsidP="00C13C00">
            <w:pPr>
              <w:pStyle w:val="Bibliography"/>
              <w:spacing w:line="276" w:lineRule="auto"/>
            </w:pPr>
            <w:r w:rsidRPr="00D662A7">
              <w:t>SERF</w:t>
            </w:r>
          </w:p>
        </w:tc>
      </w:tr>
      <w:tr w:rsidR="00C13C00" w:rsidRPr="00D662A7" w14:paraId="3F290813" w14:textId="3C99AD65" w:rsidTr="00D662A7">
        <w:tc>
          <w:tcPr>
            <w:tcW w:w="5556" w:type="dxa"/>
          </w:tcPr>
          <w:p w14:paraId="2673AFB9" w14:textId="3EBC769B" w:rsidR="00C13C00" w:rsidRPr="00D662A7" w:rsidRDefault="00C13C00" w:rsidP="00C13C00">
            <w:pPr>
              <w:pStyle w:val="Bibliography"/>
              <w:spacing w:line="276" w:lineRule="auto"/>
              <w:ind w:left="313" w:hanging="313"/>
            </w:pPr>
            <w:r w:rsidRPr="00D662A7">
              <w:t xml:space="preserve">Kovacs M., 1992. Children’s Depression Inventory Manual. Multi Health Systems, North Tonawanda, NY: </w:t>
            </w:r>
          </w:p>
        </w:tc>
        <w:tc>
          <w:tcPr>
            <w:tcW w:w="2235" w:type="dxa"/>
          </w:tcPr>
          <w:p w14:paraId="31CAC641" w14:textId="2A7BCE61" w:rsidR="00C13C00" w:rsidRPr="00D662A7" w:rsidRDefault="00C13C00" w:rsidP="00C13C00">
            <w:pPr>
              <w:pStyle w:val="Bibliography"/>
              <w:spacing w:line="276" w:lineRule="auto"/>
            </w:pPr>
            <w:r w:rsidRPr="00D662A7">
              <w:rPr>
                <w:lang w:eastAsia="en-GB"/>
              </w:rPr>
              <w:t>CDI</w:t>
            </w:r>
          </w:p>
        </w:tc>
      </w:tr>
      <w:tr w:rsidR="00C13C00" w:rsidRPr="00D662A7" w14:paraId="1F28D408" w14:textId="3999A29F" w:rsidTr="00D662A7">
        <w:tc>
          <w:tcPr>
            <w:tcW w:w="5556" w:type="dxa"/>
          </w:tcPr>
          <w:p w14:paraId="24279FC3" w14:textId="409894D9" w:rsidR="00C13C00" w:rsidRPr="00D662A7" w:rsidRDefault="00C13C00" w:rsidP="00C13C00">
            <w:pPr>
              <w:pStyle w:val="Bibliography"/>
              <w:spacing w:line="276" w:lineRule="auto"/>
              <w:ind w:left="313" w:hanging="313"/>
            </w:pPr>
            <w:proofErr w:type="spellStart"/>
            <w:r w:rsidRPr="00D662A7">
              <w:t>Kurlan</w:t>
            </w:r>
            <w:proofErr w:type="spellEnd"/>
            <w:r w:rsidRPr="00D662A7">
              <w:t xml:space="preserve">, R.M., Riddle, M., Como, P., 1988. Tourette Syndrome Unified Rating Scale. Tourette Syndrome Association </w:t>
            </w:r>
            <w:proofErr w:type="spellStart"/>
            <w:r w:rsidRPr="00D662A7">
              <w:t>Inc</w:t>
            </w:r>
            <w:proofErr w:type="spellEnd"/>
            <w:r w:rsidRPr="00D662A7">
              <w:t xml:space="preserve">, </w:t>
            </w:r>
            <w:proofErr w:type="spellStart"/>
            <w:r w:rsidRPr="00D662A7">
              <w:t>Bayside</w:t>
            </w:r>
            <w:proofErr w:type="spellEnd"/>
            <w:r w:rsidRPr="00D662A7">
              <w:t>, NY.</w:t>
            </w:r>
          </w:p>
        </w:tc>
        <w:tc>
          <w:tcPr>
            <w:tcW w:w="2235" w:type="dxa"/>
          </w:tcPr>
          <w:p w14:paraId="50DBDEF0" w14:textId="6AA93315" w:rsidR="00C13C00" w:rsidRPr="00D662A7" w:rsidRDefault="00C13C00" w:rsidP="00C13C00">
            <w:pPr>
              <w:pStyle w:val="Bibliography"/>
              <w:spacing w:line="276" w:lineRule="auto"/>
            </w:pPr>
            <w:r w:rsidRPr="00D662A7">
              <w:rPr>
                <w:lang w:eastAsia="en-GB"/>
              </w:rPr>
              <w:t>Tourette Syndrome Unified Rating Scale</w:t>
            </w:r>
          </w:p>
        </w:tc>
      </w:tr>
      <w:tr w:rsidR="00C13C00" w:rsidRPr="00D662A7" w14:paraId="4B6AAEE5" w14:textId="6A6DD280" w:rsidTr="00D662A7">
        <w:tc>
          <w:tcPr>
            <w:tcW w:w="5556" w:type="dxa"/>
          </w:tcPr>
          <w:p w14:paraId="7C5B08B9" w14:textId="0049CACA" w:rsidR="00C13C00" w:rsidRPr="00D662A7" w:rsidRDefault="00C13C00" w:rsidP="00C13C00">
            <w:pPr>
              <w:pStyle w:val="Bibliography"/>
              <w:spacing w:line="276" w:lineRule="auto"/>
              <w:ind w:left="313" w:hanging="313"/>
            </w:pPr>
            <w:proofErr w:type="spellStart"/>
            <w:r w:rsidRPr="00D662A7">
              <w:t>Leckman</w:t>
            </w:r>
            <w:proofErr w:type="spellEnd"/>
            <w:r w:rsidRPr="00D662A7">
              <w:t xml:space="preserve">, J.F., Riddle, M.A., Hardin, M.T., Ort, S.I., Swartz, K.L., Stevenson, J., Cohen, D.J., 1989. The </w:t>
            </w:r>
            <w:r w:rsidRPr="00D662A7">
              <w:lastRenderedPageBreak/>
              <w:t xml:space="preserve">Yale Global Tic Severity Scale: Initial Testing of a Clinician-Rated Scale of Tic Severity. J. Am. Acad. Child </w:t>
            </w:r>
            <w:proofErr w:type="spellStart"/>
            <w:r w:rsidRPr="00D662A7">
              <w:t>Adolesc</w:t>
            </w:r>
            <w:proofErr w:type="spellEnd"/>
            <w:r w:rsidRPr="00D662A7">
              <w:t>. Psychiatry 28, 566–573. https://doi.org/10.1097/00004583-198907000-00015</w:t>
            </w:r>
          </w:p>
        </w:tc>
        <w:tc>
          <w:tcPr>
            <w:tcW w:w="2235" w:type="dxa"/>
          </w:tcPr>
          <w:p w14:paraId="2A8B2DE9" w14:textId="78199048" w:rsidR="00C13C00" w:rsidRPr="00D662A7" w:rsidRDefault="00C13C00" w:rsidP="00C13C00">
            <w:pPr>
              <w:pStyle w:val="Bibliography"/>
              <w:spacing w:line="276" w:lineRule="auto"/>
            </w:pPr>
            <w:r w:rsidRPr="00D662A7">
              <w:rPr>
                <w:lang w:eastAsia="en-GB"/>
              </w:rPr>
              <w:lastRenderedPageBreak/>
              <w:t>YGTSS</w:t>
            </w:r>
          </w:p>
        </w:tc>
      </w:tr>
      <w:tr w:rsidR="00C13C00" w:rsidRPr="00D662A7" w14:paraId="49942181" w14:textId="09F41C7D" w:rsidTr="00D662A7">
        <w:tc>
          <w:tcPr>
            <w:tcW w:w="5556" w:type="dxa"/>
          </w:tcPr>
          <w:p w14:paraId="56C4739D" w14:textId="43E52485" w:rsidR="00C13C00" w:rsidRPr="00D662A7" w:rsidRDefault="00C13C00" w:rsidP="00C13C00">
            <w:pPr>
              <w:pStyle w:val="Bibliography"/>
              <w:spacing w:line="276" w:lineRule="auto"/>
              <w:ind w:left="313" w:hanging="313"/>
            </w:pPr>
            <w:proofErr w:type="spellStart"/>
            <w:r w:rsidRPr="00D662A7">
              <w:lastRenderedPageBreak/>
              <w:t>Leckman</w:t>
            </w:r>
            <w:proofErr w:type="spellEnd"/>
            <w:r w:rsidRPr="00D662A7">
              <w:t xml:space="preserve">, J.F., </w:t>
            </w:r>
            <w:proofErr w:type="spellStart"/>
            <w:r w:rsidRPr="00D662A7">
              <w:t>Towbin</w:t>
            </w:r>
            <w:proofErr w:type="spellEnd"/>
            <w:r w:rsidRPr="00D662A7">
              <w:t xml:space="preserve">, K.E., Ort, S.I., 1988. Clinical assessment of tic disorder severity, in: Cohen, D.J., </w:t>
            </w:r>
            <w:proofErr w:type="spellStart"/>
            <w:r w:rsidRPr="00D662A7">
              <w:t>Bruun</w:t>
            </w:r>
            <w:proofErr w:type="spellEnd"/>
            <w:r w:rsidRPr="00D662A7">
              <w:t xml:space="preserve">, R.D., </w:t>
            </w:r>
            <w:proofErr w:type="spellStart"/>
            <w:r w:rsidRPr="00D662A7">
              <w:t>Leckman</w:t>
            </w:r>
            <w:proofErr w:type="spellEnd"/>
            <w:r w:rsidRPr="00D662A7">
              <w:t>, J.F. (Eds.), Tourette Syndrome and Tic Disorders. John Wiley and Sons, New York, NY, pp. 55–78.</w:t>
            </w:r>
          </w:p>
        </w:tc>
        <w:tc>
          <w:tcPr>
            <w:tcW w:w="2235" w:type="dxa"/>
          </w:tcPr>
          <w:p w14:paraId="4853E64B" w14:textId="07C10A54" w:rsidR="00C13C00" w:rsidRPr="00D662A7" w:rsidRDefault="00C13C00" w:rsidP="00C13C00">
            <w:pPr>
              <w:pStyle w:val="Bibliography"/>
              <w:spacing w:line="276" w:lineRule="auto"/>
            </w:pPr>
            <w:r w:rsidRPr="00D662A7">
              <w:rPr>
                <w:lang w:eastAsia="en-GB"/>
              </w:rPr>
              <w:t>TS-CGI</w:t>
            </w:r>
          </w:p>
        </w:tc>
      </w:tr>
      <w:tr w:rsidR="00C13C00" w:rsidRPr="00D662A7" w14:paraId="7F57130A" w14:textId="0B721D17" w:rsidTr="00D662A7">
        <w:tc>
          <w:tcPr>
            <w:tcW w:w="5556" w:type="dxa"/>
          </w:tcPr>
          <w:p w14:paraId="52D6390A" w14:textId="28DE2B14" w:rsidR="00C13C00" w:rsidRPr="00D662A7" w:rsidRDefault="00C13C00" w:rsidP="00C13C00">
            <w:pPr>
              <w:pStyle w:val="Bibliography"/>
              <w:spacing w:line="276" w:lineRule="auto"/>
              <w:ind w:left="313" w:hanging="313"/>
            </w:pPr>
            <w:proofErr w:type="spellStart"/>
            <w:r w:rsidRPr="00D662A7">
              <w:t>Mannuzza</w:t>
            </w:r>
            <w:proofErr w:type="spellEnd"/>
            <w:r w:rsidRPr="00D662A7">
              <w:t xml:space="preserve">, S., Klein, R.G., 1987. </w:t>
            </w:r>
            <w:proofErr w:type="spellStart"/>
            <w:r w:rsidRPr="00D662A7">
              <w:t>Mannuzza</w:t>
            </w:r>
            <w:proofErr w:type="spellEnd"/>
            <w:r w:rsidRPr="00D662A7">
              <w:t xml:space="preserve">, S., and R. G. Klein. "Schedule for the Assessment of Conduct, Hyperactivity, Anxiety, Mood, and Psychoactive Substances (CHAMPS). Children’s </w:t>
            </w:r>
            <w:proofErr w:type="spellStart"/>
            <w:r w:rsidRPr="00D662A7">
              <w:t>Behavior</w:t>
            </w:r>
            <w:proofErr w:type="spellEnd"/>
            <w:r w:rsidRPr="00D662A7">
              <w:t xml:space="preserve"> Disorders Clinic, Long Island Jewish Medical </w:t>
            </w:r>
            <w:proofErr w:type="spellStart"/>
            <w:r w:rsidRPr="00D662A7">
              <w:t>Center</w:t>
            </w:r>
            <w:proofErr w:type="spellEnd"/>
            <w:r w:rsidRPr="00D662A7">
              <w:t>, New Hyde Park, New York.</w:t>
            </w:r>
          </w:p>
        </w:tc>
        <w:tc>
          <w:tcPr>
            <w:tcW w:w="2235" w:type="dxa"/>
          </w:tcPr>
          <w:p w14:paraId="5CBF7974" w14:textId="13B5E8D9" w:rsidR="00C13C00" w:rsidRPr="00D662A7" w:rsidRDefault="00C13C00" w:rsidP="00C13C00">
            <w:pPr>
              <w:pStyle w:val="Bibliography"/>
              <w:spacing w:line="276" w:lineRule="auto"/>
            </w:pPr>
            <w:r w:rsidRPr="00D662A7">
              <w:t>CHAMPS</w:t>
            </w:r>
          </w:p>
        </w:tc>
      </w:tr>
      <w:tr w:rsidR="00C13C00" w:rsidRPr="00D662A7" w14:paraId="06EC7A49" w14:textId="36C8D930" w:rsidTr="00D662A7">
        <w:tc>
          <w:tcPr>
            <w:tcW w:w="5556" w:type="dxa"/>
          </w:tcPr>
          <w:p w14:paraId="4A8261BD" w14:textId="776EC10F" w:rsidR="00C13C00" w:rsidRPr="00D662A7" w:rsidRDefault="00C13C00" w:rsidP="00C13C00">
            <w:pPr>
              <w:pStyle w:val="Bibliography"/>
              <w:spacing w:line="276" w:lineRule="auto"/>
              <w:ind w:left="313" w:hanging="313"/>
            </w:pPr>
            <w:r w:rsidRPr="00D662A7">
              <w:t>Piers, E.V., 1984. Piers-Harris Children’s Self-concept Scale (rev. Manual). Western Psychological Sciences, Los Angeles.</w:t>
            </w:r>
          </w:p>
        </w:tc>
        <w:tc>
          <w:tcPr>
            <w:tcW w:w="2235" w:type="dxa"/>
          </w:tcPr>
          <w:p w14:paraId="69BD0648" w14:textId="44B28661" w:rsidR="00C13C00" w:rsidRPr="00D662A7" w:rsidRDefault="00C13C00" w:rsidP="00C13C00">
            <w:pPr>
              <w:pStyle w:val="Bibliography"/>
              <w:spacing w:line="276" w:lineRule="auto"/>
            </w:pPr>
            <w:r w:rsidRPr="00D662A7">
              <w:t>PH</w:t>
            </w:r>
          </w:p>
        </w:tc>
      </w:tr>
      <w:tr w:rsidR="00C13C00" w:rsidRPr="00D662A7" w14:paraId="037389E3" w14:textId="1B0EB651" w:rsidTr="00D662A7">
        <w:tc>
          <w:tcPr>
            <w:tcW w:w="5556" w:type="dxa"/>
          </w:tcPr>
          <w:p w14:paraId="391C0834" w14:textId="3D95F7BE" w:rsidR="00C13C00" w:rsidRPr="00D662A7" w:rsidRDefault="00C13C00" w:rsidP="00C13C00">
            <w:pPr>
              <w:pStyle w:val="Bibliography"/>
              <w:spacing w:line="276" w:lineRule="auto"/>
              <w:ind w:left="313" w:hanging="313"/>
            </w:pPr>
            <w:r w:rsidRPr="00D662A7">
              <w:t xml:space="preserve">Robins, L.N., Wing, J., </w:t>
            </w:r>
            <w:proofErr w:type="spellStart"/>
            <w:r w:rsidRPr="00D662A7">
              <w:t>Wittchen</w:t>
            </w:r>
            <w:proofErr w:type="spellEnd"/>
            <w:r w:rsidRPr="00D662A7">
              <w:t xml:space="preserve">, H.U., </w:t>
            </w:r>
            <w:proofErr w:type="spellStart"/>
            <w:r w:rsidRPr="00D662A7">
              <w:t>Helzer</w:t>
            </w:r>
            <w:proofErr w:type="spellEnd"/>
            <w:r w:rsidRPr="00D662A7">
              <w:t xml:space="preserve">, J.E., </w:t>
            </w:r>
            <w:proofErr w:type="spellStart"/>
            <w:r w:rsidRPr="00D662A7">
              <w:t>Babor</w:t>
            </w:r>
            <w:proofErr w:type="spellEnd"/>
            <w:r w:rsidRPr="00D662A7">
              <w:t xml:space="preserve">, T.F., Burke, J., Farmer, A., </w:t>
            </w:r>
            <w:proofErr w:type="spellStart"/>
            <w:r w:rsidRPr="00D662A7">
              <w:t>Jablenski</w:t>
            </w:r>
            <w:proofErr w:type="spellEnd"/>
            <w:r w:rsidRPr="00D662A7">
              <w:t xml:space="preserve">, A., Pickens, R., </w:t>
            </w:r>
            <w:proofErr w:type="spellStart"/>
            <w:r w:rsidRPr="00D662A7">
              <w:t>Regier</w:t>
            </w:r>
            <w:proofErr w:type="spellEnd"/>
            <w:r w:rsidRPr="00D662A7">
              <w:t>, D.A., 1988. The Composite International Diagnostic Interview. An epidemiologic Instrument suitable for use in conjunction with different diagnostic systems and in different cultures. Arch. Gen. Psychiatry 45, 1069–1077.</w:t>
            </w:r>
          </w:p>
        </w:tc>
        <w:tc>
          <w:tcPr>
            <w:tcW w:w="2235" w:type="dxa"/>
          </w:tcPr>
          <w:p w14:paraId="0525CF08" w14:textId="0FD9FDE6" w:rsidR="00C13C00" w:rsidRPr="00D662A7" w:rsidRDefault="00C13C00" w:rsidP="00C13C00">
            <w:pPr>
              <w:pStyle w:val="Bibliography"/>
              <w:spacing w:line="276" w:lineRule="auto"/>
            </w:pPr>
            <w:r w:rsidRPr="00D662A7">
              <w:t>CIDI</w:t>
            </w:r>
          </w:p>
        </w:tc>
      </w:tr>
      <w:tr w:rsidR="00C13C00" w:rsidRPr="00D662A7" w14:paraId="228562DB" w14:textId="0976817D" w:rsidTr="00D662A7">
        <w:tc>
          <w:tcPr>
            <w:tcW w:w="5556" w:type="dxa"/>
          </w:tcPr>
          <w:p w14:paraId="027D7886" w14:textId="746B807E" w:rsidR="00C13C00" w:rsidRPr="00D662A7" w:rsidRDefault="00C13C00" w:rsidP="00C13C00">
            <w:pPr>
              <w:pStyle w:val="Bibliography"/>
              <w:spacing w:line="276" w:lineRule="auto"/>
              <w:ind w:left="313" w:hanging="313"/>
            </w:pPr>
            <w:r w:rsidRPr="00D662A7">
              <w:t xml:space="preserve">Schulz, P., </w:t>
            </w:r>
            <w:proofErr w:type="spellStart"/>
            <w:r w:rsidRPr="00D662A7">
              <w:t>Schlotz</w:t>
            </w:r>
            <w:proofErr w:type="spellEnd"/>
            <w:r w:rsidRPr="00D662A7">
              <w:t xml:space="preserve">, W., Becker, P., 2004. </w:t>
            </w:r>
            <w:proofErr w:type="spellStart"/>
            <w:r w:rsidRPr="00D662A7">
              <w:t>Trierer</w:t>
            </w:r>
            <w:proofErr w:type="spellEnd"/>
            <w:r w:rsidRPr="00D662A7">
              <w:t xml:space="preserve"> </w:t>
            </w:r>
            <w:proofErr w:type="spellStart"/>
            <w:r w:rsidRPr="00D662A7">
              <w:t>Inventar</w:t>
            </w:r>
            <w:proofErr w:type="spellEnd"/>
            <w:r w:rsidRPr="00D662A7">
              <w:t xml:space="preserve"> </w:t>
            </w:r>
            <w:proofErr w:type="spellStart"/>
            <w:r w:rsidRPr="00D662A7">
              <w:t>zum</w:t>
            </w:r>
            <w:proofErr w:type="spellEnd"/>
            <w:r w:rsidRPr="00D662A7">
              <w:t xml:space="preserve"> </w:t>
            </w:r>
            <w:proofErr w:type="spellStart"/>
            <w:r w:rsidRPr="00D662A7">
              <w:t>Chronischen</w:t>
            </w:r>
            <w:proofErr w:type="spellEnd"/>
            <w:r w:rsidRPr="00D662A7">
              <w:t xml:space="preserve"> Stress (TICS) [Trier Inventory for Chronic Stress (TICS)]. </w:t>
            </w:r>
            <w:proofErr w:type="spellStart"/>
            <w:r w:rsidRPr="00D662A7">
              <w:t>Hogrefe</w:t>
            </w:r>
            <w:proofErr w:type="spellEnd"/>
            <w:r w:rsidRPr="00D662A7">
              <w:t>, Bern, Toronto, Seattle.</w:t>
            </w:r>
          </w:p>
        </w:tc>
        <w:tc>
          <w:tcPr>
            <w:tcW w:w="2235" w:type="dxa"/>
          </w:tcPr>
          <w:p w14:paraId="65E84999" w14:textId="38EE1F0C" w:rsidR="00C13C00" w:rsidRPr="00D662A7" w:rsidRDefault="00C13C00" w:rsidP="00C13C00">
            <w:pPr>
              <w:pStyle w:val="Bibliography"/>
              <w:spacing w:line="276" w:lineRule="auto"/>
            </w:pPr>
            <w:r w:rsidRPr="00D662A7">
              <w:t>TICS</w:t>
            </w:r>
          </w:p>
        </w:tc>
      </w:tr>
      <w:tr w:rsidR="00C13C00" w:rsidRPr="00D662A7" w14:paraId="70498F58" w14:textId="49EB5880" w:rsidTr="00D662A7">
        <w:tc>
          <w:tcPr>
            <w:tcW w:w="5556" w:type="dxa"/>
          </w:tcPr>
          <w:p w14:paraId="722E2B8C" w14:textId="746E2416" w:rsidR="00C13C00" w:rsidRPr="00D662A7" w:rsidRDefault="00C13C00" w:rsidP="00C13C00">
            <w:pPr>
              <w:pStyle w:val="Bibliography"/>
              <w:spacing w:line="276" w:lineRule="auto"/>
              <w:ind w:left="313" w:hanging="313"/>
            </w:pPr>
            <w:r w:rsidRPr="00D662A7">
              <w:t>Shapiro, A., Shapiro, E., Young, J., 1988. Gilles de la Tourette Syndrome. Raven Press, New York, NY.</w:t>
            </w:r>
          </w:p>
        </w:tc>
        <w:tc>
          <w:tcPr>
            <w:tcW w:w="2235" w:type="dxa"/>
          </w:tcPr>
          <w:p w14:paraId="4192FE63" w14:textId="2229D592" w:rsidR="00C13C00" w:rsidRPr="00D662A7" w:rsidRDefault="00C13C00" w:rsidP="00C13C00">
            <w:pPr>
              <w:pStyle w:val="Bibliography"/>
              <w:spacing w:line="276" w:lineRule="auto"/>
            </w:pPr>
            <w:r w:rsidRPr="00D662A7">
              <w:rPr>
                <w:lang w:eastAsia="en-GB"/>
              </w:rPr>
              <w:t>Shapiro Tourette Severity Scale</w:t>
            </w:r>
          </w:p>
        </w:tc>
      </w:tr>
      <w:tr w:rsidR="00C13C00" w:rsidRPr="002F3790" w14:paraId="7EF72D25" w14:textId="276AE9C3" w:rsidTr="00D662A7">
        <w:tc>
          <w:tcPr>
            <w:tcW w:w="5556" w:type="dxa"/>
          </w:tcPr>
          <w:p w14:paraId="510D1BFA" w14:textId="6F95EFAB" w:rsidR="00C13C00" w:rsidRPr="00D662A7" w:rsidRDefault="00C13C00" w:rsidP="00C13C00">
            <w:pPr>
              <w:pStyle w:val="Bibliography"/>
              <w:spacing w:line="276" w:lineRule="auto"/>
              <w:ind w:left="313" w:hanging="313"/>
            </w:pPr>
            <w:r w:rsidRPr="00D662A7">
              <w:t xml:space="preserve">Tarter, R.E., </w:t>
            </w:r>
            <w:proofErr w:type="spellStart"/>
            <w:r w:rsidRPr="00D662A7">
              <w:t>Kirisci</w:t>
            </w:r>
            <w:proofErr w:type="spellEnd"/>
            <w:r w:rsidRPr="00D662A7">
              <w:t xml:space="preserve">, L., </w:t>
            </w:r>
            <w:proofErr w:type="spellStart"/>
            <w:r w:rsidRPr="00D662A7">
              <w:t>Mezzich</w:t>
            </w:r>
            <w:proofErr w:type="spellEnd"/>
            <w:r w:rsidRPr="00D662A7">
              <w:t xml:space="preserve">, A., 1996. The Drug Use Screening Inventory: School Adjustment Correlates of Substance Abuse. Meas. Eval. </w:t>
            </w:r>
            <w:proofErr w:type="spellStart"/>
            <w:r w:rsidRPr="00D662A7">
              <w:t>Couns</w:t>
            </w:r>
            <w:proofErr w:type="spellEnd"/>
            <w:r w:rsidRPr="00D662A7">
              <w:t>. Dev. 29, 25–34.</w:t>
            </w:r>
          </w:p>
        </w:tc>
        <w:tc>
          <w:tcPr>
            <w:tcW w:w="2235" w:type="dxa"/>
          </w:tcPr>
          <w:p w14:paraId="120D0991" w14:textId="39F2FD15" w:rsidR="00C13C00" w:rsidRPr="002F3790" w:rsidRDefault="00C13C00" w:rsidP="00C13C00">
            <w:pPr>
              <w:pStyle w:val="Bibliography"/>
              <w:spacing w:line="276" w:lineRule="auto"/>
            </w:pPr>
            <w:r w:rsidRPr="00D662A7">
              <w:t>DUSI</w:t>
            </w:r>
          </w:p>
        </w:tc>
      </w:tr>
    </w:tbl>
    <w:p w14:paraId="3ACA5713" w14:textId="77777777" w:rsidR="009A7DF3" w:rsidRDefault="009A7DF3" w:rsidP="002F3790"/>
    <w:sectPr w:rsidR="009A7DF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B20F92" w14:textId="77777777" w:rsidR="00FC2AD4" w:rsidRDefault="00FC2AD4" w:rsidP="00D84079">
      <w:pPr>
        <w:spacing w:after="0" w:line="240" w:lineRule="auto"/>
      </w:pPr>
      <w:r>
        <w:separator/>
      </w:r>
    </w:p>
  </w:endnote>
  <w:endnote w:type="continuationSeparator" w:id="0">
    <w:p w14:paraId="7E6B60DB" w14:textId="77777777" w:rsidR="00FC2AD4" w:rsidRDefault="00FC2AD4" w:rsidP="00D84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0000400000000000000"/>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783D1B" w14:textId="77777777" w:rsidR="00FC2AD4" w:rsidRDefault="00FC2AD4" w:rsidP="00D84079">
      <w:pPr>
        <w:spacing w:after="0" w:line="240" w:lineRule="auto"/>
      </w:pPr>
      <w:r>
        <w:separator/>
      </w:r>
    </w:p>
  </w:footnote>
  <w:footnote w:type="continuationSeparator" w:id="0">
    <w:p w14:paraId="216D0B57" w14:textId="77777777" w:rsidR="00FC2AD4" w:rsidRDefault="00FC2AD4" w:rsidP="00D84079">
      <w:pPr>
        <w:spacing w:after="0" w:line="240" w:lineRule="auto"/>
      </w:pPr>
      <w:r>
        <w:continuationSeparator/>
      </w:r>
    </w:p>
  </w:footnote>
  <w:footnote w:id="1">
    <w:p w14:paraId="2A9AE320" w14:textId="77777777" w:rsidR="00D84079" w:rsidRDefault="00D84079" w:rsidP="00D84079">
      <w:pPr>
        <w:pStyle w:val="FootnoteText"/>
      </w:pPr>
      <w:r w:rsidRPr="00D66D1D">
        <w:rPr>
          <w:rStyle w:val="FootnoteReference"/>
        </w:rPr>
        <w:footnoteRef/>
      </w:r>
      <w:r>
        <w:t xml:space="preserve"> </w:t>
      </w:r>
      <w:r>
        <w:rPr>
          <w:rFonts w:cs="Calibri"/>
          <w:color w:val="000000"/>
          <w:lang w:eastAsia="en-GB"/>
        </w:rPr>
        <w:t xml:space="preserve">See also sections on </w:t>
      </w:r>
      <w:r w:rsidRPr="00C4602B">
        <w:t>Irritability/Emotional reactivity</w:t>
      </w:r>
      <w:r>
        <w:rPr>
          <w:rFonts w:cs="Calibri"/>
          <w:color w:val="000000"/>
          <w:lang w:eastAsia="en-GB"/>
        </w:rPr>
        <w:t xml:space="preserve">; </w:t>
      </w:r>
      <w:r w:rsidRPr="00C4602B">
        <w:t>Suicidal behaviour/ideation</w:t>
      </w:r>
      <w:r>
        <w:rPr>
          <w:rFonts w:cs="Calibri"/>
          <w:color w:val="000000"/>
          <w:lang w:eastAsia="en-GB"/>
        </w:rPr>
        <w:t xml:space="preserve">; </w:t>
      </w:r>
      <w:r w:rsidRPr="00C4602B">
        <w:t>Psychosis and psychotic like symptoms.</w:t>
      </w:r>
      <w:r>
        <w:rPr>
          <w:rFonts w:cs="Calibri"/>
          <w:color w:val="000000"/>
          <w:lang w:eastAsia="en-GB"/>
        </w:rPr>
        <w:t xml:space="preserve">; </w:t>
      </w:r>
      <w:r w:rsidRPr="00C4602B">
        <w:t>Seizures or EEG abnormalities</w:t>
      </w:r>
      <w:r>
        <w:rPr>
          <w:rFonts w:cs="Calibri"/>
          <w:color w:val="000000"/>
          <w:lang w:eastAsia="en-GB"/>
        </w:rPr>
        <w:t xml:space="preserve">; </w:t>
      </w:r>
      <w:r w:rsidRPr="00C4602B">
        <w:t>Sleep disorders</w:t>
      </w:r>
      <w:r>
        <w:rPr>
          <w:rFonts w:cs="Calibri"/>
          <w:color w:val="000000"/>
          <w:lang w:eastAsia="en-GB"/>
        </w:rPr>
        <w:t>.</w:t>
      </w:r>
      <w:r>
        <w:t xml:space="preserve"> </w:t>
      </w:r>
    </w:p>
  </w:footnote>
  <w:footnote w:id="2">
    <w:p w14:paraId="1308180C" w14:textId="77777777" w:rsidR="00D84079" w:rsidRDefault="00D84079" w:rsidP="00D84079">
      <w:pPr>
        <w:pStyle w:val="FootnoteText"/>
      </w:pPr>
      <w:r w:rsidRPr="00D66D1D">
        <w:rPr>
          <w:rStyle w:val="FootnoteReference"/>
        </w:rPr>
        <w:footnoteRef/>
      </w:r>
      <w:r>
        <w:t xml:space="preserve"> See also section on </w:t>
      </w:r>
      <w:r w:rsidRPr="00C4602B">
        <w:t>Anxiety</w:t>
      </w:r>
      <w:r>
        <w:t>.</w:t>
      </w:r>
    </w:p>
  </w:footnote>
  <w:footnote w:id="3">
    <w:p w14:paraId="388F3A89" w14:textId="77777777" w:rsidR="00D84079" w:rsidRPr="00FC25C2" w:rsidRDefault="00D84079" w:rsidP="00D84079">
      <w:pPr>
        <w:pStyle w:val="FootnoteText"/>
        <w:rPr>
          <w:rFonts w:cs="Calibri"/>
          <w:color w:val="000000"/>
          <w:lang w:eastAsia="en-GB"/>
        </w:rPr>
      </w:pPr>
      <w:r w:rsidRPr="00D66D1D">
        <w:rPr>
          <w:rStyle w:val="FootnoteReference"/>
        </w:rPr>
        <w:footnoteRef/>
      </w:r>
      <w:r>
        <w:t xml:space="preserve"> See also sections </w:t>
      </w:r>
      <w:r>
        <w:rPr>
          <w:rFonts w:cs="Calibri"/>
          <w:color w:val="000000"/>
          <w:lang w:eastAsia="en-GB"/>
        </w:rPr>
        <w:t xml:space="preserve">on </w:t>
      </w:r>
      <w:r w:rsidRPr="00C4602B">
        <w:t>Anxiety</w:t>
      </w:r>
      <w:r>
        <w:rPr>
          <w:rFonts w:cs="Calibri"/>
          <w:color w:val="000000"/>
          <w:lang w:eastAsia="en-GB"/>
        </w:rPr>
        <w:t xml:space="preserve">; </w:t>
      </w:r>
      <w:r w:rsidRPr="00C4602B">
        <w:t>Suicidal behaviour/ideation</w:t>
      </w:r>
      <w:r>
        <w:rPr>
          <w:rFonts w:cs="Calibri"/>
          <w:color w:val="000000"/>
          <w:lang w:eastAsia="en-GB"/>
        </w:rPr>
        <w:t xml:space="preserve">; </w:t>
      </w:r>
      <w:r w:rsidRPr="00C4602B">
        <w:t>Psychosis and psychotic like symptoms</w:t>
      </w:r>
      <w:r>
        <w:rPr>
          <w:rFonts w:cs="Calibri"/>
          <w:color w:val="000000"/>
          <w:lang w:eastAsia="en-GB"/>
        </w:rPr>
        <w:t xml:space="preserve">; </w:t>
      </w:r>
      <w:r w:rsidRPr="00C4602B">
        <w:t xml:space="preserve">Substance </w:t>
      </w:r>
      <w:r>
        <w:t>U</w:t>
      </w:r>
      <w:r w:rsidRPr="00C4602B">
        <w:t xml:space="preserve">se </w:t>
      </w:r>
      <w:r>
        <w:t>D</w:t>
      </w:r>
      <w:r w:rsidRPr="00C4602B">
        <w:t>isorder</w:t>
      </w:r>
      <w:r>
        <w:t>s</w:t>
      </w:r>
      <w:r>
        <w:rPr>
          <w:rFonts w:cs="Calibri"/>
          <w:color w:val="000000"/>
          <w:lang w:eastAsia="en-GB"/>
        </w:rPr>
        <w:t>.</w:t>
      </w:r>
    </w:p>
  </w:footnote>
  <w:footnote w:id="4">
    <w:p w14:paraId="69C559C2"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Anxiety</w:t>
      </w:r>
      <w:r>
        <w:rPr>
          <w:rFonts w:cs="Calibri"/>
          <w:color w:val="000000"/>
          <w:lang w:eastAsia="en-GB"/>
        </w:rPr>
        <w:t xml:space="preserve">; </w:t>
      </w:r>
      <w:r w:rsidRPr="00C4602B">
        <w:t>Suicidal behaviour/ideation</w:t>
      </w:r>
      <w:r>
        <w:rPr>
          <w:rFonts w:cs="Calibri"/>
          <w:color w:val="000000"/>
          <w:lang w:eastAsia="en-GB"/>
        </w:rPr>
        <w:t xml:space="preserve">; </w:t>
      </w:r>
      <w:r w:rsidRPr="00C4602B">
        <w:t>Psychosis and psychotic like symptoms</w:t>
      </w:r>
      <w:r>
        <w:rPr>
          <w:rFonts w:cs="Calibri"/>
          <w:color w:val="000000"/>
          <w:lang w:eastAsia="en-GB"/>
        </w:rPr>
        <w:t xml:space="preserve">; </w:t>
      </w:r>
      <w:r w:rsidRPr="00C4602B">
        <w:t xml:space="preserve">Substance </w:t>
      </w:r>
      <w:r>
        <w:t>U</w:t>
      </w:r>
      <w:r w:rsidRPr="00C4602B">
        <w:t xml:space="preserve">se </w:t>
      </w:r>
      <w:r>
        <w:t>D</w:t>
      </w:r>
      <w:r w:rsidRPr="00C4602B">
        <w:t>isorder</w:t>
      </w:r>
      <w:r>
        <w:t>s</w:t>
      </w:r>
      <w:r>
        <w:rPr>
          <w:rFonts w:cs="Calibri"/>
          <w:color w:val="000000"/>
          <w:lang w:eastAsia="en-GB"/>
        </w:rPr>
        <w:t>.</w:t>
      </w:r>
    </w:p>
  </w:footnote>
  <w:footnote w:id="5">
    <w:p w14:paraId="531145F6"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Anxiety</w:t>
      </w:r>
      <w:r>
        <w:rPr>
          <w:rFonts w:cs="Calibri"/>
          <w:color w:val="000000"/>
          <w:lang w:eastAsia="en-GB"/>
        </w:rPr>
        <w:t xml:space="preserve">; </w:t>
      </w:r>
      <w:r w:rsidRPr="00C4602B">
        <w:t>Irritability/Emotional reactivity</w:t>
      </w:r>
      <w:r>
        <w:rPr>
          <w:rFonts w:cs="Calibri"/>
          <w:color w:val="000000"/>
          <w:lang w:eastAsia="en-GB"/>
        </w:rPr>
        <w:t xml:space="preserve">; </w:t>
      </w:r>
      <w:r w:rsidRPr="00C4602B">
        <w:t>Tics and other dyskinesias</w:t>
      </w:r>
      <w:r>
        <w:rPr>
          <w:rFonts w:cs="Calibri"/>
          <w:color w:val="000000"/>
          <w:lang w:eastAsia="en-GB"/>
        </w:rPr>
        <w:t xml:space="preserve">; </w:t>
      </w:r>
      <w:r w:rsidRPr="00C4602B">
        <w:t>Sleep disorders</w:t>
      </w:r>
      <w:r>
        <w:rPr>
          <w:rFonts w:cs="Calibri"/>
          <w:color w:val="000000"/>
          <w:lang w:eastAsia="en-GB"/>
        </w:rPr>
        <w:t xml:space="preserve">; </w:t>
      </w:r>
      <w:r w:rsidRPr="00C4602B">
        <w:t>Other notable neuropsychiatric outcomes</w:t>
      </w:r>
      <w:r>
        <w:t>.</w:t>
      </w:r>
    </w:p>
  </w:footnote>
  <w:footnote w:id="6">
    <w:p w14:paraId="58B5CA14"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Anxiety</w:t>
      </w:r>
      <w:r>
        <w:rPr>
          <w:rFonts w:cs="Calibri"/>
          <w:color w:val="000000"/>
          <w:lang w:eastAsia="en-GB"/>
        </w:rPr>
        <w:t xml:space="preserve">. </w:t>
      </w:r>
    </w:p>
  </w:footnote>
  <w:footnote w:id="7">
    <w:p w14:paraId="511647B1" w14:textId="77777777" w:rsidR="00D84079" w:rsidRDefault="00D84079" w:rsidP="00D84079">
      <w:pPr>
        <w:pStyle w:val="FootnoteText"/>
      </w:pPr>
      <w:r w:rsidRPr="00D66D1D">
        <w:rPr>
          <w:rStyle w:val="FootnoteReference"/>
        </w:rPr>
        <w:footnoteRef/>
      </w:r>
      <w:r>
        <w:t xml:space="preserve"> See also sections on </w:t>
      </w:r>
      <w:r w:rsidRPr="00C4602B">
        <w:t>Anxiety</w:t>
      </w:r>
      <w:r>
        <w:t xml:space="preserve">, </w:t>
      </w:r>
      <w:r w:rsidRPr="00C4602B">
        <w:t>Irritability/Emotional reactivity</w:t>
      </w:r>
      <w:r>
        <w:t xml:space="preserve">; </w:t>
      </w:r>
      <w:r w:rsidRPr="00C4602B">
        <w:t>Other notable neuropsychiatric outcomes</w:t>
      </w:r>
      <w:r>
        <w:t xml:space="preserve">. </w:t>
      </w:r>
    </w:p>
  </w:footnote>
  <w:footnote w:id="8">
    <w:p w14:paraId="5EC936C1" w14:textId="77777777" w:rsidR="00D84079" w:rsidRDefault="00D84079" w:rsidP="00D84079">
      <w:pPr>
        <w:pStyle w:val="FootnoteText"/>
      </w:pPr>
      <w:r w:rsidRPr="00D66D1D">
        <w:rPr>
          <w:rStyle w:val="FootnoteReference"/>
        </w:rPr>
        <w:footnoteRef/>
      </w:r>
      <w:r>
        <w:t xml:space="preserve"> See also sections on </w:t>
      </w:r>
      <w:r w:rsidRPr="00C4602B">
        <w:t>Anxiety</w:t>
      </w:r>
      <w:r>
        <w:t xml:space="preserve">; </w:t>
      </w:r>
      <w:r w:rsidRPr="00C4602B">
        <w:t>Irritability/Emotional reactivity</w:t>
      </w:r>
      <w:r>
        <w:t xml:space="preserve">; </w:t>
      </w:r>
      <w:r w:rsidRPr="00C4602B">
        <w:t>Tics and other dyskinesias</w:t>
      </w:r>
      <w:r>
        <w:rPr>
          <w:rStyle w:val="Hyperlink"/>
        </w:rPr>
        <w:t xml:space="preserve">; </w:t>
      </w:r>
      <w:r w:rsidRPr="00C4602B">
        <w:t>Sleep disorders</w:t>
      </w:r>
      <w:r>
        <w:t>.</w:t>
      </w:r>
    </w:p>
  </w:footnote>
  <w:footnote w:id="9">
    <w:p w14:paraId="684661B4" w14:textId="77777777" w:rsidR="00D84079" w:rsidRDefault="00D84079" w:rsidP="00D84079">
      <w:pPr>
        <w:pStyle w:val="FootnoteText"/>
      </w:pPr>
      <w:r w:rsidRPr="00D66D1D">
        <w:rPr>
          <w:rStyle w:val="FootnoteReference"/>
        </w:rPr>
        <w:footnoteRef/>
      </w:r>
      <w:r>
        <w:t xml:space="preserve"> See also sections on </w:t>
      </w:r>
      <w:r w:rsidRPr="00C4602B">
        <w:t>Anxiety</w:t>
      </w:r>
      <w:r>
        <w:t xml:space="preserve">, </w:t>
      </w:r>
      <w:r w:rsidRPr="00C4602B">
        <w:t>Tics and other dyskinesias</w:t>
      </w:r>
      <w:r>
        <w:t xml:space="preserve">. </w:t>
      </w:r>
    </w:p>
  </w:footnote>
  <w:footnote w:id="10">
    <w:p w14:paraId="6F1F1D31"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Anxiety</w:t>
      </w:r>
      <w:r>
        <w:rPr>
          <w:rFonts w:cs="Calibri"/>
          <w:color w:val="000000"/>
          <w:lang w:eastAsia="en-GB"/>
        </w:rPr>
        <w:t>;</w:t>
      </w:r>
      <w:r w:rsidRPr="00277990">
        <w:rPr>
          <w:rStyle w:val="Hyperlink"/>
        </w:rPr>
        <w:t xml:space="preserve"> </w:t>
      </w:r>
      <w:r w:rsidRPr="00C4602B">
        <w:t>Bipolar disorder</w:t>
      </w:r>
      <w:r>
        <w:rPr>
          <w:rFonts w:cs="Calibri"/>
          <w:color w:val="000000"/>
          <w:lang w:eastAsia="en-GB"/>
        </w:rPr>
        <w:t xml:space="preserve">; </w:t>
      </w:r>
      <w:r w:rsidRPr="00C4602B">
        <w:t xml:space="preserve">Substance </w:t>
      </w:r>
      <w:r>
        <w:t>U</w:t>
      </w:r>
      <w:r w:rsidRPr="00C4602B">
        <w:t xml:space="preserve">se </w:t>
      </w:r>
      <w:r>
        <w:t>D</w:t>
      </w:r>
      <w:r w:rsidRPr="00C4602B">
        <w:t>isorder</w:t>
      </w:r>
      <w:r>
        <w:t>s</w:t>
      </w:r>
      <w:r>
        <w:rPr>
          <w:rFonts w:cs="Calibri"/>
          <w:color w:val="000000"/>
          <w:lang w:eastAsia="en-GB"/>
        </w:rPr>
        <w:t xml:space="preserve">; </w:t>
      </w:r>
      <w:r w:rsidRPr="00C4602B">
        <w:t>Sleep disorders</w:t>
      </w:r>
      <w:r>
        <w:t>.</w:t>
      </w:r>
    </w:p>
  </w:footnote>
  <w:footnote w:id="11">
    <w:p w14:paraId="17AFC2BC" w14:textId="77777777" w:rsidR="00D84079" w:rsidRDefault="00D84079" w:rsidP="00D84079">
      <w:pPr>
        <w:pStyle w:val="FootnoteText"/>
      </w:pPr>
      <w:r w:rsidRPr="00D66D1D">
        <w:rPr>
          <w:rStyle w:val="FootnoteReference"/>
        </w:rPr>
        <w:footnoteRef/>
      </w:r>
      <w:r>
        <w:t xml:space="preserve"> See also sections on </w:t>
      </w:r>
      <w:r w:rsidRPr="00C4602B">
        <w:t>Suicidal behaviour/ideation</w:t>
      </w:r>
      <w:r>
        <w:t xml:space="preserve">; </w:t>
      </w:r>
      <w:r w:rsidRPr="00C4602B">
        <w:t xml:space="preserve">Substance </w:t>
      </w:r>
      <w:r>
        <w:t>U</w:t>
      </w:r>
      <w:r w:rsidRPr="00C4602B">
        <w:t xml:space="preserve">se </w:t>
      </w:r>
      <w:r>
        <w:t>D</w:t>
      </w:r>
      <w:r w:rsidRPr="00C4602B">
        <w:t>isorder</w:t>
      </w:r>
      <w:r>
        <w:t>s</w:t>
      </w:r>
      <w:r>
        <w:rPr>
          <w:rFonts w:cs="Calibri"/>
          <w:color w:val="000000"/>
          <w:lang w:eastAsia="en-GB"/>
        </w:rPr>
        <w:t xml:space="preserve">; </w:t>
      </w:r>
      <w:r w:rsidRPr="00C4602B">
        <w:t>Sleep disorders</w:t>
      </w:r>
      <w:r>
        <w:t xml:space="preserve"> </w:t>
      </w:r>
    </w:p>
  </w:footnote>
  <w:footnote w:id="12">
    <w:p w14:paraId="4CCE695B"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Irritability/Emotional reactivity</w:t>
      </w:r>
      <w:r>
        <w:rPr>
          <w:rFonts w:cs="Calibri"/>
          <w:color w:val="000000"/>
          <w:lang w:eastAsia="en-GB"/>
        </w:rPr>
        <w:t xml:space="preserve">; </w:t>
      </w:r>
      <w:r w:rsidRPr="00C4602B">
        <w:t>Suicidal behaviour/ideation</w:t>
      </w:r>
      <w:r>
        <w:rPr>
          <w:rFonts w:cs="Calibri"/>
          <w:color w:val="000000"/>
          <w:lang w:eastAsia="en-GB"/>
        </w:rPr>
        <w:t xml:space="preserve">; </w:t>
      </w:r>
      <w:r w:rsidRPr="00C4602B">
        <w:t>Psychosis and psychotic like symptoms.</w:t>
      </w:r>
    </w:p>
  </w:footnote>
  <w:footnote w:id="13">
    <w:p w14:paraId="25ACB7B4" w14:textId="77777777" w:rsidR="00D84079" w:rsidRDefault="00D84079" w:rsidP="00D84079">
      <w:pPr>
        <w:pStyle w:val="FootnoteText"/>
      </w:pPr>
      <w:r w:rsidRPr="00D66D1D">
        <w:rPr>
          <w:rStyle w:val="FootnoteReference"/>
        </w:rPr>
        <w:footnoteRef/>
      </w:r>
      <w:r>
        <w:t xml:space="preserve"> See also section </w:t>
      </w:r>
      <w:r>
        <w:rPr>
          <w:rFonts w:cs="Calibri"/>
          <w:color w:val="000000"/>
          <w:lang w:eastAsia="en-GB"/>
        </w:rPr>
        <w:t xml:space="preserve">on </w:t>
      </w:r>
      <w:r w:rsidRPr="00C4602B">
        <w:t>Low Mood or Depression</w:t>
      </w:r>
      <w:r>
        <w:rPr>
          <w:rFonts w:cs="Calibri"/>
          <w:color w:val="000000"/>
          <w:lang w:eastAsia="en-GB"/>
        </w:rPr>
        <w:t>.</w:t>
      </w:r>
    </w:p>
  </w:footnote>
  <w:footnote w:id="14">
    <w:p w14:paraId="6E104097"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Suicidal behaviour/ideation</w:t>
      </w:r>
      <w:r>
        <w:rPr>
          <w:rFonts w:cs="Calibri"/>
          <w:color w:val="000000"/>
          <w:lang w:eastAsia="en-GB"/>
        </w:rPr>
        <w:t xml:space="preserve">; </w:t>
      </w:r>
      <w:r w:rsidRPr="00C4602B">
        <w:t>Psychosis and psychotic like symptoms</w:t>
      </w:r>
      <w:r>
        <w:rPr>
          <w:rFonts w:cs="Calibri"/>
          <w:color w:val="000000"/>
          <w:lang w:eastAsia="en-GB"/>
        </w:rPr>
        <w:t xml:space="preserve">; </w:t>
      </w:r>
      <w:r w:rsidRPr="00C4602B">
        <w:t xml:space="preserve">Substance </w:t>
      </w:r>
      <w:r>
        <w:t>U</w:t>
      </w:r>
      <w:r w:rsidRPr="00C4602B">
        <w:t xml:space="preserve">se </w:t>
      </w:r>
      <w:r>
        <w:t>D</w:t>
      </w:r>
      <w:r w:rsidRPr="00C4602B">
        <w:t>isorder</w:t>
      </w:r>
      <w:r>
        <w:t>s</w:t>
      </w:r>
      <w:r>
        <w:rPr>
          <w:rFonts w:cs="Calibri"/>
          <w:color w:val="000000"/>
          <w:lang w:eastAsia="en-GB"/>
        </w:rPr>
        <w:t>.</w:t>
      </w:r>
    </w:p>
  </w:footnote>
  <w:footnote w:id="15">
    <w:p w14:paraId="008AD6A6"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Suicidal behaviour/ideation</w:t>
      </w:r>
      <w:r>
        <w:rPr>
          <w:rFonts w:cs="Calibri"/>
          <w:color w:val="000000"/>
          <w:lang w:eastAsia="en-GB"/>
        </w:rPr>
        <w:t xml:space="preserve">; </w:t>
      </w:r>
      <w:r w:rsidRPr="00C4602B">
        <w:t>Psychosis and psychotic like symptoms</w:t>
      </w:r>
      <w:r>
        <w:rPr>
          <w:rFonts w:cs="Calibri"/>
          <w:color w:val="000000"/>
          <w:lang w:eastAsia="en-GB"/>
        </w:rPr>
        <w:t xml:space="preserve">; </w:t>
      </w:r>
      <w:r w:rsidRPr="00C4602B">
        <w:t xml:space="preserve">Substance </w:t>
      </w:r>
      <w:r>
        <w:t>U</w:t>
      </w:r>
      <w:r w:rsidRPr="00C4602B">
        <w:t xml:space="preserve">se </w:t>
      </w:r>
      <w:r>
        <w:t>D</w:t>
      </w:r>
      <w:r w:rsidRPr="00C4602B">
        <w:t>isorder</w:t>
      </w:r>
      <w:r>
        <w:t>s</w:t>
      </w:r>
      <w:r>
        <w:rPr>
          <w:rFonts w:cs="Calibri"/>
          <w:color w:val="000000"/>
          <w:lang w:eastAsia="en-GB"/>
        </w:rPr>
        <w:t>.</w:t>
      </w:r>
    </w:p>
  </w:footnote>
  <w:footnote w:id="16">
    <w:p w14:paraId="69594018"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Irritability/Emotional reactivity</w:t>
      </w:r>
      <w:r>
        <w:rPr>
          <w:rFonts w:cs="Calibri"/>
          <w:color w:val="000000"/>
          <w:lang w:eastAsia="en-GB"/>
        </w:rPr>
        <w:t xml:space="preserve">; </w:t>
      </w:r>
      <w:r w:rsidRPr="00C4602B">
        <w:t>Tics and other dyskinesias</w:t>
      </w:r>
      <w:r>
        <w:rPr>
          <w:rFonts w:cs="Calibri"/>
          <w:color w:val="000000"/>
          <w:lang w:eastAsia="en-GB"/>
        </w:rPr>
        <w:t xml:space="preserve">; </w:t>
      </w:r>
      <w:r w:rsidRPr="00C4602B">
        <w:t>Sleep disorders</w:t>
      </w:r>
      <w:r>
        <w:rPr>
          <w:rFonts w:cs="Calibri"/>
          <w:color w:val="000000"/>
          <w:lang w:eastAsia="en-GB"/>
        </w:rPr>
        <w:t xml:space="preserve">; </w:t>
      </w:r>
      <w:r w:rsidRPr="00C4602B">
        <w:t>Other notable neuropsychiatric outcomes</w:t>
      </w:r>
      <w:r>
        <w:t xml:space="preserve"> </w:t>
      </w:r>
    </w:p>
  </w:footnote>
  <w:footnote w:id="17">
    <w:p w14:paraId="1FFCD5DA"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 xml:space="preserve">Substance </w:t>
      </w:r>
      <w:r>
        <w:t>U</w:t>
      </w:r>
      <w:r w:rsidRPr="00C4602B">
        <w:t xml:space="preserve">se </w:t>
      </w:r>
      <w:proofErr w:type="spellStart"/>
      <w:r>
        <w:t>D</w:t>
      </w:r>
      <w:r w:rsidRPr="00C4602B">
        <w:t>isorder</w:t>
      </w:r>
      <w:r>
        <w:t>s</w:t>
      </w:r>
      <w:r w:rsidRPr="00C4602B">
        <w:t>Substance</w:t>
      </w:r>
      <w:proofErr w:type="spellEnd"/>
      <w:r w:rsidRPr="00C4602B">
        <w:t xml:space="preserve"> </w:t>
      </w:r>
      <w:r>
        <w:t>U</w:t>
      </w:r>
      <w:r w:rsidRPr="00C4602B">
        <w:t xml:space="preserve">se </w:t>
      </w:r>
      <w:r>
        <w:t>D</w:t>
      </w:r>
      <w:r w:rsidRPr="00C4602B">
        <w:t>isorder</w:t>
      </w:r>
      <w:r>
        <w:t>s</w:t>
      </w:r>
      <w:r>
        <w:rPr>
          <w:rFonts w:cs="Calibri"/>
          <w:color w:val="000000"/>
          <w:lang w:eastAsia="en-GB"/>
        </w:rPr>
        <w:t>.</w:t>
      </w:r>
    </w:p>
  </w:footnote>
  <w:footnote w:id="18">
    <w:p w14:paraId="41A4D82C" w14:textId="77777777" w:rsidR="00D84079" w:rsidRDefault="00D84079" w:rsidP="00D84079">
      <w:pPr>
        <w:pStyle w:val="FootnoteText"/>
      </w:pPr>
      <w:r w:rsidRPr="00D66D1D">
        <w:rPr>
          <w:rStyle w:val="FootnoteReference"/>
        </w:rPr>
        <w:footnoteRef/>
      </w:r>
      <w:r>
        <w:t xml:space="preserve"> See also sections on </w:t>
      </w:r>
      <w:r w:rsidRPr="00C4602B">
        <w:t>Low Mood or Depression</w:t>
      </w:r>
      <w:r>
        <w:t xml:space="preserve">; </w:t>
      </w:r>
      <w:r w:rsidRPr="00C4602B">
        <w:t>Irritability/Emotional reactivity</w:t>
      </w:r>
      <w:r>
        <w:t xml:space="preserve">; </w:t>
      </w:r>
      <w:r w:rsidRPr="00C4602B">
        <w:t>Other notable neuropsychiatric outcomes</w:t>
      </w:r>
      <w:r>
        <w:t xml:space="preserve">. </w:t>
      </w:r>
    </w:p>
  </w:footnote>
  <w:footnote w:id="19">
    <w:p w14:paraId="6C05F0DD" w14:textId="77777777" w:rsidR="00D84079" w:rsidRDefault="00D84079" w:rsidP="00D84079">
      <w:pPr>
        <w:pStyle w:val="FootnoteText"/>
      </w:pPr>
      <w:r w:rsidRPr="00D66D1D">
        <w:rPr>
          <w:rStyle w:val="FootnoteReference"/>
        </w:rPr>
        <w:footnoteRef/>
      </w:r>
      <w:r>
        <w:t xml:space="preserve"> See also sections on; </w:t>
      </w:r>
      <w:r w:rsidRPr="00C4602B">
        <w:t>Irritability/Emotional reactivity</w:t>
      </w:r>
      <w:r>
        <w:t xml:space="preserve">; </w:t>
      </w:r>
      <w:r w:rsidRPr="00C4602B">
        <w:t>Tics and other dyskinesias</w:t>
      </w:r>
      <w:r>
        <w:rPr>
          <w:rStyle w:val="Hyperlink"/>
        </w:rPr>
        <w:t xml:space="preserve">; </w:t>
      </w:r>
      <w:r w:rsidRPr="00C4602B">
        <w:t>Sleep disorders</w:t>
      </w:r>
      <w:r>
        <w:t>.</w:t>
      </w:r>
    </w:p>
  </w:footnote>
  <w:footnote w:id="20">
    <w:p w14:paraId="3AF6492B" w14:textId="77777777" w:rsidR="00D84079" w:rsidRDefault="00D84079" w:rsidP="00D84079">
      <w:pPr>
        <w:pStyle w:val="FootnoteText"/>
      </w:pPr>
      <w:r w:rsidRPr="00D66D1D">
        <w:rPr>
          <w:rStyle w:val="FootnoteReference"/>
        </w:rPr>
        <w:footnoteRef/>
      </w:r>
      <w:r>
        <w:t xml:space="preserve"> See also sections on </w:t>
      </w:r>
      <w:r w:rsidRPr="00C4602B">
        <w:t>Low Mood or Depression</w:t>
      </w:r>
      <w:r>
        <w:t xml:space="preserve">; </w:t>
      </w:r>
      <w:r w:rsidRPr="00C4602B">
        <w:t>Tics and other dyskinesias</w:t>
      </w:r>
      <w:r>
        <w:t xml:space="preserve"> </w:t>
      </w:r>
    </w:p>
  </w:footnote>
  <w:footnote w:id="21">
    <w:p w14:paraId="1561CC44"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w:t>
      </w:r>
      <w:r w:rsidRPr="00277990">
        <w:rPr>
          <w:rStyle w:val="Hyperlink"/>
        </w:rPr>
        <w:t xml:space="preserve"> </w:t>
      </w:r>
      <w:r w:rsidRPr="00C4602B">
        <w:t>Bipolar disorder</w:t>
      </w:r>
      <w:r>
        <w:rPr>
          <w:rFonts w:cs="Calibri"/>
          <w:color w:val="000000"/>
          <w:lang w:eastAsia="en-GB"/>
        </w:rPr>
        <w:t xml:space="preserve">; </w:t>
      </w:r>
      <w:r w:rsidRPr="00C4602B">
        <w:t xml:space="preserve">Substance </w:t>
      </w:r>
      <w:r>
        <w:t>U</w:t>
      </w:r>
      <w:r w:rsidRPr="00C4602B">
        <w:t xml:space="preserve">se </w:t>
      </w:r>
      <w:r>
        <w:t>D</w:t>
      </w:r>
      <w:r w:rsidRPr="00C4602B">
        <w:t>isorder</w:t>
      </w:r>
      <w:r>
        <w:t>s</w:t>
      </w:r>
      <w:r>
        <w:rPr>
          <w:rFonts w:cs="Calibri"/>
          <w:color w:val="000000"/>
          <w:lang w:eastAsia="en-GB"/>
        </w:rPr>
        <w:t xml:space="preserve">; </w:t>
      </w:r>
      <w:r w:rsidRPr="00C4602B">
        <w:t>Sleep disorders</w:t>
      </w:r>
      <w:r>
        <w:t>.</w:t>
      </w:r>
    </w:p>
  </w:footnote>
  <w:footnote w:id="22">
    <w:p w14:paraId="63E617C8" w14:textId="77777777" w:rsidR="00D84079" w:rsidRDefault="00D84079" w:rsidP="00D84079">
      <w:pPr>
        <w:pStyle w:val="FootnoteText"/>
      </w:pPr>
      <w:r w:rsidRPr="00D66D1D">
        <w:rPr>
          <w:rStyle w:val="FootnoteReference"/>
        </w:rPr>
        <w:footnoteRef/>
      </w:r>
      <w:r>
        <w:t xml:space="preserve"> </w:t>
      </w:r>
      <w:r>
        <w:rPr>
          <w:rFonts w:cs="Calibri"/>
          <w:color w:val="000000"/>
          <w:lang w:eastAsia="en-GB"/>
        </w:rPr>
        <w:t xml:space="preserve">see also sections on </w:t>
      </w:r>
      <w:r w:rsidRPr="00C4602B">
        <w:t>Low Mood or Depression</w:t>
      </w:r>
      <w:r>
        <w:rPr>
          <w:rFonts w:cs="Calibri"/>
          <w:color w:val="000000"/>
          <w:lang w:eastAsia="en-GB"/>
        </w:rPr>
        <w:t xml:space="preserve">; </w:t>
      </w:r>
      <w:r w:rsidRPr="00C4602B">
        <w:t>Suicidal behaviour/ideation</w:t>
      </w:r>
      <w:r>
        <w:rPr>
          <w:rFonts w:cs="Calibri"/>
          <w:color w:val="000000"/>
          <w:lang w:eastAsia="en-GB"/>
        </w:rPr>
        <w:t xml:space="preserve">; </w:t>
      </w:r>
      <w:r w:rsidRPr="00C4602B">
        <w:t>Psychosis and psychotic like symptoms</w:t>
      </w:r>
      <w:r>
        <w:rPr>
          <w:rFonts w:cs="Calibri"/>
          <w:color w:val="000000"/>
          <w:lang w:eastAsia="en-GB"/>
        </w:rPr>
        <w:t xml:space="preserve">; </w:t>
      </w:r>
      <w:r w:rsidRPr="00C4602B">
        <w:t>Sleep disorders</w:t>
      </w:r>
      <w:r>
        <w:t xml:space="preserve"> </w:t>
      </w:r>
    </w:p>
  </w:footnote>
  <w:footnote w:id="23">
    <w:p w14:paraId="0D2B2DA6"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Anxiety</w:t>
      </w:r>
      <w:r>
        <w:rPr>
          <w:rFonts w:cs="Calibri"/>
          <w:color w:val="000000"/>
          <w:lang w:eastAsia="en-GB"/>
        </w:rPr>
        <w:t xml:space="preserve">; </w:t>
      </w:r>
      <w:r w:rsidRPr="00C4602B">
        <w:t>Tics and other dyskinesias</w:t>
      </w:r>
      <w:r>
        <w:rPr>
          <w:rFonts w:cs="Calibri"/>
          <w:color w:val="000000"/>
          <w:lang w:eastAsia="en-GB"/>
        </w:rPr>
        <w:t xml:space="preserve">; </w:t>
      </w:r>
      <w:r w:rsidRPr="00C4602B">
        <w:t>Sleep disorders</w:t>
      </w:r>
      <w:r>
        <w:rPr>
          <w:rFonts w:cs="Calibri"/>
          <w:color w:val="000000"/>
          <w:lang w:eastAsia="en-GB"/>
        </w:rPr>
        <w:t xml:space="preserve">; </w:t>
      </w:r>
      <w:r w:rsidRPr="00C4602B">
        <w:t>Other notable neuropsychiatric outcomes</w:t>
      </w:r>
      <w:r>
        <w:rPr>
          <w:rFonts w:cs="Calibri"/>
          <w:color w:val="000000"/>
          <w:lang w:eastAsia="en-GB"/>
        </w:rPr>
        <w:t>.</w:t>
      </w:r>
      <w:r>
        <w:t xml:space="preserve"> </w:t>
      </w:r>
    </w:p>
  </w:footnote>
  <w:footnote w:id="24">
    <w:p w14:paraId="4C82F28D" w14:textId="77777777" w:rsidR="00D84079" w:rsidRDefault="00D84079" w:rsidP="00D84079">
      <w:pPr>
        <w:pStyle w:val="FootnoteText"/>
      </w:pPr>
      <w:r w:rsidRPr="00D66D1D">
        <w:rPr>
          <w:rStyle w:val="FootnoteReference"/>
        </w:rPr>
        <w:footnoteRef/>
      </w:r>
      <w:r>
        <w:t xml:space="preserve"> See also sections on </w:t>
      </w:r>
      <w:r w:rsidRPr="00C4602B">
        <w:t>Tics and other dyskinesias</w:t>
      </w:r>
      <w:r>
        <w:t xml:space="preserve">; </w:t>
      </w:r>
      <w:r w:rsidRPr="00C4602B">
        <w:t>Sleep disorders</w:t>
      </w:r>
      <w:r>
        <w:t xml:space="preserve">; </w:t>
      </w:r>
      <w:r w:rsidRPr="00C4602B">
        <w:t>Other notable neuropsychiatric outcomes</w:t>
      </w:r>
      <w:r>
        <w:t xml:space="preserve">. </w:t>
      </w:r>
    </w:p>
  </w:footnote>
  <w:footnote w:id="25">
    <w:p w14:paraId="569FDC5E" w14:textId="77777777" w:rsidR="00D84079" w:rsidRDefault="00D84079" w:rsidP="00D84079">
      <w:pPr>
        <w:pStyle w:val="FootnoteText"/>
      </w:pPr>
      <w:r w:rsidRPr="00D66D1D">
        <w:rPr>
          <w:rStyle w:val="FootnoteReference"/>
        </w:rPr>
        <w:footnoteRef/>
      </w:r>
      <w:r>
        <w:t xml:space="preserve"> See also section on </w:t>
      </w:r>
      <w:r w:rsidRPr="00C4602B">
        <w:t>Tics and other dyskinesias</w:t>
      </w:r>
      <w:r>
        <w:t xml:space="preserve">. </w:t>
      </w:r>
    </w:p>
  </w:footnote>
  <w:footnote w:id="26">
    <w:p w14:paraId="4DD5F77C" w14:textId="77777777" w:rsidR="00D84079" w:rsidRDefault="00D84079" w:rsidP="00D84079">
      <w:pPr>
        <w:pStyle w:val="FootnoteText"/>
      </w:pPr>
      <w:r w:rsidRPr="00D66D1D">
        <w:rPr>
          <w:rStyle w:val="FootnoteReference"/>
        </w:rPr>
        <w:footnoteRef/>
      </w:r>
      <w:r>
        <w:t xml:space="preserve"> See also sections on </w:t>
      </w:r>
      <w:r w:rsidRPr="00C4602B">
        <w:t>Low Mood or Depression</w:t>
      </w:r>
      <w:r>
        <w:t xml:space="preserve">; </w:t>
      </w:r>
      <w:r w:rsidRPr="00C4602B">
        <w:t>Anxiety</w:t>
      </w:r>
      <w:r>
        <w:t xml:space="preserve">; </w:t>
      </w:r>
      <w:r w:rsidRPr="00C4602B">
        <w:t>Other notable neuropsychiatric outcomes</w:t>
      </w:r>
      <w:r>
        <w:t xml:space="preserve">. </w:t>
      </w:r>
    </w:p>
  </w:footnote>
  <w:footnote w:id="27">
    <w:p w14:paraId="24843B1F" w14:textId="77777777" w:rsidR="00D84079" w:rsidRDefault="00D84079" w:rsidP="00D84079">
      <w:pPr>
        <w:pStyle w:val="FootnoteText"/>
      </w:pPr>
      <w:r w:rsidRPr="00D66D1D">
        <w:rPr>
          <w:rStyle w:val="FootnoteReference"/>
        </w:rPr>
        <w:footnoteRef/>
      </w:r>
      <w:r>
        <w:t xml:space="preserve"> </w:t>
      </w:r>
      <w:r w:rsidRPr="00C4602B">
        <w:t>Low Mood or Depression</w:t>
      </w:r>
      <w:r>
        <w:t xml:space="preserve">; </w:t>
      </w:r>
      <w:r w:rsidRPr="00C4602B">
        <w:t>Tics and other dyskinesias</w:t>
      </w:r>
      <w:r>
        <w:rPr>
          <w:rStyle w:val="Hyperlink"/>
        </w:rPr>
        <w:t xml:space="preserve">; </w:t>
      </w:r>
      <w:r w:rsidRPr="00C4602B">
        <w:t>Sleep disorders</w:t>
      </w:r>
      <w:r>
        <w:t>.</w:t>
      </w:r>
    </w:p>
  </w:footnote>
  <w:footnote w:id="28">
    <w:p w14:paraId="7FDCDD63" w14:textId="77777777" w:rsidR="00D84079" w:rsidRDefault="00D84079" w:rsidP="00D84079">
      <w:pPr>
        <w:pStyle w:val="FootnoteText"/>
      </w:pPr>
      <w:r w:rsidRPr="00D66D1D">
        <w:rPr>
          <w:rStyle w:val="FootnoteReference"/>
        </w:rPr>
        <w:footnoteRef/>
      </w:r>
      <w:r>
        <w:rPr>
          <w:rFonts w:cs="Calibri"/>
          <w:color w:val="000000"/>
          <w:lang w:eastAsia="en-GB"/>
        </w:rPr>
        <w:t xml:space="preserve"> See also sections on </w:t>
      </w:r>
      <w:r w:rsidRPr="00C4602B">
        <w:t>Low Mood or Depression</w:t>
      </w:r>
      <w:r>
        <w:rPr>
          <w:rFonts w:cs="Calibri"/>
          <w:color w:val="000000"/>
          <w:lang w:eastAsia="en-GB"/>
        </w:rPr>
        <w:t xml:space="preserve">; </w:t>
      </w:r>
      <w:r w:rsidRPr="00C4602B">
        <w:t>Suicidal behaviour/ideation</w:t>
      </w:r>
      <w:r>
        <w:rPr>
          <w:rFonts w:cs="Calibri"/>
          <w:color w:val="000000"/>
          <w:lang w:eastAsia="en-GB"/>
        </w:rPr>
        <w:t xml:space="preserve">; </w:t>
      </w:r>
      <w:r w:rsidRPr="00C4602B">
        <w:t>Psychosis and psychotic like symptoms.</w:t>
      </w:r>
    </w:p>
    <w:p w14:paraId="572629F5" w14:textId="77777777" w:rsidR="00D84079" w:rsidRDefault="00D84079" w:rsidP="00D84079">
      <w:pPr>
        <w:pStyle w:val="FootnoteText"/>
      </w:pPr>
    </w:p>
  </w:footnote>
  <w:footnote w:id="29">
    <w:p w14:paraId="6E2473BE"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Anxiety</w:t>
      </w:r>
      <w:r>
        <w:rPr>
          <w:rFonts w:cs="Calibri"/>
          <w:color w:val="000000"/>
          <w:lang w:eastAsia="en-GB"/>
        </w:rPr>
        <w:t xml:space="preserve">; </w:t>
      </w:r>
      <w:r w:rsidRPr="00C4602B">
        <w:t>Psychosis and psychotic like symptoms</w:t>
      </w:r>
      <w:r>
        <w:rPr>
          <w:rFonts w:cs="Calibri"/>
          <w:color w:val="000000"/>
          <w:lang w:eastAsia="en-GB"/>
        </w:rPr>
        <w:t xml:space="preserve">; </w:t>
      </w:r>
      <w:r w:rsidRPr="00C4602B">
        <w:t xml:space="preserve">Substance </w:t>
      </w:r>
      <w:r>
        <w:t>U</w:t>
      </w:r>
      <w:r w:rsidRPr="00C4602B">
        <w:t xml:space="preserve">se </w:t>
      </w:r>
      <w:r>
        <w:t>D</w:t>
      </w:r>
      <w:r w:rsidRPr="00C4602B">
        <w:t>isorder</w:t>
      </w:r>
      <w:r>
        <w:t>s</w:t>
      </w:r>
      <w:r>
        <w:rPr>
          <w:rFonts w:cs="Calibri"/>
          <w:color w:val="000000"/>
          <w:lang w:eastAsia="en-GB"/>
        </w:rPr>
        <w:t>.</w:t>
      </w:r>
    </w:p>
  </w:footnote>
  <w:footnote w:id="30">
    <w:p w14:paraId="077934C4" w14:textId="77777777" w:rsidR="00D84079" w:rsidRDefault="00D84079" w:rsidP="00D84079">
      <w:pPr>
        <w:pStyle w:val="FootnoteText"/>
      </w:pPr>
      <w:r w:rsidRPr="00D66D1D">
        <w:rPr>
          <w:rStyle w:val="FootnoteReference"/>
        </w:rPr>
        <w:footnoteRef/>
      </w:r>
      <w:r>
        <w:t xml:space="preserve"> </w:t>
      </w:r>
      <w:r>
        <w:rPr>
          <w:rFonts w:cs="Calibri"/>
          <w:color w:val="000000"/>
          <w:lang w:eastAsia="en-GB"/>
        </w:rPr>
        <w:t xml:space="preserve">see also sections on </w:t>
      </w:r>
      <w:r w:rsidRPr="00C4602B">
        <w:t>Low Mood or Depression</w:t>
      </w:r>
      <w:r>
        <w:rPr>
          <w:rFonts w:cs="Calibri"/>
          <w:color w:val="000000"/>
          <w:lang w:eastAsia="en-GB"/>
        </w:rPr>
        <w:t xml:space="preserve">; </w:t>
      </w:r>
      <w:r w:rsidRPr="00C4602B">
        <w:t>Irritability/Emotional reactivity</w:t>
      </w:r>
      <w:r>
        <w:rPr>
          <w:rFonts w:cs="Calibri"/>
          <w:color w:val="000000"/>
          <w:lang w:eastAsia="en-GB"/>
        </w:rPr>
        <w:t xml:space="preserve">; </w:t>
      </w:r>
      <w:r w:rsidRPr="00C4602B">
        <w:t>Psychosis and psychotic like symptoms.</w:t>
      </w:r>
      <w:r>
        <w:rPr>
          <w:rFonts w:cs="Calibri"/>
          <w:color w:val="000000"/>
          <w:lang w:eastAsia="en-GB"/>
        </w:rPr>
        <w:t xml:space="preserve"> </w:t>
      </w:r>
      <w:r w:rsidRPr="00C4602B">
        <w:t>Seizures or EEG abnormalities</w:t>
      </w:r>
      <w:r>
        <w:rPr>
          <w:rFonts w:cs="Calibri"/>
          <w:color w:val="000000"/>
          <w:lang w:eastAsia="en-GB"/>
        </w:rPr>
        <w:t xml:space="preserve">; </w:t>
      </w:r>
      <w:r w:rsidRPr="00C4602B">
        <w:t>Sleep disorders</w:t>
      </w:r>
      <w:r>
        <w:rPr>
          <w:rFonts w:cs="Calibri"/>
          <w:color w:val="000000"/>
          <w:lang w:eastAsia="en-GB"/>
        </w:rPr>
        <w:t>.</w:t>
      </w:r>
      <w:r>
        <w:t xml:space="preserve"> </w:t>
      </w:r>
    </w:p>
  </w:footnote>
  <w:footnote w:id="31">
    <w:p w14:paraId="4FE9F6AE"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Anxiety</w:t>
      </w:r>
      <w:r>
        <w:rPr>
          <w:rFonts w:cs="Calibri"/>
          <w:color w:val="000000"/>
          <w:lang w:eastAsia="en-GB"/>
        </w:rPr>
        <w:t xml:space="preserve">; </w:t>
      </w:r>
      <w:r w:rsidRPr="00C4602B">
        <w:t>Psychosis and psychotic like symptoms</w:t>
      </w:r>
      <w:r>
        <w:rPr>
          <w:rFonts w:cs="Calibri"/>
          <w:color w:val="000000"/>
          <w:lang w:eastAsia="en-GB"/>
        </w:rPr>
        <w:t xml:space="preserve">; </w:t>
      </w:r>
      <w:r w:rsidRPr="00C4602B">
        <w:t xml:space="preserve">Substance </w:t>
      </w:r>
      <w:r>
        <w:t>U</w:t>
      </w:r>
      <w:r w:rsidRPr="00C4602B">
        <w:t xml:space="preserve">se </w:t>
      </w:r>
      <w:r>
        <w:t>D</w:t>
      </w:r>
      <w:r w:rsidRPr="00C4602B">
        <w:t>isorder</w:t>
      </w:r>
      <w:r>
        <w:t>s</w:t>
      </w:r>
      <w:r>
        <w:rPr>
          <w:rFonts w:cs="Calibri"/>
          <w:color w:val="000000"/>
          <w:lang w:eastAsia="en-GB"/>
        </w:rPr>
        <w:t>.</w:t>
      </w:r>
    </w:p>
  </w:footnote>
  <w:footnote w:id="32">
    <w:p w14:paraId="5DA942E2"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Irritability/Emotional reactivity</w:t>
      </w:r>
      <w:r>
        <w:rPr>
          <w:rFonts w:cs="Calibri"/>
          <w:color w:val="000000"/>
          <w:lang w:eastAsia="en-GB"/>
        </w:rPr>
        <w:t xml:space="preserve">; </w:t>
      </w:r>
      <w:r w:rsidRPr="00C4602B">
        <w:t>Psychosis and psychotic like symptoms</w:t>
      </w:r>
      <w:r>
        <w:rPr>
          <w:rFonts w:cs="Calibri"/>
          <w:color w:val="000000"/>
          <w:lang w:eastAsia="en-GB"/>
        </w:rPr>
        <w:t>;</w:t>
      </w:r>
    </w:p>
  </w:footnote>
  <w:footnote w:id="33">
    <w:p w14:paraId="4177B17E" w14:textId="77777777" w:rsidR="00D84079" w:rsidRDefault="00D84079" w:rsidP="00D84079">
      <w:pPr>
        <w:pStyle w:val="FootnoteText"/>
      </w:pPr>
      <w:r w:rsidRPr="00D66D1D">
        <w:rPr>
          <w:rStyle w:val="FootnoteReference"/>
        </w:rPr>
        <w:footnoteRef/>
      </w:r>
      <w:r>
        <w:t xml:space="preserve"> See also sections on </w:t>
      </w:r>
      <w:r w:rsidRPr="00C4602B">
        <w:t>Low Mood or Depression</w:t>
      </w:r>
      <w:r>
        <w:t>;</w:t>
      </w:r>
      <w:r w:rsidRPr="00277990">
        <w:rPr>
          <w:rFonts w:cs="Calibri"/>
          <w:color w:val="000000"/>
          <w:lang w:eastAsia="en-GB"/>
        </w:rPr>
        <w:t xml:space="preserve"> </w:t>
      </w:r>
      <w:r w:rsidRPr="00C4602B">
        <w:t xml:space="preserve">Substance </w:t>
      </w:r>
      <w:r>
        <w:t>U</w:t>
      </w:r>
      <w:r w:rsidRPr="00C4602B">
        <w:t xml:space="preserve">se </w:t>
      </w:r>
      <w:r>
        <w:t>D</w:t>
      </w:r>
      <w:r w:rsidRPr="00C4602B">
        <w:t>isorder</w:t>
      </w:r>
      <w:r>
        <w:t>s</w:t>
      </w:r>
      <w:r>
        <w:rPr>
          <w:rFonts w:cs="Calibri"/>
          <w:color w:val="000000"/>
          <w:lang w:eastAsia="en-GB"/>
        </w:rPr>
        <w:t xml:space="preserve">; </w:t>
      </w:r>
      <w:r w:rsidRPr="00C4602B">
        <w:t>Sleep disorders</w:t>
      </w:r>
      <w:r w:rsidRPr="005B0A65">
        <w:rPr>
          <w:rFonts w:cs="Calibri"/>
          <w:lang w:eastAsia="en-GB"/>
        </w:rPr>
        <w:t>.</w:t>
      </w:r>
    </w:p>
  </w:footnote>
  <w:footnote w:id="34">
    <w:p w14:paraId="27E0FD00" w14:textId="77777777" w:rsidR="00D84079" w:rsidRDefault="00D84079" w:rsidP="00D84079">
      <w:pPr>
        <w:pStyle w:val="FootnoteText"/>
      </w:pPr>
      <w:r w:rsidRPr="00D66D1D">
        <w:rPr>
          <w:rStyle w:val="FootnoteReference"/>
        </w:rPr>
        <w:footnoteRef/>
      </w:r>
      <w:r>
        <w:t xml:space="preserve"> See also section on </w:t>
      </w:r>
      <w:r w:rsidRPr="00C4602B">
        <w:t>Psychosis and psychotic like symptoms</w:t>
      </w:r>
      <w:r>
        <w:rPr>
          <w:rFonts w:cs="Calibri"/>
          <w:color w:val="000000"/>
          <w:lang w:eastAsia="en-GB"/>
        </w:rPr>
        <w:t>.</w:t>
      </w:r>
    </w:p>
  </w:footnote>
  <w:footnote w:id="35">
    <w:p w14:paraId="7D56B4C0"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Anxiety</w:t>
      </w:r>
      <w:r>
        <w:rPr>
          <w:rFonts w:cs="Calibri"/>
          <w:color w:val="000000"/>
          <w:lang w:eastAsia="en-GB"/>
        </w:rPr>
        <w:t>;</w:t>
      </w:r>
      <w:r w:rsidRPr="00277990">
        <w:rPr>
          <w:rFonts w:cs="Calibri"/>
          <w:color w:val="000000"/>
          <w:lang w:eastAsia="en-GB"/>
        </w:rPr>
        <w:t xml:space="preserve"> </w:t>
      </w:r>
      <w:r w:rsidRPr="00C4602B">
        <w:t xml:space="preserve">Substance </w:t>
      </w:r>
      <w:r>
        <w:t>U</w:t>
      </w:r>
      <w:r w:rsidRPr="00C4602B">
        <w:t xml:space="preserve">se </w:t>
      </w:r>
      <w:r>
        <w:t>D</w:t>
      </w:r>
      <w:r w:rsidRPr="00C4602B">
        <w:t>isorder</w:t>
      </w:r>
      <w:r>
        <w:t>s</w:t>
      </w:r>
      <w:r>
        <w:rPr>
          <w:rFonts w:cs="Calibri"/>
          <w:color w:val="000000"/>
          <w:lang w:eastAsia="en-GB"/>
        </w:rPr>
        <w:t>;</w:t>
      </w:r>
      <w:r w:rsidRPr="00277990">
        <w:rPr>
          <w:rStyle w:val="Hyperlink"/>
          <w:rFonts w:cs="Calibri"/>
          <w:lang w:eastAsia="en-GB"/>
        </w:rPr>
        <w:t xml:space="preserve"> </w:t>
      </w:r>
      <w:r w:rsidRPr="00C4602B">
        <w:t>Sleep disorders</w:t>
      </w:r>
      <w:r>
        <w:t>.</w:t>
      </w:r>
    </w:p>
  </w:footnote>
  <w:footnote w:id="36">
    <w:p w14:paraId="02611C18"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Anxiety</w:t>
      </w:r>
      <w:r>
        <w:rPr>
          <w:rFonts w:cs="Calibri"/>
          <w:color w:val="000000"/>
          <w:lang w:eastAsia="en-GB"/>
        </w:rPr>
        <w:t xml:space="preserve">; </w:t>
      </w:r>
      <w:r w:rsidRPr="00C4602B">
        <w:t>Suicidal behaviour/ideation</w:t>
      </w:r>
      <w:r>
        <w:rPr>
          <w:rFonts w:cs="Calibri"/>
          <w:color w:val="000000"/>
          <w:lang w:eastAsia="en-GB"/>
        </w:rPr>
        <w:t>;</w:t>
      </w:r>
      <w:r w:rsidRPr="00277990">
        <w:rPr>
          <w:rFonts w:cs="Calibri"/>
          <w:color w:val="000000"/>
          <w:lang w:eastAsia="en-GB"/>
        </w:rPr>
        <w:t xml:space="preserve"> </w:t>
      </w:r>
      <w:r w:rsidRPr="00C4602B">
        <w:t xml:space="preserve">Substance </w:t>
      </w:r>
      <w:r>
        <w:t>U</w:t>
      </w:r>
      <w:r w:rsidRPr="00C4602B">
        <w:t xml:space="preserve">se </w:t>
      </w:r>
      <w:r>
        <w:t>D</w:t>
      </w:r>
      <w:r w:rsidRPr="00C4602B">
        <w:t>isorder</w:t>
      </w:r>
      <w:r>
        <w:t>s</w:t>
      </w:r>
      <w:r>
        <w:rPr>
          <w:rFonts w:cs="Calibri"/>
          <w:color w:val="000000"/>
          <w:lang w:eastAsia="en-GB"/>
        </w:rPr>
        <w:t>.</w:t>
      </w:r>
    </w:p>
  </w:footnote>
  <w:footnote w:id="37">
    <w:p w14:paraId="627F7F63" w14:textId="77777777" w:rsidR="00D84079" w:rsidRDefault="00D84079" w:rsidP="00D84079">
      <w:pPr>
        <w:pStyle w:val="FootnoteText"/>
      </w:pPr>
      <w:r w:rsidRPr="00D66D1D">
        <w:rPr>
          <w:rStyle w:val="FootnoteReference"/>
        </w:rPr>
        <w:footnoteRef/>
      </w:r>
      <w:r>
        <w:t xml:space="preserve"> See also section on </w:t>
      </w:r>
      <w:r w:rsidRPr="00C4602B">
        <w:t>Low Mood or Depression</w:t>
      </w:r>
      <w:r>
        <w:rPr>
          <w:rFonts w:cs="Calibri"/>
          <w:color w:val="000000"/>
          <w:lang w:eastAsia="en-GB"/>
        </w:rPr>
        <w:t>;</w:t>
      </w:r>
      <w:r w:rsidRPr="00277990">
        <w:rPr>
          <w:rFonts w:cs="Calibri"/>
          <w:color w:val="000000"/>
          <w:lang w:eastAsia="en-GB"/>
        </w:rPr>
        <w:t xml:space="preserve"> </w:t>
      </w:r>
      <w:r w:rsidRPr="00C4602B">
        <w:t>Irritability/Emotional reactivity</w:t>
      </w:r>
      <w:r>
        <w:rPr>
          <w:rFonts w:cs="Calibri"/>
          <w:color w:val="000000"/>
          <w:lang w:eastAsia="en-GB"/>
        </w:rPr>
        <w:t>;</w:t>
      </w:r>
      <w:r w:rsidRPr="00277990">
        <w:rPr>
          <w:rStyle w:val="Hyperlink"/>
          <w:rFonts w:cs="Calibri"/>
          <w:lang w:eastAsia="en-GB"/>
        </w:rPr>
        <w:t xml:space="preserve"> </w:t>
      </w:r>
      <w:r w:rsidRPr="00C4602B">
        <w:t>Suicidal behaviour/ideation</w:t>
      </w:r>
      <w:r>
        <w:rPr>
          <w:rFonts w:cs="Calibri"/>
          <w:color w:val="000000"/>
          <w:lang w:eastAsia="en-GB"/>
        </w:rPr>
        <w:t xml:space="preserve">; </w:t>
      </w:r>
      <w:r w:rsidRPr="00C4602B">
        <w:t>Seizures or EEG abnormalities</w:t>
      </w:r>
      <w:r>
        <w:rPr>
          <w:rFonts w:cs="Calibri"/>
          <w:color w:val="000000"/>
          <w:lang w:eastAsia="en-GB"/>
        </w:rPr>
        <w:t xml:space="preserve">; </w:t>
      </w:r>
      <w:r w:rsidRPr="00C4602B">
        <w:t>Sleep disorders</w:t>
      </w:r>
      <w:r>
        <w:rPr>
          <w:rStyle w:val="Hyperlink"/>
          <w:rFonts w:cs="Calibri"/>
          <w:lang w:eastAsia="en-GB"/>
        </w:rPr>
        <w:t>.</w:t>
      </w:r>
    </w:p>
  </w:footnote>
  <w:footnote w:id="38">
    <w:p w14:paraId="5046DB6C" w14:textId="77777777" w:rsidR="00D84079" w:rsidRDefault="00D84079" w:rsidP="00D84079">
      <w:pPr>
        <w:pStyle w:val="FootnoteText"/>
      </w:pPr>
      <w:r w:rsidRPr="00D66D1D">
        <w:rPr>
          <w:rStyle w:val="FootnoteReference"/>
        </w:rPr>
        <w:footnoteRef/>
      </w:r>
      <w:r>
        <w:t xml:space="preserve"> See also section on </w:t>
      </w:r>
      <w:r w:rsidRPr="00C4602B">
        <w:t>Bipolar disorder</w:t>
      </w:r>
    </w:p>
  </w:footnote>
  <w:footnote w:id="39">
    <w:p w14:paraId="495CA2A3" w14:textId="77777777" w:rsidR="00D84079" w:rsidRDefault="00D84079" w:rsidP="00D84079">
      <w:pPr>
        <w:pStyle w:val="FootnoteText"/>
      </w:pPr>
      <w:r w:rsidRPr="00D66D1D">
        <w:rPr>
          <w:rStyle w:val="FootnoteReference"/>
        </w:rPr>
        <w:footnoteRef/>
      </w:r>
      <w:r>
        <w:t xml:space="preserve">See also section on </w:t>
      </w:r>
      <w:r w:rsidRPr="00C4602B">
        <w:t>Tics and other dyskinesias</w:t>
      </w:r>
    </w:p>
  </w:footnote>
  <w:footnote w:id="40">
    <w:p w14:paraId="01D83058" w14:textId="77777777" w:rsidR="00D84079" w:rsidRDefault="00D84079" w:rsidP="00D84079">
      <w:pPr>
        <w:pStyle w:val="FootnoteText"/>
      </w:pPr>
      <w:r w:rsidRPr="00D66D1D">
        <w:rPr>
          <w:rStyle w:val="FootnoteReference"/>
        </w:rPr>
        <w:footnoteRef/>
      </w:r>
      <w:r>
        <w:t xml:space="preserve"> See also section on </w:t>
      </w:r>
      <w:r w:rsidRPr="00C4602B">
        <w:t>Tics and other dyskinesias</w:t>
      </w:r>
      <w:r>
        <w:t>.</w:t>
      </w:r>
    </w:p>
  </w:footnote>
  <w:footnote w:id="41">
    <w:p w14:paraId="5DC34D60"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w:t>
      </w:r>
      <w:r w:rsidRPr="00277990">
        <w:rPr>
          <w:rFonts w:cs="Calibri"/>
          <w:color w:val="000000"/>
          <w:lang w:eastAsia="en-GB"/>
        </w:rPr>
        <w:t xml:space="preserve"> </w:t>
      </w:r>
      <w:r w:rsidRPr="00C4602B">
        <w:t>Irritability/Emotional reactivity</w:t>
      </w:r>
      <w:r>
        <w:rPr>
          <w:rFonts w:cs="Calibri"/>
          <w:color w:val="000000"/>
          <w:lang w:eastAsia="en-GB"/>
        </w:rPr>
        <w:t>;</w:t>
      </w:r>
      <w:r w:rsidRPr="00277990">
        <w:rPr>
          <w:rStyle w:val="Hyperlink"/>
          <w:rFonts w:cs="Calibri"/>
          <w:lang w:eastAsia="en-GB"/>
        </w:rPr>
        <w:t xml:space="preserve"> </w:t>
      </w:r>
      <w:r w:rsidRPr="00C4602B">
        <w:t>Suicidal behaviour/ideation</w:t>
      </w:r>
      <w:r>
        <w:rPr>
          <w:rStyle w:val="Hyperlink"/>
          <w:rFonts w:cs="Calibri"/>
          <w:lang w:eastAsia="en-GB"/>
        </w:rPr>
        <w:t>.</w:t>
      </w:r>
      <w:r>
        <w:rPr>
          <w:rFonts w:cs="Calibri"/>
          <w:color w:val="000000"/>
          <w:lang w:eastAsia="en-GB"/>
        </w:rPr>
        <w:t xml:space="preserve"> </w:t>
      </w:r>
    </w:p>
  </w:footnote>
  <w:footnote w:id="42">
    <w:p w14:paraId="287C3891"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t>;</w:t>
      </w:r>
      <w:r>
        <w:rPr>
          <w:rFonts w:cs="Calibri"/>
          <w:color w:val="000000"/>
          <w:lang w:eastAsia="en-GB"/>
        </w:rPr>
        <w:t xml:space="preserve"> </w:t>
      </w:r>
      <w:r w:rsidRPr="00C4602B">
        <w:t>Anxiety</w:t>
      </w:r>
      <w:r>
        <w:rPr>
          <w:rFonts w:cs="Calibri"/>
          <w:color w:val="000000"/>
          <w:lang w:eastAsia="en-GB"/>
        </w:rPr>
        <w:t>;</w:t>
      </w:r>
      <w:r w:rsidRPr="00277990">
        <w:rPr>
          <w:rStyle w:val="Hyperlink"/>
          <w:rFonts w:cs="Calibri"/>
          <w:lang w:eastAsia="en-GB"/>
        </w:rPr>
        <w:t xml:space="preserve"> </w:t>
      </w:r>
      <w:r w:rsidRPr="00C4602B">
        <w:t>Suicidal behaviour/ideation</w:t>
      </w:r>
      <w:r>
        <w:rPr>
          <w:rFonts w:cs="Calibri"/>
          <w:color w:val="000000"/>
          <w:lang w:eastAsia="en-GB"/>
        </w:rPr>
        <w:t>;</w:t>
      </w:r>
      <w:r w:rsidRPr="00277990">
        <w:rPr>
          <w:rFonts w:cs="Calibri"/>
          <w:color w:val="000000"/>
          <w:lang w:eastAsia="en-GB"/>
        </w:rPr>
        <w:t xml:space="preserve"> </w:t>
      </w:r>
      <w:r w:rsidRPr="00C4602B">
        <w:t>Psychosis and psychotic like symptoms</w:t>
      </w:r>
      <w:r>
        <w:rPr>
          <w:rFonts w:cs="Calibri"/>
          <w:color w:val="000000"/>
          <w:lang w:eastAsia="en-GB"/>
        </w:rPr>
        <w:t xml:space="preserve">. </w:t>
      </w:r>
    </w:p>
  </w:footnote>
  <w:footnote w:id="43">
    <w:p w14:paraId="4092D13E" w14:textId="77777777" w:rsidR="00D84079" w:rsidRDefault="00D84079" w:rsidP="00D84079">
      <w:pPr>
        <w:pStyle w:val="FootnoteText"/>
      </w:pPr>
      <w:r w:rsidRPr="00D66D1D">
        <w:rPr>
          <w:rStyle w:val="FootnoteReference"/>
        </w:rPr>
        <w:footnoteRef/>
      </w:r>
      <w:r>
        <w:t xml:space="preserve"> See also sections on </w:t>
      </w:r>
      <w:r w:rsidRPr="00C4602B">
        <w:t>Low Mood or Depression</w:t>
      </w:r>
      <w:r>
        <w:t xml:space="preserve">; </w:t>
      </w:r>
      <w:r w:rsidRPr="00C4602B">
        <w:t>Anxiety</w:t>
      </w:r>
      <w:r>
        <w:rPr>
          <w:rFonts w:cs="Calibri"/>
          <w:color w:val="000000"/>
          <w:lang w:eastAsia="en-GB"/>
        </w:rPr>
        <w:t>;</w:t>
      </w:r>
      <w:r w:rsidRPr="00277990">
        <w:rPr>
          <w:rStyle w:val="Hyperlink"/>
          <w:rFonts w:cs="Calibri"/>
          <w:lang w:eastAsia="en-GB"/>
        </w:rPr>
        <w:t xml:space="preserve"> </w:t>
      </w:r>
      <w:r w:rsidRPr="00C4602B">
        <w:t>Suicidal behaviour/ideation</w:t>
      </w:r>
      <w:r>
        <w:rPr>
          <w:rFonts w:cs="Calibri"/>
          <w:color w:val="000000"/>
          <w:lang w:eastAsia="en-GB"/>
        </w:rPr>
        <w:t xml:space="preserve">; </w:t>
      </w:r>
      <w:r w:rsidRPr="00C4602B">
        <w:t>Psychosis and psychotic like symptoms</w:t>
      </w:r>
      <w:r>
        <w:rPr>
          <w:rFonts w:cs="Calibri"/>
          <w:color w:val="000000"/>
          <w:lang w:eastAsia="en-GB"/>
        </w:rPr>
        <w:t>.</w:t>
      </w:r>
    </w:p>
  </w:footnote>
  <w:footnote w:id="44">
    <w:p w14:paraId="5B7204B3"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Anxiety</w:t>
      </w:r>
      <w:r>
        <w:rPr>
          <w:rFonts w:cs="Calibri"/>
          <w:color w:val="000000"/>
          <w:lang w:eastAsia="en-GB"/>
        </w:rPr>
        <w:t>;</w:t>
      </w:r>
      <w:r w:rsidRPr="00277990">
        <w:rPr>
          <w:rFonts w:cs="Calibri"/>
          <w:color w:val="000000"/>
          <w:lang w:eastAsia="en-GB"/>
        </w:rPr>
        <w:t xml:space="preserve"> </w:t>
      </w:r>
      <w:r w:rsidRPr="00C4602B">
        <w:t>Irritability/Emotional reactivity</w:t>
      </w:r>
      <w:r>
        <w:rPr>
          <w:rFonts w:cs="Calibri"/>
          <w:color w:val="000000"/>
          <w:lang w:eastAsia="en-GB"/>
        </w:rPr>
        <w:t xml:space="preserve">; </w:t>
      </w:r>
      <w:r w:rsidRPr="00C4602B">
        <w:t>Sleep disorders</w:t>
      </w:r>
      <w:r>
        <w:rPr>
          <w:rFonts w:cs="Calibri"/>
          <w:color w:val="000000"/>
          <w:lang w:eastAsia="en-GB"/>
        </w:rPr>
        <w:t>;</w:t>
      </w:r>
      <w:r w:rsidRPr="00277990">
        <w:rPr>
          <w:rStyle w:val="Hyperlink"/>
        </w:rPr>
        <w:t xml:space="preserve"> </w:t>
      </w:r>
      <w:r w:rsidRPr="00C4602B">
        <w:t>Other notable neuropsychiatric outcomes</w:t>
      </w:r>
      <w:r>
        <w:rPr>
          <w:rStyle w:val="Hyperlink"/>
        </w:rPr>
        <w:t>.</w:t>
      </w:r>
    </w:p>
  </w:footnote>
  <w:footnote w:id="45">
    <w:p w14:paraId="402B2450" w14:textId="77777777" w:rsidR="00D84079" w:rsidRDefault="00D84079" w:rsidP="00D84079">
      <w:pPr>
        <w:pStyle w:val="FootnoteText"/>
      </w:pPr>
      <w:r w:rsidRPr="00D66D1D">
        <w:rPr>
          <w:rStyle w:val="FootnoteReference"/>
        </w:rPr>
        <w:footnoteRef/>
      </w:r>
      <w:r>
        <w:t xml:space="preserve"> See also sections on </w:t>
      </w:r>
      <w:r w:rsidRPr="00C4602B">
        <w:t>Irritability/Emotional reactivity</w:t>
      </w:r>
      <w:r>
        <w:t xml:space="preserve">; </w:t>
      </w:r>
      <w:r w:rsidRPr="00C4602B">
        <w:t>Sleep disorders</w:t>
      </w:r>
      <w:r>
        <w:t>;</w:t>
      </w:r>
      <w:r w:rsidRPr="00277990">
        <w:rPr>
          <w:rStyle w:val="Hyperlink"/>
        </w:rPr>
        <w:t xml:space="preserve"> </w:t>
      </w:r>
      <w:r w:rsidRPr="00C4602B">
        <w:t>Other notable neuropsychiatric outcomes</w:t>
      </w:r>
      <w:r>
        <w:rPr>
          <w:rStyle w:val="Hyperlink"/>
        </w:rPr>
        <w:t>.</w:t>
      </w:r>
    </w:p>
  </w:footnote>
  <w:footnote w:id="46">
    <w:p w14:paraId="521CF05F" w14:textId="77777777" w:rsidR="00D84079" w:rsidRDefault="00D84079" w:rsidP="00D84079">
      <w:pPr>
        <w:pStyle w:val="FootnoteText"/>
      </w:pPr>
      <w:r w:rsidRPr="00D66D1D">
        <w:rPr>
          <w:rStyle w:val="FootnoteReference"/>
        </w:rPr>
        <w:footnoteRef/>
      </w:r>
      <w:r>
        <w:t xml:space="preserve"> See also section on </w:t>
      </w:r>
      <w:r w:rsidRPr="00C4602B">
        <w:t>Irritability/Emotional reactivity</w:t>
      </w:r>
      <w:r>
        <w:rPr>
          <w:rFonts w:cs="Calibri"/>
          <w:color w:val="000000"/>
          <w:lang w:eastAsia="en-GB"/>
        </w:rPr>
        <w:t>.</w:t>
      </w:r>
    </w:p>
  </w:footnote>
  <w:footnote w:id="47">
    <w:p w14:paraId="3B3E4826" w14:textId="77777777" w:rsidR="00D84079" w:rsidRDefault="00D84079" w:rsidP="00D84079">
      <w:pPr>
        <w:pStyle w:val="FootnoteText"/>
      </w:pPr>
      <w:r w:rsidRPr="00D66D1D">
        <w:rPr>
          <w:rStyle w:val="FootnoteReference"/>
        </w:rPr>
        <w:footnoteRef/>
      </w:r>
      <w:r>
        <w:t xml:space="preserve"> See also sections on </w:t>
      </w:r>
      <w:r w:rsidRPr="00C4602B">
        <w:t>Low Mood or Depression</w:t>
      </w:r>
      <w:r>
        <w:t xml:space="preserve">, </w:t>
      </w:r>
      <w:r w:rsidRPr="00C4602B">
        <w:t>Anxiety</w:t>
      </w:r>
      <w:r>
        <w:t xml:space="preserve">, </w:t>
      </w:r>
      <w:r w:rsidRPr="00C4602B">
        <w:t>Irritability/Emotional reactivity</w:t>
      </w:r>
      <w:r>
        <w:t xml:space="preserve">; </w:t>
      </w:r>
      <w:r w:rsidRPr="00C4602B">
        <w:t>Sleep disorders</w:t>
      </w:r>
      <w:r>
        <w:rPr>
          <w:rStyle w:val="Hyperlink"/>
          <w:rFonts w:cs="Calibri"/>
          <w:lang w:eastAsia="en-GB"/>
        </w:rPr>
        <w:t>.</w:t>
      </w:r>
      <w:r>
        <w:t xml:space="preserve"> </w:t>
      </w:r>
    </w:p>
  </w:footnote>
  <w:footnote w:id="48">
    <w:p w14:paraId="5F62B943" w14:textId="77777777" w:rsidR="00D84079" w:rsidRDefault="00D84079" w:rsidP="00D84079">
      <w:pPr>
        <w:pStyle w:val="FootnoteText"/>
      </w:pPr>
      <w:r w:rsidRPr="00D66D1D">
        <w:rPr>
          <w:rStyle w:val="FootnoteReference"/>
        </w:rPr>
        <w:footnoteRef/>
      </w:r>
      <w:r>
        <w:t xml:space="preserve"> See also sections on </w:t>
      </w:r>
      <w:r w:rsidRPr="00C4602B">
        <w:t>Low Mood or Depression</w:t>
      </w:r>
      <w:r>
        <w:t xml:space="preserve">; </w:t>
      </w:r>
      <w:r w:rsidRPr="00C4602B">
        <w:t>Anxiety</w:t>
      </w:r>
    </w:p>
  </w:footnote>
  <w:footnote w:id="49">
    <w:p w14:paraId="696A28E9" w14:textId="77777777" w:rsidR="00D84079" w:rsidRDefault="00D84079" w:rsidP="00D84079">
      <w:pPr>
        <w:pStyle w:val="FootnoteText"/>
      </w:pPr>
      <w:r w:rsidRPr="00D66D1D">
        <w:rPr>
          <w:rStyle w:val="FootnoteReference"/>
        </w:rPr>
        <w:footnoteRef/>
      </w:r>
      <w:r>
        <w:t xml:space="preserve"> See also section on </w:t>
      </w:r>
      <w:r w:rsidRPr="00C4602B">
        <w:t>Psychosis and psychotic like symptoms</w:t>
      </w:r>
      <w:r>
        <w:rPr>
          <w:rFonts w:cs="Calibri"/>
          <w:color w:val="000000"/>
          <w:lang w:eastAsia="en-GB"/>
        </w:rPr>
        <w:t>.</w:t>
      </w:r>
    </w:p>
  </w:footnote>
  <w:footnote w:id="50">
    <w:p w14:paraId="28B0703A" w14:textId="77777777" w:rsidR="00D84079" w:rsidRDefault="00D84079" w:rsidP="00D84079">
      <w:pPr>
        <w:pStyle w:val="FootnoteText"/>
      </w:pPr>
      <w:r w:rsidRPr="00D66D1D">
        <w:rPr>
          <w:rStyle w:val="FootnoteReference"/>
        </w:rPr>
        <w:footnoteRef/>
      </w:r>
      <w:r>
        <w:t xml:space="preserve"> </w:t>
      </w:r>
      <w:r>
        <w:rPr>
          <w:rFonts w:cs="Calibri"/>
          <w:color w:val="000000"/>
          <w:lang w:eastAsia="en-GB"/>
        </w:rPr>
        <w:t xml:space="preserve">see also sections on </w:t>
      </w:r>
      <w:r w:rsidRPr="00C4602B">
        <w:t>Low Mood or Depression</w:t>
      </w:r>
      <w:r>
        <w:rPr>
          <w:rFonts w:cs="Calibri"/>
          <w:color w:val="000000"/>
          <w:lang w:eastAsia="en-GB"/>
        </w:rPr>
        <w:t>;</w:t>
      </w:r>
      <w:r w:rsidRPr="00277990">
        <w:rPr>
          <w:rFonts w:cs="Calibri"/>
          <w:color w:val="000000"/>
          <w:lang w:eastAsia="en-GB"/>
        </w:rPr>
        <w:t xml:space="preserve"> </w:t>
      </w:r>
      <w:r w:rsidRPr="00C4602B">
        <w:t>Irritability/Emotional reactivity</w:t>
      </w:r>
      <w:r>
        <w:rPr>
          <w:rFonts w:cs="Calibri"/>
          <w:color w:val="000000"/>
          <w:lang w:eastAsia="en-GB"/>
        </w:rPr>
        <w:t>;</w:t>
      </w:r>
      <w:r w:rsidRPr="00277990">
        <w:rPr>
          <w:rStyle w:val="Hyperlink"/>
          <w:rFonts w:cs="Calibri"/>
          <w:lang w:eastAsia="en-GB"/>
        </w:rPr>
        <w:t xml:space="preserve"> </w:t>
      </w:r>
      <w:r w:rsidRPr="00C4602B">
        <w:t>Suicidal behaviour/ideation</w:t>
      </w:r>
      <w:r>
        <w:rPr>
          <w:rFonts w:cs="Calibri"/>
          <w:color w:val="000000"/>
          <w:lang w:eastAsia="en-GB"/>
        </w:rPr>
        <w:t xml:space="preserve">; </w:t>
      </w:r>
      <w:r w:rsidRPr="00C4602B">
        <w:t>Psychosis and psychotic like symptoms</w:t>
      </w:r>
      <w:r>
        <w:rPr>
          <w:rFonts w:cs="Calibri"/>
          <w:color w:val="000000"/>
          <w:lang w:eastAsia="en-GB"/>
        </w:rPr>
        <w:t xml:space="preserve">; </w:t>
      </w:r>
      <w:r w:rsidRPr="00C4602B">
        <w:t>Sleep disorders</w:t>
      </w:r>
      <w:r>
        <w:rPr>
          <w:rStyle w:val="Hyperlink"/>
          <w:rFonts w:cs="Calibri"/>
          <w:lang w:eastAsia="en-GB"/>
        </w:rPr>
        <w:t>.</w:t>
      </w:r>
    </w:p>
  </w:footnote>
  <w:footnote w:id="51">
    <w:p w14:paraId="13CE2509" w14:textId="77777777" w:rsidR="00D84079" w:rsidRDefault="00D84079" w:rsidP="00D84079">
      <w:pPr>
        <w:pStyle w:val="FootnoteText"/>
      </w:pPr>
      <w:r w:rsidRPr="00D66D1D">
        <w:rPr>
          <w:rStyle w:val="FootnoteReference"/>
        </w:rPr>
        <w:footnoteRef/>
      </w:r>
      <w:r>
        <w:t xml:space="preserve"> </w:t>
      </w:r>
      <w:r>
        <w:rPr>
          <w:rFonts w:cs="Calibri"/>
          <w:color w:val="000000"/>
          <w:lang w:eastAsia="en-GB"/>
        </w:rPr>
        <w:t xml:space="preserve">see also sections on </w:t>
      </w:r>
      <w:r w:rsidRPr="00C4602B">
        <w:t>Low Mood or Depression</w:t>
      </w:r>
      <w:r>
        <w:rPr>
          <w:rFonts w:cs="Calibri"/>
          <w:color w:val="000000"/>
          <w:lang w:eastAsia="en-GB"/>
        </w:rPr>
        <w:t>;</w:t>
      </w:r>
      <w:r w:rsidRPr="00277990">
        <w:rPr>
          <w:rFonts w:cs="Calibri"/>
          <w:color w:val="000000"/>
          <w:lang w:eastAsia="en-GB"/>
        </w:rPr>
        <w:t xml:space="preserve"> </w:t>
      </w:r>
      <w:r w:rsidRPr="00C4602B">
        <w:t>Irritability/Emotional reactivity</w:t>
      </w:r>
      <w:r>
        <w:rPr>
          <w:rFonts w:cs="Calibri"/>
          <w:color w:val="000000"/>
          <w:lang w:eastAsia="en-GB"/>
        </w:rPr>
        <w:t>;</w:t>
      </w:r>
      <w:r w:rsidRPr="00277990">
        <w:rPr>
          <w:rStyle w:val="Hyperlink"/>
          <w:rFonts w:cs="Calibri"/>
          <w:lang w:eastAsia="en-GB"/>
        </w:rPr>
        <w:t xml:space="preserve"> </w:t>
      </w:r>
      <w:r w:rsidRPr="00C4602B">
        <w:t>Suicidal behaviour/ideation</w:t>
      </w:r>
      <w:r>
        <w:rPr>
          <w:rFonts w:cs="Calibri"/>
          <w:color w:val="000000"/>
          <w:lang w:eastAsia="en-GB"/>
        </w:rPr>
        <w:t>;</w:t>
      </w:r>
      <w:r w:rsidRPr="00277990">
        <w:rPr>
          <w:rFonts w:cs="Calibri"/>
          <w:color w:val="000000"/>
          <w:lang w:eastAsia="en-GB"/>
        </w:rPr>
        <w:t xml:space="preserve"> </w:t>
      </w:r>
      <w:r w:rsidRPr="00C4602B">
        <w:t>Psychosis and psychotic like symptoms</w:t>
      </w:r>
      <w:r>
        <w:rPr>
          <w:rFonts w:cs="Calibri"/>
          <w:color w:val="000000"/>
          <w:lang w:eastAsia="en-GB"/>
        </w:rPr>
        <w:t xml:space="preserve">; </w:t>
      </w:r>
      <w:r w:rsidRPr="00C4602B">
        <w:t>Seizures or EEG abnormalities</w:t>
      </w:r>
      <w:r>
        <w:rPr>
          <w:rStyle w:val="Hyperlink"/>
          <w:rFonts w:cs="Calibri"/>
          <w:lang w:eastAsia="en-GB"/>
        </w:rPr>
        <w:t>.</w:t>
      </w:r>
    </w:p>
  </w:footnote>
  <w:footnote w:id="52">
    <w:p w14:paraId="666F7414"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Anxiety</w:t>
      </w:r>
      <w:r>
        <w:rPr>
          <w:rFonts w:cs="Calibri"/>
          <w:color w:val="000000"/>
          <w:lang w:eastAsia="en-GB"/>
        </w:rPr>
        <w:t xml:space="preserve">; </w:t>
      </w:r>
      <w:r w:rsidRPr="00C4602B">
        <w:t>Irritability/Emotional reactivity</w:t>
      </w:r>
      <w:r>
        <w:rPr>
          <w:rFonts w:cs="Calibri"/>
          <w:color w:val="000000"/>
          <w:lang w:eastAsia="en-GB"/>
        </w:rPr>
        <w:t>;</w:t>
      </w:r>
      <w:r w:rsidRPr="00277990">
        <w:t xml:space="preserve"> </w:t>
      </w:r>
      <w:r w:rsidRPr="00C4602B">
        <w:t>Tics and other dyskinesias</w:t>
      </w:r>
      <w:r>
        <w:rPr>
          <w:rFonts w:cs="Calibri"/>
          <w:color w:val="000000"/>
          <w:lang w:eastAsia="en-GB"/>
        </w:rPr>
        <w:t xml:space="preserve">; </w:t>
      </w:r>
      <w:r w:rsidRPr="00C4602B">
        <w:t>Other notable neuropsychiatric outcomes</w:t>
      </w:r>
      <w:r>
        <w:rPr>
          <w:rStyle w:val="Hyperlink"/>
        </w:rPr>
        <w:t>.</w:t>
      </w:r>
    </w:p>
  </w:footnote>
  <w:footnote w:id="53">
    <w:p w14:paraId="5CC50ABD" w14:textId="77777777" w:rsidR="00D84079" w:rsidRDefault="00D84079" w:rsidP="00D84079">
      <w:pPr>
        <w:pStyle w:val="FootnoteText"/>
      </w:pPr>
      <w:r w:rsidRPr="00D66D1D">
        <w:rPr>
          <w:rStyle w:val="FootnoteReference"/>
        </w:rPr>
        <w:footnoteRef/>
      </w:r>
      <w:r>
        <w:t xml:space="preserve"> See also section on </w:t>
      </w:r>
      <w:r w:rsidRPr="00C4602B">
        <w:t>Other notable neuropsychiatric outcomes</w:t>
      </w:r>
      <w:r>
        <w:rPr>
          <w:rStyle w:val="Hyperlink"/>
        </w:rPr>
        <w:t>.</w:t>
      </w:r>
    </w:p>
  </w:footnote>
  <w:footnote w:id="54">
    <w:p w14:paraId="0E39EEF2" w14:textId="77777777" w:rsidR="00D84079" w:rsidRDefault="00D84079" w:rsidP="00D84079">
      <w:pPr>
        <w:pStyle w:val="FootnoteText"/>
      </w:pPr>
      <w:r w:rsidRPr="00D66D1D">
        <w:rPr>
          <w:rStyle w:val="FootnoteReference"/>
        </w:rPr>
        <w:footnoteRef/>
      </w:r>
      <w:r>
        <w:t xml:space="preserve"> See also sections on </w:t>
      </w:r>
      <w:r w:rsidRPr="00C4602B">
        <w:t>Irritability/Emotional reactivity</w:t>
      </w:r>
      <w:r>
        <w:t xml:space="preserve">; </w:t>
      </w:r>
      <w:r w:rsidRPr="00C4602B">
        <w:t>Tics and other dyskinesias</w:t>
      </w:r>
      <w:r>
        <w:t>.</w:t>
      </w:r>
    </w:p>
  </w:footnote>
  <w:footnote w:id="55">
    <w:p w14:paraId="5F907E2C" w14:textId="77777777" w:rsidR="00D84079" w:rsidRDefault="00D84079" w:rsidP="00D84079">
      <w:pPr>
        <w:pStyle w:val="FootnoteText"/>
      </w:pPr>
      <w:r w:rsidRPr="00D66D1D">
        <w:rPr>
          <w:rStyle w:val="FootnoteReference"/>
        </w:rPr>
        <w:footnoteRef/>
      </w:r>
      <w:r>
        <w:t xml:space="preserve"> See also sections on </w:t>
      </w:r>
      <w:r w:rsidRPr="00C4602B">
        <w:t>Irritability/Emotional reactivity</w:t>
      </w:r>
      <w:r>
        <w:t xml:space="preserve">; </w:t>
      </w:r>
      <w:r w:rsidRPr="00C4602B">
        <w:t>Tics and other dyskinesias</w:t>
      </w:r>
      <w:r>
        <w:t>.</w:t>
      </w:r>
    </w:p>
  </w:footnote>
  <w:footnote w:id="56">
    <w:p w14:paraId="45454A08"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Anxiety</w:t>
      </w:r>
      <w:r>
        <w:rPr>
          <w:rFonts w:cs="Calibri"/>
          <w:color w:val="000000"/>
          <w:lang w:eastAsia="en-GB"/>
        </w:rPr>
        <w:t>;</w:t>
      </w:r>
      <w:r w:rsidRPr="00277990">
        <w:rPr>
          <w:rStyle w:val="Hyperlink"/>
        </w:rPr>
        <w:t xml:space="preserve"> </w:t>
      </w:r>
      <w:r w:rsidRPr="00C4602B">
        <w:t>Bipolar disorder</w:t>
      </w:r>
      <w:r>
        <w:rPr>
          <w:rFonts w:cs="Calibri"/>
          <w:color w:val="000000"/>
          <w:lang w:eastAsia="en-GB"/>
        </w:rPr>
        <w:t xml:space="preserve">; </w:t>
      </w:r>
      <w:r w:rsidRPr="00C4602B">
        <w:t xml:space="preserve">Substance </w:t>
      </w:r>
      <w:r>
        <w:t>U</w:t>
      </w:r>
      <w:r w:rsidRPr="00C4602B">
        <w:t xml:space="preserve">se </w:t>
      </w:r>
      <w:r>
        <w:t>D</w:t>
      </w:r>
      <w:r w:rsidRPr="00C4602B">
        <w:t>isorder</w:t>
      </w:r>
      <w:r>
        <w:t>s</w:t>
      </w:r>
      <w:r>
        <w:rPr>
          <w:rFonts w:cs="Calibri"/>
          <w:color w:val="000000"/>
          <w:lang w:eastAsia="en-GB"/>
        </w:rPr>
        <w:t>.</w:t>
      </w:r>
    </w:p>
  </w:footnote>
  <w:footnote w:id="57">
    <w:p w14:paraId="0E35EBE7" w14:textId="77777777" w:rsidR="00D84079" w:rsidRDefault="00D84079" w:rsidP="00D84079">
      <w:pPr>
        <w:pStyle w:val="FootnoteText"/>
      </w:pPr>
      <w:r w:rsidRPr="00D66D1D">
        <w:rPr>
          <w:rStyle w:val="FootnoteReference"/>
        </w:rPr>
        <w:footnoteRef/>
      </w:r>
      <w:r>
        <w:t xml:space="preserve"> See also sections on </w:t>
      </w:r>
      <w:r w:rsidRPr="00C4602B">
        <w:t>Low Mood or Depression</w:t>
      </w:r>
      <w:r>
        <w:rPr>
          <w:rFonts w:cs="Calibri"/>
          <w:color w:val="000000"/>
          <w:lang w:eastAsia="en-GB"/>
        </w:rPr>
        <w:t>;</w:t>
      </w:r>
      <w:r w:rsidRPr="00277990">
        <w:rPr>
          <w:rStyle w:val="Hyperlink"/>
          <w:rFonts w:cs="Calibri"/>
          <w:lang w:eastAsia="en-GB"/>
        </w:rPr>
        <w:t xml:space="preserve"> </w:t>
      </w:r>
      <w:r w:rsidRPr="00C4602B">
        <w:t>Suicidal behaviour/ideation</w:t>
      </w:r>
      <w:r>
        <w:t xml:space="preserve">; </w:t>
      </w:r>
      <w:r w:rsidRPr="00C4602B">
        <w:t xml:space="preserve">Substance </w:t>
      </w:r>
      <w:r>
        <w:t>U</w:t>
      </w:r>
      <w:r w:rsidRPr="00C4602B">
        <w:t xml:space="preserve">se </w:t>
      </w:r>
      <w:r>
        <w:t>D</w:t>
      </w:r>
      <w:r w:rsidRPr="00C4602B">
        <w:t>isorder</w:t>
      </w:r>
      <w:r>
        <w:t>s</w:t>
      </w:r>
      <w:r>
        <w:rPr>
          <w:rFonts w:cs="Calibri"/>
          <w:color w:val="000000"/>
          <w:lang w:eastAsia="en-GB"/>
        </w:rPr>
        <w:t>.</w:t>
      </w:r>
    </w:p>
  </w:footnote>
  <w:footnote w:id="58">
    <w:p w14:paraId="45A7ABF9" w14:textId="77777777" w:rsidR="00D84079" w:rsidRDefault="00D84079" w:rsidP="00D84079">
      <w:pPr>
        <w:pStyle w:val="FootnoteText"/>
      </w:pPr>
      <w:r w:rsidRPr="00D66D1D">
        <w:rPr>
          <w:rStyle w:val="FootnoteReference"/>
        </w:rPr>
        <w:footnoteRef/>
      </w:r>
      <w:r>
        <w:t xml:space="preserve"> See also sections </w:t>
      </w:r>
      <w:r>
        <w:rPr>
          <w:rFonts w:cs="Calibri"/>
          <w:color w:val="000000"/>
          <w:lang w:eastAsia="en-GB"/>
        </w:rPr>
        <w:t xml:space="preserve">on </w:t>
      </w:r>
      <w:r w:rsidRPr="00C4602B">
        <w:t>Low Mood or Depression</w:t>
      </w:r>
      <w:r>
        <w:rPr>
          <w:rFonts w:cs="Calibri"/>
          <w:color w:val="000000"/>
          <w:lang w:eastAsia="en-GB"/>
        </w:rPr>
        <w:t xml:space="preserve">; </w:t>
      </w:r>
      <w:r w:rsidRPr="00C4602B">
        <w:t>Anxiety</w:t>
      </w:r>
      <w:r>
        <w:rPr>
          <w:rFonts w:cs="Calibri"/>
          <w:color w:val="000000"/>
          <w:lang w:eastAsia="en-GB"/>
        </w:rPr>
        <w:t xml:space="preserve">; </w:t>
      </w:r>
      <w:r w:rsidRPr="00C4602B">
        <w:t>Irritability/Emotional reactivity</w:t>
      </w:r>
      <w:r>
        <w:rPr>
          <w:rFonts w:cs="Calibri"/>
          <w:color w:val="000000"/>
          <w:lang w:eastAsia="en-GB"/>
        </w:rPr>
        <w:t>;</w:t>
      </w:r>
      <w:r w:rsidRPr="00277990">
        <w:t xml:space="preserve"> </w:t>
      </w:r>
      <w:r w:rsidRPr="00C4602B">
        <w:t>Tics and other dyskinesias</w:t>
      </w:r>
      <w:r>
        <w:rPr>
          <w:rFonts w:cs="Calibri"/>
          <w:color w:val="000000"/>
          <w:lang w:eastAsia="en-GB"/>
        </w:rPr>
        <w:t xml:space="preserve">; </w:t>
      </w:r>
      <w:r w:rsidRPr="00C4602B">
        <w:t>Sleep disorders</w:t>
      </w:r>
      <w:r>
        <w:rPr>
          <w:rStyle w:val="Hyperlink"/>
          <w:rFonts w:cs="Calibri"/>
          <w:lang w:eastAsia="en-GB"/>
        </w:rPr>
        <w:t>.</w:t>
      </w:r>
    </w:p>
  </w:footnote>
  <w:footnote w:id="59">
    <w:p w14:paraId="4C7D4BFE" w14:textId="77777777" w:rsidR="00D84079" w:rsidRDefault="00D84079" w:rsidP="00D84079">
      <w:pPr>
        <w:pStyle w:val="FootnoteText"/>
      </w:pPr>
      <w:r w:rsidRPr="00D66D1D">
        <w:rPr>
          <w:rStyle w:val="FootnoteReference"/>
        </w:rPr>
        <w:footnoteRef/>
      </w:r>
      <w:r>
        <w:t xml:space="preserve"> See also section on </w:t>
      </w:r>
      <w:r w:rsidRPr="00C4602B">
        <w:t>Sleep disorders</w:t>
      </w:r>
      <w:r>
        <w:rPr>
          <w:rStyle w:val="Hyperlink"/>
          <w:rFonts w:cs="Calibri"/>
          <w:lang w:eastAsia="en-GB"/>
        </w:rPr>
        <w:t>.</w:t>
      </w:r>
    </w:p>
  </w:footnote>
  <w:footnote w:id="60">
    <w:p w14:paraId="7DD9359F" w14:textId="77777777" w:rsidR="00D84079" w:rsidRDefault="00D84079" w:rsidP="00D84079">
      <w:pPr>
        <w:pStyle w:val="FootnoteText"/>
      </w:pPr>
      <w:r w:rsidRPr="00D66D1D">
        <w:rPr>
          <w:rStyle w:val="FootnoteReference"/>
        </w:rPr>
        <w:footnoteRef/>
      </w:r>
      <w:r>
        <w:t xml:space="preserve"> See also sections on </w:t>
      </w:r>
      <w:r w:rsidRPr="00C4602B">
        <w:t>Low Mood or Depression</w:t>
      </w:r>
      <w:r>
        <w:t xml:space="preserve">; </w:t>
      </w:r>
      <w:r w:rsidRPr="00C4602B">
        <w:t>Anxiety</w:t>
      </w:r>
      <w:r>
        <w:t xml:space="preserve">, </w:t>
      </w:r>
      <w:r w:rsidRPr="00C4602B">
        <w:t>Irritability/Emotional reactivity</w:t>
      </w:r>
      <w:r>
        <w:t>.</w:t>
      </w:r>
    </w:p>
  </w:footnote>
  <w:footnote w:id="61">
    <w:p w14:paraId="10EB199D" w14:textId="77777777" w:rsidR="00D84079" w:rsidRDefault="00D84079" w:rsidP="00D84079">
      <w:pPr>
        <w:pStyle w:val="FootnoteText"/>
      </w:pPr>
      <w:r w:rsidRPr="00D66D1D">
        <w:rPr>
          <w:rStyle w:val="FootnoteReference"/>
        </w:rPr>
        <w:footnoteRef/>
      </w:r>
      <w:r>
        <w:t xml:space="preserve"> See also sections on </w:t>
      </w:r>
      <w:r w:rsidRPr="00C4602B">
        <w:t>Irritability/Emotional reactivity</w:t>
      </w:r>
      <w:r>
        <w:t>;</w:t>
      </w:r>
      <w:r w:rsidRPr="00277990">
        <w:t xml:space="preserve"> </w:t>
      </w:r>
      <w:r w:rsidRPr="00C4602B">
        <w:t>Tics and other dyskinesias</w:t>
      </w:r>
      <w:r>
        <w:t xml:space="preserve">; </w:t>
      </w:r>
      <w:r w:rsidRPr="00C4602B">
        <w:t>Sleep disorders</w:t>
      </w:r>
      <w:r>
        <w:rPr>
          <w:rStyle w:val="Hyperlink"/>
        </w:rP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B50FC"/>
    <w:multiLevelType w:val="hybridMultilevel"/>
    <w:tmpl w:val="412EE5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28E1510"/>
    <w:multiLevelType w:val="multilevel"/>
    <w:tmpl w:val="E934FA64"/>
    <w:lvl w:ilvl="0">
      <w:start w:val="2"/>
      <w:numFmt w:val="decimal"/>
      <w:pStyle w:val="Heading1"/>
      <w:lvlText w:val="S%1."/>
      <w:lvlJc w:val="left"/>
      <w:pPr>
        <w:ind w:left="432" w:hanging="432"/>
      </w:pPr>
      <w:rPr>
        <w:rFonts w:hint="default"/>
      </w:rPr>
    </w:lvl>
    <w:lvl w:ilvl="1">
      <w:start w:val="1"/>
      <w:numFmt w:val="decimal"/>
      <w:pStyle w:val="Heading2"/>
      <w:lvlText w:val="S%1.%2"/>
      <w:lvlJc w:val="left"/>
      <w:pPr>
        <w:ind w:left="567" w:hanging="567"/>
      </w:pPr>
      <w:rPr>
        <w:rFonts w:hint="default"/>
        <w:b w:val="0"/>
      </w:rPr>
    </w:lvl>
    <w:lvl w:ilvl="2">
      <w:start w:val="1"/>
      <w:numFmt w:val="decimal"/>
      <w:pStyle w:val="Heading3"/>
      <w:lvlText w:val="S%1.%2.%3"/>
      <w:lvlJc w:val="left"/>
      <w:pPr>
        <w:ind w:left="851" w:hanging="851"/>
      </w:pPr>
      <w:rPr>
        <w:rFonts w:hint="default"/>
      </w:rPr>
    </w:lvl>
    <w:lvl w:ilvl="3">
      <w:start w:val="1"/>
      <w:numFmt w:val="decimal"/>
      <w:pStyle w:val="Heading4"/>
      <w:lvlText w:val="S%1.%2.%3.%4"/>
      <w:lvlJc w:val="left"/>
      <w:pPr>
        <w:ind w:left="1134" w:hanging="113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nsid w:val="1482775B"/>
    <w:multiLevelType w:val="multilevel"/>
    <w:tmpl w:val="A24828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18507C15"/>
    <w:multiLevelType w:val="multilevel"/>
    <w:tmpl w:val="599C1F2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DBD132C"/>
    <w:multiLevelType w:val="hybridMultilevel"/>
    <w:tmpl w:val="596009DE"/>
    <w:lvl w:ilvl="0" w:tplc="08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AC91CA3"/>
    <w:multiLevelType w:val="hybridMultilevel"/>
    <w:tmpl w:val="346A5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C057133"/>
    <w:multiLevelType w:val="hybridMultilevel"/>
    <w:tmpl w:val="7708E63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3B6C694D"/>
    <w:multiLevelType w:val="hybridMultilevel"/>
    <w:tmpl w:val="E3DAC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DA1121B"/>
    <w:multiLevelType w:val="hybridMultilevel"/>
    <w:tmpl w:val="8876AD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DE7783A"/>
    <w:multiLevelType w:val="hybridMultilevel"/>
    <w:tmpl w:val="5754AE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52853A1"/>
    <w:multiLevelType w:val="hybridMultilevel"/>
    <w:tmpl w:val="F6EA32CE"/>
    <w:lvl w:ilvl="0" w:tplc="08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3D671F"/>
    <w:multiLevelType w:val="hybridMultilevel"/>
    <w:tmpl w:val="B1942CE6"/>
    <w:lvl w:ilvl="0" w:tplc="08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51352BE"/>
    <w:multiLevelType w:val="hybridMultilevel"/>
    <w:tmpl w:val="CB040B18"/>
    <w:lvl w:ilvl="0" w:tplc="08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7D03F77"/>
    <w:multiLevelType w:val="hybridMultilevel"/>
    <w:tmpl w:val="035E9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9"/>
  </w:num>
  <w:num w:numId="4">
    <w:abstractNumId w:val="6"/>
  </w:num>
  <w:num w:numId="5">
    <w:abstractNumId w:val="5"/>
  </w:num>
  <w:num w:numId="6">
    <w:abstractNumId w:val="13"/>
  </w:num>
  <w:num w:numId="7">
    <w:abstractNumId w:val="4"/>
  </w:num>
  <w:num w:numId="8">
    <w:abstractNumId w:val="12"/>
  </w:num>
  <w:num w:numId="9">
    <w:abstractNumId w:val="11"/>
  </w:num>
  <w:num w:numId="10">
    <w:abstractNumId w:val="10"/>
  </w:num>
  <w:num w:numId="11">
    <w:abstractNumId w:val="3"/>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079"/>
    <w:rsid w:val="00011485"/>
    <w:rsid w:val="000623FF"/>
    <w:rsid w:val="00081FEF"/>
    <w:rsid w:val="0009136B"/>
    <w:rsid w:val="001036CE"/>
    <w:rsid w:val="001073F7"/>
    <w:rsid w:val="001766F9"/>
    <w:rsid w:val="001E6F54"/>
    <w:rsid w:val="001F0522"/>
    <w:rsid w:val="002671EC"/>
    <w:rsid w:val="00292147"/>
    <w:rsid w:val="002D3B0A"/>
    <w:rsid w:val="002F3790"/>
    <w:rsid w:val="003C16DC"/>
    <w:rsid w:val="004C0FB5"/>
    <w:rsid w:val="004C3708"/>
    <w:rsid w:val="005B0831"/>
    <w:rsid w:val="005B0A65"/>
    <w:rsid w:val="005D0635"/>
    <w:rsid w:val="00607AE5"/>
    <w:rsid w:val="006A784C"/>
    <w:rsid w:val="006C1F38"/>
    <w:rsid w:val="006D2BCD"/>
    <w:rsid w:val="00704729"/>
    <w:rsid w:val="007B3AD9"/>
    <w:rsid w:val="00834733"/>
    <w:rsid w:val="00835A6D"/>
    <w:rsid w:val="00856726"/>
    <w:rsid w:val="00962929"/>
    <w:rsid w:val="0099568D"/>
    <w:rsid w:val="009A7DF3"/>
    <w:rsid w:val="009C5D62"/>
    <w:rsid w:val="00A71BF5"/>
    <w:rsid w:val="00AE3C7E"/>
    <w:rsid w:val="00C13C00"/>
    <w:rsid w:val="00D662A7"/>
    <w:rsid w:val="00D84079"/>
    <w:rsid w:val="00DB7171"/>
    <w:rsid w:val="00DD11DE"/>
    <w:rsid w:val="00E70D91"/>
    <w:rsid w:val="00ED71C3"/>
    <w:rsid w:val="00F0215E"/>
    <w:rsid w:val="00F33327"/>
    <w:rsid w:val="00F34F3F"/>
    <w:rsid w:val="00F768C3"/>
    <w:rsid w:val="00F81325"/>
    <w:rsid w:val="00F93F16"/>
    <w:rsid w:val="00FC2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72E2"/>
  <w15:chartTrackingRefBased/>
  <w15:docId w15:val="{44BD7893-9337-47E9-870F-A120A0F5D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079"/>
    <w:pPr>
      <w:spacing w:after="160" w:line="480" w:lineRule="auto"/>
    </w:pPr>
    <w:rPr>
      <w:rFonts w:eastAsia="Times New Roman"/>
      <w:sz w:val="24"/>
      <w:szCs w:val="24"/>
      <w:lang w:eastAsia="en-US"/>
    </w:rPr>
  </w:style>
  <w:style w:type="paragraph" w:styleId="Heading1">
    <w:name w:val="heading 1"/>
    <w:basedOn w:val="Normal"/>
    <w:next w:val="Normal"/>
    <w:link w:val="Heading1Char"/>
    <w:uiPriority w:val="9"/>
    <w:qFormat/>
    <w:rsid w:val="00D84079"/>
    <w:pPr>
      <w:keepNext/>
      <w:keepLines/>
      <w:numPr>
        <w:numId w:val="12"/>
      </w:numPr>
      <w:spacing w:before="360" w:after="240" w:line="240" w:lineRule="auto"/>
      <w:outlineLvl w:val="0"/>
    </w:pPr>
    <w:rPr>
      <w:rFonts w:ascii="Calibri Light" w:hAnsi="Calibri Light"/>
      <w:caps/>
      <w:sz w:val="36"/>
      <w:szCs w:val="36"/>
      <w:lang w:eastAsia="en-GB"/>
    </w:rPr>
  </w:style>
  <w:style w:type="paragraph" w:styleId="Heading2">
    <w:name w:val="heading 2"/>
    <w:basedOn w:val="Normal"/>
    <w:next w:val="Normal"/>
    <w:link w:val="Heading2Char"/>
    <w:uiPriority w:val="9"/>
    <w:unhideWhenUsed/>
    <w:qFormat/>
    <w:rsid w:val="006D2BCD"/>
    <w:pPr>
      <w:keepNext/>
      <w:keepLines/>
      <w:numPr>
        <w:ilvl w:val="1"/>
        <w:numId w:val="12"/>
      </w:numPr>
      <w:spacing w:after="240" w:line="240" w:lineRule="auto"/>
      <w:outlineLvl w:val="1"/>
    </w:pPr>
    <w:rPr>
      <w:rFonts w:ascii="Calibri Light" w:hAnsi="Calibri Light"/>
      <w:caps/>
      <w:sz w:val="28"/>
      <w:szCs w:val="28"/>
    </w:rPr>
  </w:style>
  <w:style w:type="paragraph" w:styleId="Heading3">
    <w:name w:val="heading 3"/>
    <w:basedOn w:val="Normal"/>
    <w:next w:val="Normal"/>
    <w:link w:val="Heading3Char"/>
    <w:uiPriority w:val="9"/>
    <w:unhideWhenUsed/>
    <w:qFormat/>
    <w:rsid w:val="00D84079"/>
    <w:pPr>
      <w:keepNext/>
      <w:keepLines/>
      <w:numPr>
        <w:ilvl w:val="2"/>
        <w:numId w:val="12"/>
      </w:numPr>
      <w:spacing w:before="100" w:beforeAutospacing="1" w:after="240" w:line="240" w:lineRule="auto"/>
      <w:outlineLvl w:val="2"/>
    </w:pPr>
    <w:rPr>
      <w:rFonts w:ascii="Calibri Light" w:hAnsi="Calibri Light"/>
      <w:smallCaps/>
      <w:sz w:val="28"/>
      <w:szCs w:val="28"/>
      <w:lang w:eastAsia="en-GB"/>
    </w:rPr>
  </w:style>
  <w:style w:type="paragraph" w:styleId="Heading4">
    <w:name w:val="heading 4"/>
    <w:basedOn w:val="Normal"/>
    <w:next w:val="Normal"/>
    <w:link w:val="Heading4Char"/>
    <w:uiPriority w:val="9"/>
    <w:unhideWhenUsed/>
    <w:qFormat/>
    <w:rsid w:val="00D84079"/>
    <w:pPr>
      <w:keepNext/>
      <w:keepLines/>
      <w:numPr>
        <w:ilvl w:val="3"/>
        <w:numId w:val="12"/>
      </w:numPr>
      <w:spacing w:before="360" w:after="0"/>
      <w:outlineLvl w:val="3"/>
    </w:pPr>
    <w:rPr>
      <w:rFonts w:ascii="Calibri Light" w:hAnsi="Calibri Light"/>
      <w:i/>
      <w:smallCaps/>
      <w:sz w:val="28"/>
    </w:rPr>
  </w:style>
  <w:style w:type="paragraph" w:styleId="Heading5">
    <w:name w:val="heading 5"/>
    <w:basedOn w:val="Normal"/>
    <w:next w:val="Normal"/>
    <w:link w:val="Heading5Char"/>
    <w:uiPriority w:val="9"/>
    <w:unhideWhenUsed/>
    <w:qFormat/>
    <w:rsid w:val="00D84079"/>
    <w:pPr>
      <w:keepNext/>
      <w:keepLines/>
      <w:numPr>
        <w:ilvl w:val="4"/>
        <w:numId w:val="12"/>
      </w:numPr>
      <w:spacing w:before="120" w:after="0"/>
      <w:outlineLvl w:val="4"/>
    </w:pPr>
    <w:rPr>
      <w:rFonts w:ascii="Calibri Light" w:hAnsi="Calibri Light"/>
      <w:i/>
      <w:iCs/>
      <w:lang w:eastAsia="en-GB"/>
    </w:rPr>
  </w:style>
  <w:style w:type="paragraph" w:styleId="Heading6">
    <w:name w:val="heading 6"/>
    <w:basedOn w:val="Normal"/>
    <w:next w:val="Normal"/>
    <w:link w:val="Heading6Char"/>
    <w:uiPriority w:val="9"/>
    <w:unhideWhenUsed/>
    <w:qFormat/>
    <w:rsid w:val="00D84079"/>
    <w:pPr>
      <w:keepNext/>
      <w:keepLines/>
      <w:numPr>
        <w:ilvl w:val="5"/>
        <w:numId w:val="12"/>
      </w:numPr>
      <w:spacing w:before="120" w:after="0"/>
      <w:outlineLvl w:val="5"/>
    </w:pPr>
    <w:rPr>
      <w:rFonts w:ascii="Calibri Light" w:hAnsi="Calibri Light"/>
      <w:bCs/>
      <w:caps/>
      <w:color w:val="262626"/>
      <w:sz w:val="20"/>
      <w:szCs w:val="20"/>
    </w:rPr>
  </w:style>
  <w:style w:type="paragraph" w:styleId="Heading7">
    <w:name w:val="heading 7"/>
    <w:basedOn w:val="Normal"/>
    <w:next w:val="Normal"/>
    <w:link w:val="Heading7Char"/>
    <w:uiPriority w:val="9"/>
    <w:unhideWhenUsed/>
    <w:qFormat/>
    <w:rsid w:val="00D84079"/>
    <w:pPr>
      <w:keepNext/>
      <w:keepLines/>
      <w:numPr>
        <w:ilvl w:val="6"/>
        <w:numId w:val="12"/>
      </w:numPr>
      <w:spacing w:before="120" w:after="0"/>
      <w:outlineLvl w:val="6"/>
    </w:pPr>
    <w:rPr>
      <w:rFonts w:ascii="Calibri Light" w:hAnsi="Calibri Light"/>
      <w:b/>
      <w:bCs/>
      <w:i/>
      <w:iCs/>
      <w:caps/>
      <w:color w:val="262626"/>
      <w:sz w:val="20"/>
      <w:szCs w:val="20"/>
    </w:rPr>
  </w:style>
  <w:style w:type="paragraph" w:styleId="Heading8">
    <w:name w:val="heading 8"/>
    <w:basedOn w:val="Normal"/>
    <w:next w:val="Normal"/>
    <w:link w:val="Heading8Char"/>
    <w:uiPriority w:val="9"/>
    <w:unhideWhenUsed/>
    <w:qFormat/>
    <w:rsid w:val="00D84079"/>
    <w:pPr>
      <w:keepNext/>
      <w:keepLines/>
      <w:numPr>
        <w:ilvl w:val="7"/>
        <w:numId w:val="12"/>
      </w:numPr>
      <w:spacing w:before="120" w:after="0"/>
      <w:outlineLvl w:val="7"/>
    </w:pPr>
    <w:rPr>
      <w:rFonts w:ascii="Calibri Light" w:hAnsi="Calibri Light"/>
      <w:b/>
      <w:bCs/>
      <w:caps/>
      <w:color w:val="7F7F7F"/>
      <w:sz w:val="20"/>
      <w:szCs w:val="20"/>
    </w:rPr>
  </w:style>
  <w:style w:type="paragraph" w:styleId="Heading9">
    <w:name w:val="heading 9"/>
    <w:basedOn w:val="Normal"/>
    <w:next w:val="Normal"/>
    <w:link w:val="Heading9Char"/>
    <w:uiPriority w:val="9"/>
    <w:semiHidden/>
    <w:unhideWhenUsed/>
    <w:qFormat/>
    <w:rsid w:val="00D84079"/>
    <w:pPr>
      <w:keepNext/>
      <w:keepLines/>
      <w:numPr>
        <w:ilvl w:val="8"/>
        <w:numId w:val="12"/>
      </w:numPr>
      <w:spacing w:before="120" w:after="0"/>
      <w:outlineLvl w:val="8"/>
    </w:pPr>
    <w:rPr>
      <w:rFonts w:ascii="Calibri Light"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84079"/>
    <w:rPr>
      <w:rFonts w:ascii="Calibri Light" w:eastAsia="Times New Roman" w:hAnsi="Calibri Light" w:cs="Times New Roman"/>
      <w:caps/>
      <w:sz w:val="36"/>
      <w:szCs w:val="36"/>
      <w:lang w:eastAsia="en-GB"/>
    </w:rPr>
  </w:style>
  <w:style w:type="character" w:customStyle="1" w:styleId="Heading2Char">
    <w:name w:val="Heading 2 Char"/>
    <w:link w:val="Heading2"/>
    <w:uiPriority w:val="9"/>
    <w:rsid w:val="006D2BCD"/>
    <w:rPr>
      <w:rFonts w:ascii="Calibri Light" w:eastAsia="Times New Roman" w:hAnsi="Calibri Light" w:cs="Times New Roman"/>
      <w:caps/>
      <w:sz w:val="28"/>
      <w:szCs w:val="28"/>
    </w:rPr>
  </w:style>
  <w:style w:type="character" w:customStyle="1" w:styleId="Heading3Char">
    <w:name w:val="Heading 3 Char"/>
    <w:link w:val="Heading3"/>
    <w:uiPriority w:val="9"/>
    <w:rsid w:val="00D84079"/>
    <w:rPr>
      <w:rFonts w:ascii="Calibri Light" w:eastAsia="Times New Roman" w:hAnsi="Calibri Light" w:cs="Times New Roman"/>
      <w:smallCaps/>
      <w:sz w:val="28"/>
      <w:szCs w:val="28"/>
      <w:lang w:eastAsia="en-GB"/>
    </w:rPr>
  </w:style>
  <w:style w:type="character" w:customStyle="1" w:styleId="Heading4Char">
    <w:name w:val="Heading 4 Char"/>
    <w:link w:val="Heading4"/>
    <w:uiPriority w:val="9"/>
    <w:rsid w:val="00D84079"/>
    <w:rPr>
      <w:rFonts w:ascii="Calibri Light" w:eastAsia="Times New Roman" w:hAnsi="Calibri Light" w:cs="Times New Roman"/>
      <w:i/>
      <w:smallCaps/>
      <w:sz w:val="28"/>
      <w:szCs w:val="24"/>
    </w:rPr>
  </w:style>
  <w:style w:type="character" w:customStyle="1" w:styleId="Heading5Char">
    <w:name w:val="Heading 5 Char"/>
    <w:link w:val="Heading5"/>
    <w:uiPriority w:val="9"/>
    <w:rsid w:val="00D84079"/>
    <w:rPr>
      <w:rFonts w:ascii="Calibri Light" w:eastAsia="Times New Roman" w:hAnsi="Calibri Light" w:cs="Times New Roman"/>
      <w:i/>
      <w:iCs/>
      <w:sz w:val="24"/>
      <w:szCs w:val="24"/>
      <w:lang w:eastAsia="en-GB"/>
    </w:rPr>
  </w:style>
  <w:style w:type="character" w:customStyle="1" w:styleId="Heading6Char">
    <w:name w:val="Heading 6 Char"/>
    <w:link w:val="Heading6"/>
    <w:uiPriority w:val="9"/>
    <w:rsid w:val="00D84079"/>
    <w:rPr>
      <w:rFonts w:ascii="Calibri Light" w:eastAsia="Times New Roman" w:hAnsi="Calibri Light" w:cs="Times New Roman"/>
      <w:bCs/>
      <w:caps/>
      <w:color w:val="262626"/>
      <w:sz w:val="20"/>
      <w:szCs w:val="20"/>
    </w:rPr>
  </w:style>
  <w:style w:type="character" w:customStyle="1" w:styleId="Heading7Char">
    <w:name w:val="Heading 7 Char"/>
    <w:link w:val="Heading7"/>
    <w:uiPriority w:val="9"/>
    <w:rsid w:val="00D84079"/>
    <w:rPr>
      <w:rFonts w:ascii="Calibri Light" w:eastAsia="Times New Roman" w:hAnsi="Calibri Light" w:cs="Times New Roman"/>
      <w:b/>
      <w:bCs/>
      <w:i/>
      <w:iCs/>
      <w:caps/>
      <w:color w:val="262626"/>
      <w:sz w:val="20"/>
      <w:szCs w:val="20"/>
    </w:rPr>
  </w:style>
  <w:style w:type="character" w:customStyle="1" w:styleId="Heading8Char">
    <w:name w:val="Heading 8 Char"/>
    <w:link w:val="Heading8"/>
    <w:uiPriority w:val="9"/>
    <w:rsid w:val="00D84079"/>
    <w:rPr>
      <w:rFonts w:ascii="Calibri Light" w:eastAsia="Times New Roman" w:hAnsi="Calibri Light" w:cs="Times New Roman"/>
      <w:b/>
      <w:bCs/>
      <w:caps/>
      <w:color w:val="7F7F7F"/>
      <w:sz w:val="20"/>
      <w:szCs w:val="20"/>
    </w:rPr>
  </w:style>
  <w:style w:type="character" w:customStyle="1" w:styleId="Heading9Char">
    <w:name w:val="Heading 9 Char"/>
    <w:link w:val="Heading9"/>
    <w:uiPriority w:val="9"/>
    <w:semiHidden/>
    <w:rsid w:val="00D84079"/>
    <w:rPr>
      <w:rFonts w:ascii="Calibri Light" w:eastAsia="Times New Roman" w:hAnsi="Calibri Light" w:cs="Times New Roman"/>
      <w:b/>
      <w:bCs/>
      <w:i/>
      <w:iCs/>
      <w:caps/>
      <w:color w:val="7F7F7F"/>
      <w:sz w:val="20"/>
      <w:szCs w:val="20"/>
    </w:rPr>
  </w:style>
  <w:style w:type="paragraph" w:styleId="Caption">
    <w:name w:val="caption"/>
    <w:basedOn w:val="Normal"/>
    <w:next w:val="Normal"/>
    <w:uiPriority w:val="35"/>
    <w:unhideWhenUsed/>
    <w:qFormat/>
    <w:rsid w:val="00D84079"/>
    <w:pPr>
      <w:spacing w:before="240" w:line="240" w:lineRule="auto"/>
    </w:pPr>
    <w:rPr>
      <w:bCs/>
      <w:i/>
      <w:color w:val="595959"/>
    </w:rPr>
  </w:style>
  <w:style w:type="character" w:customStyle="1" w:styleId="CommentTextChar">
    <w:name w:val="Comment Text Char"/>
    <w:link w:val="CommentText"/>
    <w:uiPriority w:val="99"/>
    <w:rsid w:val="00D84079"/>
    <w:rPr>
      <w:rFonts w:eastAsia="Times New Roman"/>
      <w:sz w:val="20"/>
      <w:szCs w:val="20"/>
    </w:rPr>
  </w:style>
  <w:style w:type="paragraph" w:styleId="CommentText">
    <w:name w:val="annotation text"/>
    <w:basedOn w:val="Normal"/>
    <w:link w:val="CommentTextChar"/>
    <w:uiPriority w:val="99"/>
    <w:unhideWhenUsed/>
    <w:rsid w:val="00D84079"/>
    <w:pPr>
      <w:spacing w:line="240" w:lineRule="auto"/>
    </w:pPr>
    <w:rPr>
      <w:sz w:val="20"/>
      <w:szCs w:val="20"/>
    </w:rPr>
  </w:style>
  <w:style w:type="character" w:customStyle="1" w:styleId="CommentSubjectChar">
    <w:name w:val="Comment Subject Char"/>
    <w:link w:val="CommentSubject"/>
    <w:uiPriority w:val="99"/>
    <w:semiHidden/>
    <w:rsid w:val="00D84079"/>
    <w:rPr>
      <w:rFonts w:eastAsia="Times New Roman"/>
      <w:b/>
      <w:bCs/>
      <w:sz w:val="20"/>
      <w:szCs w:val="20"/>
    </w:rPr>
  </w:style>
  <w:style w:type="paragraph" w:styleId="CommentSubject">
    <w:name w:val="annotation subject"/>
    <w:basedOn w:val="CommentText"/>
    <w:next w:val="CommentText"/>
    <w:link w:val="CommentSubjectChar"/>
    <w:uiPriority w:val="99"/>
    <w:semiHidden/>
    <w:unhideWhenUsed/>
    <w:rsid w:val="00D84079"/>
    <w:rPr>
      <w:b/>
      <w:bCs/>
    </w:rPr>
  </w:style>
  <w:style w:type="character" w:customStyle="1" w:styleId="BalloonTextChar">
    <w:name w:val="Balloon Text Char"/>
    <w:link w:val="BalloonText"/>
    <w:uiPriority w:val="99"/>
    <w:semiHidden/>
    <w:rsid w:val="00D84079"/>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D84079"/>
    <w:pPr>
      <w:spacing w:after="0" w:line="240" w:lineRule="auto"/>
    </w:pPr>
    <w:rPr>
      <w:rFonts w:ascii="Segoe UI" w:hAnsi="Segoe UI" w:cs="Segoe UI"/>
      <w:sz w:val="18"/>
      <w:szCs w:val="18"/>
    </w:rPr>
  </w:style>
  <w:style w:type="character" w:customStyle="1" w:styleId="HeaderChar">
    <w:name w:val="Header Char"/>
    <w:link w:val="Header"/>
    <w:uiPriority w:val="99"/>
    <w:rsid w:val="00D84079"/>
    <w:rPr>
      <w:rFonts w:eastAsia="Times New Roman"/>
      <w:sz w:val="24"/>
      <w:szCs w:val="24"/>
    </w:rPr>
  </w:style>
  <w:style w:type="paragraph" w:styleId="Header">
    <w:name w:val="header"/>
    <w:basedOn w:val="Normal"/>
    <w:link w:val="HeaderChar"/>
    <w:uiPriority w:val="99"/>
    <w:unhideWhenUsed/>
    <w:rsid w:val="00D84079"/>
    <w:pPr>
      <w:tabs>
        <w:tab w:val="center" w:pos="4513"/>
        <w:tab w:val="right" w:pos="9026"/>
      </w:tabs>
      <w:spacing w:after="0" w:line="240" w:lineRule="auto"/>
    </w:pPr>
  </w:style>
  <w:style w:type="character" w:customStyle="1" w:styleId="FooterChar">
    <w:name w:val="Footer Char"/>
    <w:link w:val="Footer"/>
    <w:uiPriority w:val="99"/>
    <w:rsid w:val="00D84079"/>
    <w:rPr>
      <w:rFonts w:eastAsia="Times New Roman"/>
      <w:sz w:val="24"/>
      <w:szCs w:val="24"/>
    </w:rPr>
  </w:style>
  <w:style w:type="paragraph" w:styleId="Footer">
    <w:name w:val="footer"/>
    <w:basedOn w:val="Normal"/>
    <w:link w:val="FooterChar"/>
    <w:uiPriority w:val="99"/>
    <w:unhideWhenUsed/>
    <w:rsid w:val="00D84079"/>
    <w:pPr>
      <w:tabs>
        <w:tab w:val="center" w:pos="4513"/>
        <w:tab w:val="right" w:pos="9026"/>
      </w:tabs>
      <w:spacing w:after="0" w:line="240" w:lineRule="auto"/>
    </w:pPr>
  </w:style>
  <w:style w:type="paragraph" w:styleId="Title">
    <w:name w:val="Title"/>
    <w:basedOn w:val="Normal"/>
    <w:next w:val="Normal"/>
    <w:link w:val="TitleChar"/>
    <w:uiPriority w:val="10"/>
    <w:qFormat/>
    <w:rsid w:val="00D84079"/>
    <w:pPr>
      <w:spacing w:after="0" w:line="240" w:lineRule="auto"/>
      <w:contextualSpacing/>
    </w:pPr>
    <w:rPr>
      <w:rFonts w:ascii="Calibri Light" w:hAnsi="Calibri Light"/>
      <w:caps/>
      <w:color w:val="404040"/>
      <w:spacing w:val="-10"/>
      <w:sz w:val="72"/>
      <w:szCs w:val="72"/>
    </w:rPr>
  </w:style>
  <w:style w:type="character" w:customStyle="1" w:styleId="TitleChar">
    <w:name w:val="Title Char"/>
    <w:link w:val="Title"/>
    <w:uiPriority w:val="10"/>
    <w:rsid w:val="00D84079"/>
    <w:rPr>
      <w:rFonts w:ascii="Calibri Light" w:eastAsia="Times New Roman" w:hAnsi="Calibri Light" w:cs="Times New Roman"/>
      <w:caps/>
      <w:color w:val="404040"/>
      <w:spacing w:val="-10"/>
      <w:sz w:val="72"/>
      <w:szCs w:val="72"/>
    </w:rPr>
  </w:style>
  <w:style w:type="paragraph" w:styleId="Subtitle">
    <w:name w:val="Subtitle"/>
    <w:basedOn w:val="Normal"/>
    <w:next w:val="Normal"/>
    <w:link w:val="SubtitleChar"/>
    <w:uiPriority w:val="11"/>
    <w:qFormat/>
    <w:rsid w:val="00D84079"/>
    <w:pPr>
      <w:numPr>
        <w:ilvl w:val="1"/>
      </w:numPr>
    </w:pPr>
    <w:rPr>
      <w:rFonts w:ascii="Calibri Light" w:hAnsi="Calibri Light"/>
      <w:smallCaps/>
      <w:color w:val="595959"/>
      <w:sz w:val="28"/>
      <w:szCs w:val="28"/>
    </w:rPr>
  </w:style>
  <w:style w:type="character" w:customStyle="1" w:styleId="SubtitleChar">
    <w:name w:val="Subtitle Char"/>
    <w:link w:val="Subtitle"/>
    <w:uiPriority w:val="11"/>
    <w:rsid w:val="00D84079"/>
    <w:rPr>
      <w:rFonts w:ascii="Calibri Light" w:eastAsia="Times New Roman" w:hAnsi="Calibri Light" w:cs="Times New Roman"/>
      <w:smallCaps/>
      <w:color w:val="595959"/>
      <w:sz w:val="28"/>
      <w:szCs w:val="28"/>
    </w:rPr>
  </w:style>
  <w:style w:type="character" w:styleId="Strong">
    <w:name w:val="Strong"/>
    <w:uiPriority w:val="22"/>
    <w:qFormat/>
    <w:rsid w:val="00D84079"/>
    <w:rPr>
      <w:b/>
      <w:bCs/>
    </w:rPr>
  </w:style>
  <w:style w:type="character" w:styleId="Emphasis">
    <w:name w:val="Emphasis"/>
    <w:uiPriority w:val="20"/>
    <w:qFormat/>
    <w:rsid w:val="00D84079"/>
    <w:rPr>
      <w:i/>
      <w:iCs/>
    </w:rPr>
  </w:style>
  <w:style w:type="paragraph" w:styleId="NoSpacing">
    <w:name w:val="No Spacing"/>
    <w:uiPriority w:val="1"/>
    <w:qFormat/>
    <w:rsid w:val="00D84079"/>
    <w:rPr>
      <w:rFonts w:eastAsia="Times New Roman"/>
      <w:sz w:val="22"/>
      <w:szCs w:val="22"/>
      <w:lang w:eastAsia="en-US"/>
    </w:rPr>
  </w:style>
  <w:style w:type="paragraph" w:styleId="Quote">
    <w:name w:val="Quote"/>
    <w:basedOn w:val="Normal"/>
    <w:next w:val="Normal"/>
    <w:link w:val="QuoteChar"/>
    <w:uiPriority w:val="29"/>
    <w:qFormat/>
    <w:rsid w:val="00D84079"/>
    <w:pPr>
      <w:spacing w:before="160" w:line="240" w:lineRule="auto"/>
      <w:ind w:left="720" w:right="720"/>
    </w:pPr>
    <w:rPr>
      <w:rFonts w:ascii="Calibri Light" w:hAnsi="Calibri Light"/>
      <w:sz w:val="25"/>
      <w:szCs w:val="25"/>
    </w:rPr>
  </w:style>
  <w:style w:type="character" w:customStyle="1" w:styleId="QuoteChar">
    <w:name w:val="Quote Char"/>
    <w:link w:val="Quote"/>
    <w:uiPriority w:val="29"/>
    <w:rsid w:val="00D84079"/>
    <w:rPr>
      <w:rFonts w:ascii="Calibri Light" w:eastAsia="Times New Roman" w:hAnsi="Calibri Light" w:cs="Times New Roman"/>
      <w:sz w:val="25"/>
      <w:szCs w:val="25"/>
    </w:rPr>
  </w:style>
  <w:style w:type="paragraph" w:styleId="IntenseQuote">
    <w:name w:val="Intense Quote"/>
    <w:basedOn w:val="Normal"/>
    <w:next w:val="Normal"/>
    <w:link w:val="IntenseQuoteChar"/>
    <w:uiPriority w:val="30"/>
    <w:qFormat/>
    <w:rsid w:val="00D84079"/>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D84079"/>
    <w:rPr>
      <w:rFonts w:eastAsia="Times New Roman"/>
      <w:color w:val="404040"/>
      <w:sz w:val="32"/>
      <w:szCs w:val="32"/>
    </w:rPr>
  </w:style>
  <w:style w:type="character" w:styleId="SubtleEmphasis">
    <w:name w:val="Subtle Emphasis"/>
    <w:uiPriority w:val="19"/>
    <w:qFormat/>
    <w:rsid w:val="00D84079"/>
    <w:rPr>
      <w:i/>
      <w:iCs/>
      <w:color w:val="595959"/>
    </w:rPr>
  </w:style>
  <w:style w:type="character" w:styleId="IntenseEmphasis">
    <w:name w:val="Intense Emphasis"/>
    <w:uiPriority w:val="21"/>
    <w:qFormat/>
    <w:rsid w:val="00D84079"/>
    <w:rPr>
      <w:b/>
      <w:bCs/>
      <w:i/>
      <w:iCs/>
    </w:rPr>
  </w:style>
  <w:style w:type="character" w:styleId="SubtleReference">
    <w:name w:val="Subtle Reference"/>
    <w:uiPriority w:val="31"/>
    <w:qFormat/>
    <w:rsid w:val="00D84079"/>
    <w:rPr>
      <w:smallCaps/>
      <w:color w:val="404040"/>
      <w:u w:val="single" w:color="7F7F7F"/>
    </w:rPr>
  </w:style>
  <w:style w:type="character" w:styleId="IntenseReference">
    <w:name w:val="Intense Reference"/>
    <w:uiPriority w:val="32"/>
    <w:qFormat/>
    <w:rsid w:val="00D84079"/>
    <w:rPr>
      <w:b/>
      <w:bCs/>
      <w:caps w:val="0"/>
      <w:smallCaps/>
      <w:color w:val="auto"/>
      <w:spacing w:val="3"/>
      <w:u w:val="single"/>
    </w:rPr>
  </w:style>
  <w:style w:type="character" w:styleId="BookTitle">
    <w:name w:val="Book Title"/>
    <w:uiPriority w:val="33"/>
    <w:qFormat/>
    <w:rsid w:val="00D84079"/>
    <w:rPr>
      <w:b/>
      <w:bCs/>
      <w:smallCaps/>
      <w:spacing w:val="7"/>
    </w:rPr>
  </w:style>
  <w:style w:type="paragraph" w:styleId="TOCHeading">
    <w:name w:val="TOC Heading"/>
    <w:basedOn w:val="Heading1"/>
    <w:next w:val="Normal"/>
    <w:uiPriority w:val="39"/>
    <w:unhideWhenUsed/>
    <w:qFormat/>
    <w:rsid w:val="00D84079"/>
    <w:pPr>
      <w:outlineLvl w:val="9"/>
    </w:pPr>
  </w:style>
  <w:style w:type="paragraph" w:styleId="ListParagraph">
    <w:name w:val="List Paragraph"/>
    <w:basedOn w:val="Normal"/>
    <w:uiPriority w:val="34"/>
    <w:qFormat/>
    <w:rsid w:val="00D84079"/>
    <w:pPr>
      <w:ind w:left="720"/>
      <w:contextualSpacing/>
    </w:pPr>
  </w:style>
  <w:style w:type="character" w:styleId="Hyperlink">
    <w:name w:val="Hyperlink"/>
    <w:uiPriority w:val="99"/>
    <w:unhideWhenUsed/>
    <w:rsid w:val="00D84079"/>
    <w:rPr>
      <w:color w:val="0563C1"/>
      <w:u w:val="single"/>
    </w:rPr>
  </w:style>
  <w:style w:type="paragraph" w:styleId="FootnoteText">
    <w:name w:val="footnote text"/>
    <w:basedOn w:val="Normal"/>
    <w:link w:val="FootnoteTextChar"/>
    <w:uiPriority w:val="99"/>
    <w:unhideWhenUsed/>
    <w:rsid w:val="00D84079"/>
    <w:pPr>
      <w:spacing w:after="0" w:line="240" w:lineRule="auto"/>
    </w:pPr>
    <w:rPr>
      <w:sz w:val="20"/>
      <w:szCs w:val="20"/>
    </w:rPr>
  </w:style>
  <w:style w:type="character" w:customStyle="1" w:styleId="FootnoteTextChar">
    <w:name w:val="Footnote Text Char"/>
    <w:link w:val="FootnoteText"/>
    <w:uiPriority w:val="99"/>
    <w:rsid w:val="00D84079"/>
    <w:rPr>
      <w:rFonts w:eastAsia="Times New Roman"/>
      <w:sz w:val="20"/>
      <w:szCs w:val="20"/>
    </w:rPr>
  </w:style>
  <w:style w:type="character" w:styleId="FootnoteReference">
    <w:name w:val="footnote reference"/>
    <w:uiPriority w:val="99"/>
    <w:unhideWhenUsed/>
    <w:rsid w:val="00D84079"/>
    <w:rPr>
      <w:vertAlign w:val="superscript"/>
    </w:rPr>
  </w:style>
  <w:style w:type="character" w:customStyle="1" w:styleId="EndnoteTextChar">
    <w:name w:val="Endnote Text Char"/>
    <w:link w:val="EndnoteText"/>
    <w:uiPriority w:val="99"/>
    <w:semiHidden/>
    <w:rsid w:val="00D84079"/>
    <w:rPr>
      <w:rFonts w:eastAsia="Times New Roman"/>
      <w:sz w:val="20"/>
      <w:szCs w:val="20"/>
    </w:rPr>
  </w:style>
  <w:style w:type="paragraph" w:styleId="EndnoteText">
    <w:name w:val="endnote text"/>
    <w:basedOn w:val="Normal"/>
    <w:link w:val="EndnoteTextChar"/>
    <w:uiPriority w:val="99"/>
    <w:semiHidden/>
    <w:unhideWhenUsed/>
    <w:rsid w:val="00D84079"/>
    <w:pPr>
      <w:spacing w:after="0" w:line="240" w:lineRule="auto"/>
    </w:pPr>
    <w:rPr>
      <w:sz w:val="20"/>
      <w:szCs w:val="20"/>
    </w:rPr>
  </w:style>
  <w:style w:type="paragraph" w:styleId="Bibliography">
    <w:name w:val="Bibliography"/>
    <w:basedOn w:val="Normal"/>
    <w:next w:val="Normal"/>
    <w:uiPriority w:val="37"/>
    <w:unhideWhenUsed/>
    <w:rsid w:val="006A784C"/>
  </w:style>
  <w:style w:type="table" w:styleId="TableGrid">
    <w:name w:val="Table Grid"/>
    <w:basedOn w:val="TableNormal"/>
    <w:uiPriority w:val="39"/>
    <w:rsid w:val="002F37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CA567-9C09-A641-9CB4-956F736B2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38</Pages>
  <Words>7083</Words>
  <Characters>40378</Characters>
  <Application>Microsoft Macintosh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47367</CharactersWithSpaces>
  <SharedDoc>false</SharedDoc>
  <HLinks>
    <vt:vector size="114" baseType="variant">
      <vt:variant>
        <vt:i4>5373981</vt:i4>
      </vt:variant>
      <vt:variant>
        <vt:i4>588</vt:i4>
      </vt:variant>
      <vt:variant>
        <vt:i4>0</vt:i4>
      </vt:variant>
      <vt:variant>
        <vt:i4>5</vt:i4>
      </vt:variant>
      <vt:variant>
        <vt:lpwstr/>
      </vt:variant>
      <vt:variant>
        <vt:lpwstr>_Comparative_group_studies_4</vt:lpwstr>
      </vt:variant>
      <vt:variant>
        <vt:i4>5505119</vt:i4>
      </vt:variant>
      <vt:variant>
        <vt:i4>576</vt:i4>
      </vt:variant>
      <vt:variant>
        <vt:i4>0</vt:i4>
      </vt:variant>
      <vt:variant>
        <vt:i4>5</vt:i4>
      </vt:variant>
      <vt:variant>
        <vt:lpwstr/>
      </vt:variant>
      <vt:variant>
        <vt:lpwstr>_Non-comparative_group_studies_2</vt:lpwstr>
      </vt:variant>
      <vt:variant>
        <vt:i4>6225949</vt:i4>
      </vt:variant>
      <vt:variant>
        <vt:i4>552</vt:i4>
      </vt:variant>
      <vt:variant>
        <vt:i4>0</vt:i4>
      </vt:variant>
      <vt:variant>
        <vt:i4>5</vt:i4>
      </vt:variant>
      <vt:variant>
        <vt:lpwstr/>
      </vt:variant>
      <vt:variant>
        <vt:lpwstr>_Comparative_group_studies_9</vt:lpwstr>
      </vt:variant>
      <vt:variant>
        <vt:i4>6225949</vt:i4>
      </vt:variant>
      <vt:variant>
        <vt:i4>546</vt:i4>
      </vt:variant>
      <vt:variant>
        <vt:i4>0</vt:i4>
      </vt:variant>
      <vt:variant>
        <vt:i4>5</vt:i4>
      </vt:variant>
      <vt:variant>
        <vt:lpwstr/>
      </vt:variant>
      <vt:variant>
        <vt:lpwstr>_Comparative_group_studies_9</vt:lpwstr>
      </vt:variant>
      <vt:variant>
        <vt:i4>5439517</vt:i4>
      </vt:variant>
      <vt:variant>
        <vt:i4>528</vt:i4>
      </vt:variant>
      <vt:variant>
        <vt:i4>0</vt:i4>
      </vt:variant>
      <vt:variant>
        <vt:i4>5</vt:i4>
      </vt:variant>
      <vt:variant>
        <vt:lpwstr/>
      </vt:variant>
      <vt:variant>
        <vt:lpwstr>_Comparative_group_studies_5</vt:lpwstr>
      </vt:variant>
      <vt:variant>
        <vt:i4>5373981</vt:i4>
      </vt:variant>
      <vt:variant>
        <vt:i4>519</vt:i4>
      </vt:variant>
      <vt:variant>
        <vt:i4>0</vt:i4>
      </vt:variant>
      <vt:variant>
        <vt:i4>5</vt:i4>
      </vt:variant>
      <vt:variant>
        <vt:lpwstr/>
      </vt:variant>
      <vt:variant>
        <vt:lpwstr>_Comparative_group_studies_4</vt:lpwstr>
      </vt:variant>
      <vt:variant>
        <vt:i4>5373981</vt:i4>
      </vt:variant>
      <vt:variant>
        <vt:i4>501</vt:i4>
      </vt:variant>
      <vt:variant>
        <vt:i4>0</vt:i4>
      </vt:variant>
      <vt:variant>
        <vt:i4>5</vt:i4>
      </vt:variant>
      <vt:variant>
        <vt:lpwstr/>
      </vt:variant>
      <vt:variant>
        <vt:lpwstr>_Comparative_group_studies_4</vt:lpwstr>
      </vt:variant>
      <vt:variant>
        <vt:i4>6225949</vt:i4>
      </vt:variant>
      <vt:variant>
        <vt:i4>465</vt:i4>
      </vt:variant>
      <vt:variant>
        <vt:i4>0</vt:i4>
      </vt:variant>
      <vt:variant>
        <vt:i4>5</vt:i4>
      </vt:variant>
      <vt:variant>
        <vt:lpwstr/>
      </vt:variant>
      <vt:variant>
        <vt:lpwstr>_Comparative_group_studies_9</vt:lpwstr>
      </vt:variant>
      <vt:variant>
        <vt:i4>6225949</vt:i4>
      </vt:variant>
      <vt:variant>
        <vt:i4>453</vt:i4>
      </vt:variant>
      <vt:variant>
        <vt:i4>0</vt:i4>
      </vt:variant>
      <vt:variant>
        <vt:i4>5</vt:i4>
      </vt:variant>
      <vt:variant>
        <vt:lpwstr/>
      </vt:variant>
      <vt:variant>
        <vt:lpwstr>_Comparative_group_studies_9</vt:lpwstr>
      </vt:variant>
      <vt:variant>
        <vt:i4>5373981</vt:i4>
      </vt:variant>
      <vt:variant>
        <vt:i4>432</vt:i4>
      </vt:variant>
      <vt:variant>
        <vt:i4>0</vt:i4>
      </vt:variant>
      <vt:variant>
        <vt:i4>5</vt:i4>
      </vt:variant>
      <vt:variant>
        <vt:lpwstr/>
      </vt:variant>
      <vt:variant>
        <vt:lpwstr>_Comparative_group_studies_4</vt:lpwstr>
      </vt:variant>
      <vt:variant>
        <vt:i4>5373981</vt:i4>
      </vt:variant>
      <vt:variant>
        <vt:i4>417</vt:i4>
      </vt:variant>
      <vt:variant>
        <vt:i4>0</vt:i4>
      </vt:variant>
      <vt:variant>
        <vt:i4>5</vt:i4>
      </vt:variant>
      <vt:variant>
        <vt:lpwstr/>
      </vt:variant>
      <vt:variant>
        <vt:lpwstr>_Comparative_group_studies_4</vt:lpwstr>
      </vt:variant>
      <vt:variant>
        <vt:i4>5373981</vt:i4>
      </vt:variant>
      <vt:variant>
        <vt:i4>405</vt:i4>
      </vt:variant>
      <vt:variant>
        <vt:i4>0</vt:i4>
      </vt:variant>
      <vt:variant>
        <vt:i4>5</vt:i4>
      </vt:variant>
      <vt:variant>
        <vt:lpwstr/>
      </vt:variant>
      <vt:variant>
        <vt:lpwstr>_Comparative_group_studies_4</vt:lpwstr>
      </vt:variant>
      <vt:variant>
        <vt:i4>5505119</vt:i4>
      </vt:variant>
      <vt:variant>
        <vt:i4>387</vt:i4>
      </vt:variant>
      <vt:variant>
        <vt:i4>0</vt:i4>
      </vt:variant>
      <vt:variant>
        <vt:i4>5</vt:i4>
      </vt:variant>
      <vt:variant>
        <vt:lpwstr/>
      </vt:variant>
      <vt:variant>
        <vt:lpwstr>_Non-comparative_group_studies_2</vt:lpwstr>
      </vt:variant>
      <vt:variant>
        <vt:i4>5439517</vt:i4>
      </vt:variant>
      <vt:variant>
        <vt:i4>378</vt:i4>
      </vt:variant>
      <vt:variant>
        <vt:i4>0</vt:i4>
      </vt:variant>
      <vt:variant>
        <vt:i4>5</vt:i4>
      </vt:variant>
      <vt:variant>
        <vt:lpwstr/>
      </vt:variant>
      <vt:variant>
        <vt:lpwstr>_Comparative_group_studies_5</vt:lpwstr>
      </vt:variant>
      <vt:variant>
        <vt:i4>5373981</vt:i4>
      </vt:variant>
      <vt:variant>
        <vt:i4>372</vt:i4>
      </vt:variant>
      <vt:variant>
        <vt:i4>0</vt:i4>
      </vt:variant>
      <vt:variant>
        <vt:i4>5</vt:i4>
      </vt:variant>
      <vt:variant>
        <vt:lpwstr/>
      </vt:variant>
      <vt:variant>
        <vt:lpwstr>_Comparative_group_studies_4</vt:lpwstr>
      </vt:variant>
      <vt:variant>
        <vt:i4>5373981</vt:i4>
      </vt:variant>
      <vt:variant>
        <vt:i4>357</vt:i4>
      </vt:variant>
      <vt:variant>
        <vt:i4>0</vt:i4>
      </vt:variant>
      <vt:variant>
        <vt:i4>5</vt:i4>
      </vt:variant>
      <vt:variant>
        <vt:lpwstr/>
      </vt:variant>
      <vt:variant>
        <vt:lpwstr>_Comparative_group_studies_4</vt:lpwstr>
      </vt:variant>
      <vt:variant>
        <vt:i4>7209048</vt:i4>
      </vt:variant>
      <vt:variant>
        <vt:i4>330</vt:i4>
      </vt:variant>
      <vt:variant>
        <vt:i4>0</vt:i4>
      </vt:variant>
      <vt:variant>
        <vt:i4>5</vt:i4>
      </vt:variant>
      <vt:variant>
        <vt:lpwstr/>
      </vt:variant>
      <vt:variant>
        <vt:lpwstr>_Case_reports_7</vt:lpwstr>
      </vt:variant>
      <vt:variant>
        <vt:i4>5505119</vt:i4>
      </vt:variant>
      <vt:variant>
        <vt:i4>198</vt:i4>
      </vt:variant>
      <vt:variant>
        <vt:i4>0</vt:i4>
      </vt:variant>
      <vt:variant>
        <vt:i4>5</vt:i4>
      </vt:variant>
      <vt:variant>
        <vt:lpwstr/>
      </vt:variant>
      <vt:variant>
        <vt:lpwstr>_Non-comparative_group_studies_2</vt:lpwstr>
      </vt:variant>
      <vt:variant>
        <vt:i4>5505119</vt:i4>
      </vt:variant>
      <vt:variant>
        <vt:i4>90</vt:i4>
      </vt:variant>
      <vt:variant>
        <vt:i4>0</vt:i4>
      </vt:variant>
      <vt:variant>
        <vt:i4>5</vt:i4>
      </vt:variant>
      <vt:variant>
        <vt:lpwstr/>
      </vt:variant>
      <vt:variant>
        <vt:lpwstr>_Non-comparative_group_studies_2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Liddle</dc:creator>
  <cp:keywords/>
  <dc:description/>
  <cp:lastModifiedBy>Microsoft Office User</cp:lastModifiedBy>
  <cp:revision>7</cp:revision>
  <dcterms:created xsi:type="dcterms:W3CDTF">2019-11-07T11:54:00Z</dcterms:created>
  <dcterms:modified xsi:type="dcterms:W3CDTF">2019-11-13T09:17:00Z</dcterms:modified>
</cp:coreProperties>
</file>