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7E3" w:rsidRPr="00E1622E" w:rsidRDefault="003127DB" w:rsidP="00FB37E3">
      <w:pPr>
        <w:spacing w:line="36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3</w:t>
      </w:r>
      <w:r w:rsidR="00FB37E3" w:rsidRPr="00E1622E">
        <w:rPr>
          <w:rFonts w:ascii="Times New Roman" w:hAnsi="Times New Roman" w:cs="Times New Roman"/>
          <w:b/>
        </w:rPr>
        <w:t xml:space="preserve"> Descriptive Statistics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5260"/>
        <w:gridCol w:w="1701"/>
        <w:gridCol w:w="1334"/>
      </w:tblGrid>
      <w:tr w:rsidR="00FB37E3" w:rsidRPr="00E1622E" w:rsidTr="00D34E2B">
        <w:trPr>
          <w:trHeight w:val="598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1622E">
              <w:rPr>
                <w:rFonts w:ascii="Times New Roman" w:hAnsi="Times New Roman" w:cs="Times New Roman"/>
                <w:b/>
                <w:lang w:val="en-IE"/>
              </w:rPr>
              <w:t>Obs.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1622E">
              <w:rPr>
                <w:rFonts w:ascii="Times New Roman" w:hAnsi="Times New Roman" w:cs="Times New Roman"/>
                <w:b/>
                <w:lang w:val="en-IE"/>
              </w:rPr>
              <w:t>Mean/Freq.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622E">
              <w:rPr>
                <w:rFonts w:ascii="Times New Roman" w:hAnsi="Times New Roman" w:cs="Times New Roman"/>
                <w:b/>
                <w:lang w:val="en-IE"/>
              </w:rPr>
              <w:t>SD / %</w:t>
            </w:r>
          </w:p>
        </w:tc>
      </w:tr>
      <w:tr w:rsidR="00FB37E3" w:rsidRPr="00E1622E" w:rsidTr="00D34E2B">
        <w:trPr>
          <w:trHeight w:val="178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Age*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54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10</w:t>
            </w:r>
          </w:p>
        </w:tc>
      </w:tr>
      <w:tr w:rsidR="00FB37E3" w:rsidRPr="00E1622E" w:rsidTr="00D34E2B">
        <w:trPr>
          <w:trHeight w:val="180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  <w:lang w:val="en-IE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Female**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  <w:lang w:val="en-IE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96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  <w:lang w:val="en-IE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33%</w:t>
            </w:r>
          </w:p>
        </w:tc>
      </w:tr>
      <w:tr w:rsidR="00FB37E3" w:rsidRPr="00E1622E" w:rsidTr="00D34E2B">
        <w:trPr>
          <w:trHeight w:val="180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Urban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243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81%</w:t>
            </w:r>
          </w:p>
        </w:tc>
      </w:tr>
      <w:tr w:rsidR="00FB37E3" w:rsidRPr="00E1622E" w:rsidTr="00D34E2B">
        <w:trPr>
          <w:trHeight w:val="236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Initiating DOAC Prescriber***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175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60%</w:t>
            </w:r>
          </w:p>
        </w:tc>
      </w:tr>
      <w:tr w:rsidR="00FB37E3" w:rsidRPr="00E1622E" w:rsidTr="00D34E2B">
        <w:trPr>
          <w:trHeight w:val="226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 xml:space="preserve">Anticoagulation Clinic in Practice 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103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34%</w:t>
            </w:r>
          </w:p>
        </w:tc>
      </w:tr>
      <w:tr w:rsidR="00FB37E3" w:rsidRPr="00E1622E" w:rsidTr="00D34E2B">
        <w:trPr>
          <w:trHeight w:val="216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Training Practice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97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32%</w:t>
            </w:r>
          </w:p>
        </w:tc>
      </w:tr>
      <w:tr w:rsidR="00FB37E3" w:rsidRPr="00E1622E" w:rsidTr="00D34E2B">
        <w:trPr>
          <w:trHeight w:val="210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Observed All 7 EHRA  guidelines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71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24%</w:t>
            </w:r>
          </w:p>
        </w:tc>
      </w:tr>
      <w:tr w:rsidR="00FB37E3" w:rsidRPr="00E1622E" w:rsidTr="00D34E2B">
        <w:trPr>
          <w:trHeight w:val="342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u w:val="single"/>
                <w:lang w:val="en-IE"/>
              </w:rPr>
              <w:t>Frequency of Follow-up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E3" w:rsidRPr="00E1622E" w:rsidTr="00D34E2B">
        <w:trPr>
          <w:trHeight w:val="261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Monthly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28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9%</w:t>
            </w:r>
          </w:p>
        </w:tc>
      </w:tr>
      <w:tr w:rsidR="00FB37E3" w:rsidRPr="00E1622E" w:rsidTr="00D34E2B">
        <w:trPr>
          <w:trHeight w:val="252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Once every 3 months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166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56%</w:t>
            </w:r>
          </w:p>
        </w:tc>
      </w:tr>
      <w:tr w:rsidR="00FB37E3" w:rsidRPr="00E1622E" w:rsidTr="00D34E2B">
        <w:trPr>
          <w:trHeight w:val="242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Once every 6 months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88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29%</w:t>
            </w:r>
          </w:p>
        </w:tc>
      </w:tr>
      <w:tr w:rsidR="00FB37E3" w:rsidRPr="00E1622E" w:rsidTr="00D34E2B">
        <w:trPr>
          <w:trHeight w:val="246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Once a year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5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2%</w:t>
            </w:r>
          </w:p>
        </w:tc>
      </w:tr>
      <w:tr w:rsidR="00FB37E3" w:rsidRPr="00E1622E" w:rsidTr="00D34E2B">
        <w:trPr>
          <w:trHeight w:val="236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On patient request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7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2%</w:t>
            </w:r>
          </w:p>
        </w:tc>
      </w:tr>
      <w:tr w:rsidR="00FB37E3" w:rsidRPr="00E1622E" w:rsidTr="00D34E2B">
        <w:trPr>
          <w:trHeight w:val="226"/>
        </w:trPr>
        <w:tc>
          <w:tcPr>
            <w:tcW w:w="5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both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Non response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5</w:t>
            </w:r>
          </w:p>
        </w:tc>
        <w:tc>
          <w:tcPr>
            <w:tcW w:w="1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B37E3" w:rsidRPr="00E1622E" w:rsidRDefault="00FB37E3" w:rsidP="00D34E2B">
            <w:pPr>
              <w:jc w:val="center"/>
              <w:rPr>
                <w:rFonts w:ascii="Times New Roman" w:hAnsi="Times New Roman" w:cs="Times New Roman"/>
              </w:rPr>
            </w:pPr>
            <w:r w:rsidRPr="00E1622E">
              <w:rPr>
                <w:rFonts w:ascii="Times New Roman" w:hAnsi="Times New Roman" w:cs="Times New Roman"/>
                <w:lang w:val="en-IE"/>
              </w:rPr>
              <w:t>2%</w:t>
            </w:r>
          </w:p>
        </w:tc>
      </w:tr>
    </w:tbl>
    <w:p w:rsidR="00FB37E3" w:rsidRPr="00E1622E" w:rsidRDefault="00FB37E3" w:rsidP="00FB37E3">
      <w:pPr>
        <w:spacing w:line="360" w:lineRule="auto"/>
        <w:jc w:val="both"/>
        <w:rPr>
          <w:rFonts w:ascii="Times New Roman" w:hAnsi="Times New Roman" w:cs="Times New Roman"/>
          <w:lang w:val="en-IE"/>
        </w:rPr>
      </w:pPr>
      <w:r w:rsidRPr="00E1622E">
        <w:rPr>
          <w:rFonts w:ascii="Times New Roman" w:hAnsi="Times New Roman" w:cs="Times New Roman"/>
          <w:lang w:val="en-IE"/>
        </w:rPr>
        <w:t xml:space="preserve">n= 299 * 6 missing values, ** 4 missing value, ***6 missing values  </w:t>
      </w:r>
      <w:r w:rsidR="00502533">
        <w:rPr>
          <w:rFonts w:ascii="Times New Roman" w:hAnsi="Times New Roman" w:cs="Times New Roman"/>
          <w:lang w:val="en-IE"/>
        </w:rPr>
        <w:t xml:space="preserve">SD=Standard deviation. </w:t>
      </w:r>
    </w:p>
    <w:p w:rsidR="00FB37E3" w:rsidRPr="00E1622E" w:rsidRDefault="003127DB" w:rsidP="00FB37E3">
      <w:pPr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4</w:t>
      </w:r>
      <w:r w:rsidR="00FB37E3" w:rsidRPr="00E1622E">
        <w:rPr>
          <w:rFonts w:ascii="Times New Roman" w:hAnsi="Times New Roman" w:cs="Times New Roman"/>
          <w:b/>
        </w:rPr>
        <w:t xml:space="preserve"> Negative Binomial Results</w:t>
      </w:r>
    </w:p>
    <w:tbl>
      <w:tblPr>
        <w:tblStyle w:val="PlainTable11"/>
        <w:tblW w:w="5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/>
      </w:tblPr>
      <w:tblGrid>
        <w:gridCol w:w="2600"/>
        <w:gridCol w:w="1319"/>
        <w:gridCol w:w="1648"/>
      </w:tblGrid>
      <w:tr w:rsidR="00FB37E3" w:rsidRPr="00E1622E" w:rsidTr="00D34E2B">
        <w:trPr>
          <w:cnfStyle w:val="100000000000"/>
          <w:trHeight w:val="393"/>
        </w:trPr>
        <w:tc>
          <w:tcPr>
            <w:cnfStyle w:val="001000000000"/>
            <w:tcW w:w="2600" w:type="dxa"/>
            <w:noWrap/>
            <w:hideMark/>
          </w:tcPr>
          <w:p w:rsidR="00FB37E3" w:rsidRPr="00E1622E" w:rsidRDefault="00FB37E3" w:rsidP="00D34E2B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1319" w:type="dxa"/>
            <w:noWrap/>
            <w:hideMark/>
          </w:tcPr>
          <w:p w:rsidR="00FB37E3" w:rsidRPr="00E1622E" w:rsidRDefault="00FB37E3" w:rsidP="00D34E2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proofErr w:type="spellStart"/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dy</w:t>
            </w:r>
            <w:proofErr w:type="spellEnd"/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/</w:t>
            </w:r>
            <w:proofErr w:type="spellStart"/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dx</w:t>
            </w:r>
            <w:proofErr w:type="spellEnd"/>
          </w:p>
        </w:tc>
        <w:tc>
          <w:tcPr>
            <w:tcW w:w="1648" w:type="dxa"/>
            <w:noWrap/>
            <w:hideMark/>
          </w:tcPr>
          <w:p w:rsidR="00FB37E3" w:rsidRPr="00E1622E" w:rsidRDefault="00FB37E3" w:rsidP="00D34E2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Std. Err.</w:t>
            </w:r>
          </w:p>
        </w:tc>
      </w:tr>
      <w:tr w:rsidR="00FB37E3" w:rsidRPr="00E1622E" w:rsidTr="00D34E2B">
        <w:trPr>
          <w:trHeight w:val="393"/>
        </w:trPr>
        <w:tc>
          <w:tcPr>
            <w:cnfStyle w:val="001000000000"/>
            <w:tcW w:w="2600" w:type="dxa"/>
            <w:noWrap/>
            <w:hideMark/>
          </w:tcPr>
          <w:p w:rsidR="00FB37E3" w:rsidRPr="00E1622E" w:rsidRDefault="00FB37E3" w:rsidP="00D34E2B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Age</w:t>
            </w:r>
          </w:p>
        </w:tc>
        <w:tc>
          <w:tcPr>
            <w:tcW w:w="1319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0.011</w:t>
            </w:r>
          </w:p>
        </w:tc>
        <w:tc>
          <w:tcPr>
            <w:tcW w:w="1648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0.014</w:t>
            </w:r>
          </w:p>
        </w:tc>
      </w:tr>
      <w:tr w:rsidR="00FB37E3" w:rsidRPr="00E1622E" w:rsidTr="00D34E2B">
        <w:trPr>
          <w:trHeight w:val="393"/>
        </w:trPr>
        <w:tc>
          <w:tcPr>
            <w:cnfStyle w:val="001000000000"/>
            <w:tcW w:w="2600" w:type="dxa"/>
            <w:noWrap/>
            <w:hideMark/>
          </w:tcPr>
          <w:p w:rsidR="00FB37E3" w:rsidRPr="00E1622E" w:rsidRDefault="00FB37E3" w:rsidP="00D34E2B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Female</w:t>
            </w:r>
          </w:p>
        </w:tc>
        <w:tc>
          <w:tcPr>
            <w:tcW w:w="1319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-0.612**</w:t>
            </w:r>
          </w:p>
        </w:tc>
        <w:tc>
          <w:tcPr>
            <w:tcW w:w="1648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0.317</w:t>
            </w:r>
          </w:p>
        </w:tc>
      </w:tr>
      <w:tr w:rsidR="00FB37E3" w:rsidRPr="00E1622E" w:rsidTr="00D34E2B">
        <w:trPr>
          <w:trHeight w:val="393"/>
        </w:trPr>
        <w:tc>
          <w:tcPr>
            <w:cnfStyle w:val="001000000000"/>
            <w:tcW w:w="2600" w:type="dxa"/>
            <w:noWrap/>
            <w:hideMark/>
          </w:tcPr>
          <w:p w:rsidR="00FB37E3" w:rsidRPr="00E1622E" w:rsidRDefault="00FB37E3" w:rsidP="00D34E2B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Urban</w:t>
            </w:r>
          </w:p>
        </w:tc>
        <w:tc>
          <w:tcPr>
            <w:tcW w:w="1319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0.328</w:t>
            </w:r>
          </w:p>
        </w:tc>
        <w:tc>
          <w:tcPr>
            <w:tcW w:w="1648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0.363</w:t>
            </w:r>
          </w:p>
        </w:tc>
      </w:tr>
      <w:tr w:rsidR="00FB37E3" w:rsidRPr="00E1622E" w:rsidTr="00D34E2B">
        <w:trPr>
          <w:trHeight w:val="393"/>
        </w:trPr>
        <w:tc>
          <w:tcPr>
            <w:cnfStyle w:val="001000000000"/>
            <w:tcW w:w="2600" w:type="dxa"/>
            <w:noWrap/>
            <w:hideMark/>
          </w:tcPr>
          <w:p w:rsidR="00FB37E3" w:rsidRPr="00E1622E" w:rsidRDefault="00FB37E3" w:rsidP="00D34E2B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Initiating Prescriber</w:t>
            </w:r>
          </w:p>
        </w:tc>
        <w:tc>
          <w:tcPr>
            <w:tcW w:w="1319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0.088</w:t>
            </w:r>
          </w:p>
        </w:tc>
        <w:tc>
          <w:tcPr>
            <w:tcW w:w="1648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0.288</w:t>
            </w:r>
          </w:p>
        </w:tc>
      </w:tr>
      <w:tr w:rsidR="00FB37E3" w:rsidRPr="00E1622E" w:rsidTr="00D34E2B">
        <w:trPr>
          <w:trHeight w:val="393"/>
        </w:trPr>
        <w:tc>
          <w:tcPr>
            <w:cnfStyle w:val="001000000000"/>
            <w:tcW w:w="2600" w:type="dxa"/>
            <w:noWrap/>
            <w:hideMark/>
          </w:tcPr>
          <w:p w:rsidR="00FB37E3" w:rsidRPr="00E1622E" w:rsidRDefault="00FB37E3" w:rsidP="00D34E2B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Anticoagulation Clinic</w:t>
            </w:r>
          </w:p>
        </w:tc>
        <w:tc>
          <w:tcPr>
            <w:tcW w:w="1319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0.025</w:t>
            </w:r>
          </w:p>
        </w:tc>
        <w:tc>
          <w:tcPr>
            <w:tcW w:w="1648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0.296</w:t>
            </w:r>
          </w:p>
        </w:tc>
      </w:tr>
      <w:tr w:rsidR="00FB37E3" w:rsidRPr="00E1622E" w:rsidTr="00D34E2B">
        <w:trPr>
          <w:trHeight w:val="393"/>
        </w:trPr>
        <w:tc>
          <w:tcPr>
            <w:cnfStyle w:val="001000000000"/>
            <w:tcW w:w="2600" w:type="dxa"/>
            <w:noWrap/>
            <w:hideMark/>
          </w:tcPr>
          <w:p w:rsidR="00FB37E3" w:rsidRPr="00E1622E" w:rsidRDefault="00FB37E3" w:rsidP="00D34E2B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Training Practice</w:t>
            </w:r>
          </w:p>
        </w:tc>
        <w:tc>
          <w:tcPr>
            <w:tcW w:w="1319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-0.506*</w:t>
            </w:r>
          </w:p>
        </w:tc>
        <w:tc>
          <w:tcPr>
            <w:tcW w:w="1648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0.307</w:t>
            </w:r>
          </w:p>
        </w:tc>
      </w:tr>
      <w:tr w:rsidR="00FB37E3" w:rsidRPr="00E1622E" w:rsidTr="00D34E2B">
        <w:trPr>
          <w:trHeight w:val="393"/>
        </w:trPr>
        <w:tc>
          <w:tcPr>
            <w:cnfStyle w:val="001000000000"/>
            <w:tcW w:w="2600" w:type="dxa"/>
            <w:noWrap/>
            <w:hideMark/>
          </w:tcPr>
          <w:p w:rsidR="00FB37E3" w:rsidRPr="00E1622E" w:rsidRDefault="00FB37E3" w:rsidP="00D34E2B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All EHRA Guidelines</w:t>
            </w:r>
          </w:p>
        </w:tc>
        <w:tc>
          <w:tcPr>
            <w:tcW w:w="1319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  0.660**</w:t>
            </w:r>
          </w:p>
        </w:tc>
        <w:tc>
          <w:tcPr>
            <w:tcW w:w="1648" w:type="dxa"/>
            <w:noWrap/>
            <w:hideMark/>
          </w:tcPr>
          <w:p w:rsidR="00FB37E3" w:rsidRPr="00E1622E" w:rsidRDefault="00FB37E3" w:rsidP="00D34E2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622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0.328</w:t>
            </w:r>
          </w:p>
        </w:tc>
      </w:tr>
    </w:tbl>
    <w:p w:rsidR="00FB37E3" w:rsidRPr="00E1622E" w:rsidRDefault="00FB37E3" w:rsidP="00FB37E3">
      <w:pPr>
        <w:rPr>
          <w:rFonts w:ascii="Times New Roman" w:hAnsi="Times New Roman" w:cs="Times New Roman"/>
          <w:b/>
          <w:sz w:val="20"/>
          <w:szCs w:val="20"/>
        </w:rPr>
      </w:pPr>
      <w:r w:rsidRPr="00E1622E">
        <w:rPr>
          <w:rFonts w:ascii="Times New Roman" w:hAnsi="Times New Roman" w:cs="Times New Roman"/>
          <w:b/>
          <w:sz w:val="20"/>
          <w:szCs w:val="20"/>
        </w:rPr>
        <w:t>Note; *=10% and **=5% level of significance</w:t>
      </w:r>
      <w:r w:rsidR="003127DB">
        <w:rPr>
          <w:rFonts w:ascii="Times New Roman" w:hAnsi="Times New Roman" w:cs="Times New Roman"/>
        </w:rPr>
        <w:t xml:space="preserve">. </w:t>
      </w:r>
      <w:proofErr w:type="spellStart"/>
      <w:r w:rsidR="003127DB" w:rsidRPr="003127DB">
        <w:rPr>
          <w:rFonts w:ascii="Times New Roman" w:hAnsi="Times New Roman" w:cs="Times New Roman"/>
          <w:sz w:val="20"/>
          <w:szCs w:val="20"/>
        </w:rPr>
        <w:t>dy</w:t>
      </w:r>
      <w:proofErr w:type="spellEnd"/>
      <w:r w:rsidR="003127DB" w:rsidRPr="003127DB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3127DB" w:rsidRPr="003127DB">
        <w:rPr>
          <w:rFonts w:ascii="Times New Roman" w:hAnsi="Times New Roman" w:cs="Times New Roman"/>
          <w:sz w:val="20"/>
          <w:szCs w:val="20"/>
        </w:rPr>
        <w:t>dx</w:t>
      </w:r>
      <w:proofErr w:type="spellEnd"/>
      <w:r w:rsidR="003127DB" w:rsidRPr="003127DB">
        <w:rPr>
          <w:rFonts w:ascii="Times New Roman" w:hAnsi="Times New Roman" w:cs="Times New Roman"/>
          <w:sz w:val="20"/>
          <w:szCs w:val="20"/>
        </w:rPr>
        <w:t xml:space="preserve"> explain the</w:t>
      </w:r>
      <w:r w:rsidR="003127DB">
        <w:rPr>
          <w:rFonts w:ascii="Times New Roman" w:hAnsi="Times New Roman" w:cs="Times New Roman"/>
          <w:sz w:val="20"/>
          <w:szCs w:val="20"/>
        </w:rPr>
        <w:t xml:space="preserve"> conditional</w:t>
      </w:r>
      <w:r w:rsidR="003127DB" w:rsidRPr="003127DB">
        <w:rPr>
          <w:rFonts w:ascii="Times New Roman" w:hAnsi="Times New Roman" w:cs="Times New Roman"/>
          <w:sz w:val="20"/>
          <w:szCs w:val="20"/>
        </w:rPr>
        <w:t xml:space="preserve"> marginal effects of each independent variable on frequency of follow up</w:t>
      </w:r>
      <w:r w:rsidR="003127DB">
        <w:rPr>
          <w:rFonts w:ascii="Times New Roman" w:hAnsi="Times New Roman" w:cs="Times New Roman"/>
          <w:sz w:val="20"/>
          <w:szCs w:val="20"/>
        </w:rPr>
        <w:t xml:space="preserve"> at the mean. </w:t>
      </w:r>
    </w:p>
    <w:p w:rsidR="00A04D13" w:rsidRDefault="00A04D13">
      <w:bookmarkStart w:id="0" w:name="_GoBack"/>
      <w:bookmarkEnd w:id="0"/>
    </w:p>
    <w:sectPr w:rsidR="00A04D13" w:rsidSect="00F46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B37E3"/>
    <w:rsid w:val="003127DB"/>
    <w:rsid w:val="00502533"/>
    <w:rsid w:val="00A04D13"/>
    <w:rsid w:val="00F460DA"/>
    <w:rsid w:val="00FB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7E3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uiPriority w:val="41"/>
    <w:rsid w:val="00FB37E3"/>
    <w:pPr>
      <w:spacing w:after="0" w:line="240" w:lineRule="auto"/>
    </w:pPr>
    <w:rPr>
      <w:szCs w:val="20"/>
      <w:lang w:bidi="mr-I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Kirby, Ann</dc:creator>
  <cp:lastModifiedBy>Ann Kirby</cp:lastModifiedBy>
  <cp:revision>3</cp:revision>
  <dcterms:created xsi:type="dcterms:W3CDTF">2019-03-12T14:42:00Z</dcterms:created>
  <dcterms:modified xsi:type="dcterms:W3CDTF">2019-03-12T14:43:00Z</dcterms:modified>
</cp:coreProperties>
</file>