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E6822" w14:textId="271466A0" w:rsidR="00316DD7" w:rsidRPr="004E7FF8" w:rsidRDefault="00316DD7" w:rsidP="00316DD7">
      <w:pPr>
        <w:rPr>
          <w:rFonts w:ascii="Calibri" w:hAnsi="Calibri" w:cs="Calibri"/>
          <w:sz w:val="24"/>
          <w:szCs w:val="24"/>
          <w:lang w:val="en-GB"/>
        </w:rPr>
      </w:pPr>
      <w:r w:rsidRPr="004E7FF8">
        <w:rPr>
          <w:rFonts w:ascii="Calibri" w:hAnsi="Calibri" w:cs="Calibri"/>
          <w:sz w:val="24"/>
          <w:szCs w:val="24"/>
          <w:lang w:val="en-GB"/>
        </w:rPr>
        <w:t xml:space="preserve">Supplementary </w:t>
      </w:r>
      <w:r w:rsidR="003105AF">
        <w:rPr>
          <w:rFonts w:ascii="Calibri" w:hAnsi="Calibri" w:cs="Calibri"/>
          <w:sz w:val="24"/>
          <w:szCs w:val="24"/>
          <w:lang w:val="en-GB"/>
        </w:rPr>
        <w:t>Material</w:t>
      </w:r>
    </w:p>
    <w:p w14:paraId="22A1CDC4" w14:textId="77777777" w:rsidR="00316DD7" w:rsidRPr="004E7FF8" w:rsidRDefault="00316DD7" w:rsidP="00316DD7">
      <w:pPr>
        <w:rPr>
          <w:rFonts w:ascii="Calibri" w:hAnsi="Calibri" w:cs="Calibri"/>
          <w:b/>
          <w:bCs/>
          <w:sz w:val="36"/>
          <w:szCs w:val="36"/>
          <w:lang w:val="en-GB"/>
        </w:rPr>
      </w:pPr>
    </w:p>
    <w:p w14:paraId="6DC70FEA" w14:textId="36983330" w:rsidR="009B1C2A" w:rsidRPr="003A5C35" w:rsidRDefault="009B1C2A" w:rsidP="009B1C2A">
      <w:pPr>
        <w:jc w:val="center"/>
        <w:rPr>
          <w:b/>
          <w:bCs/>
          <w:sz w:val="40"/>
          <w:szCs w:val="40"/>
          <w:lang w:val="en-US"/>
        </w:rPr>
      </w:pPr>
      <w:bookmarkStart w:id="0" w:name="_Hlk160545583"/>
      <w:r w:rsidRPr="001678A1">
        <w:rPr>
          <w:b/>
          <w:bCs/>
          <w:sz w:val="40"/>
          <w:szCs w:val="40"/>
          <w:lang w:val="en-US"/>
        </w:rPr>
        <w:t>ReS</w:t>
      </w:r>
      <w:r w:rsidRPr="001678A1">
        <w:rPr>
          <w:b/>
          <w:bCs/>
          <w:sz w:val="40"/>
          <w:szCs w:val="40"/>
          <w:vertAlign w:val="subscript"/>
          <w:lang w:val="en-US"/>
        </w:rPr>
        <w:t>2</w:t>
      </w:r>
      <w:r w:rsidRPr="001678A1">
        <w:rPr>
          <w:b/>
          <w:bCs/>
          <w:sz w:val="40"/>
          <w:szCs w:val="40"/>
          <w:lang w:val="en-US"/>
        </w:rPr>
        <w:t xml:space="preserve">/Si 2D/3D vertical heterojunction </w:t>
      </w:r>
      <w:r w:rsidRPr="003A5C35">
        <w:rPr>
          <w:b/>
          <w:bCs/>
          <w:sz w:val="40"/>
          <w:szCs w:val="40"/>
          <w:lang w:val="en-US"/>
        </w:rPr>
        <w:t>as a Self-Powered Photodiode</w:t>
      </w:r>
    </w:p>
    <w:p w14:paraId="00905B63" w14:textId="6E2CAE98" w:rsidR="000E4C7F" w:rsidRPr="000E4C7F" w:rsidRDefault="000E4C7F" w:rsidP="000E4C7F">
      <w:pPr>
        <w:rPr>
          <w:rFonts w:ascii="Calibri" w:hAnsi="Calibri" w:cs="Calibri"/>
          <w:sz w:val="24"/>
          <w:szCs w:val="24"/>
          <w:vertAlign w:val="superscript"/>
        </w:rPr>
      </w:pPr>
      <w:r w:rsidRPr="000E4C7F">
        <w:rPr>
          <w:rFonts w:ascii="Calibri" w:hAnsi="Calibri" w:cs="Calibri"/>
          <w:sz w:val="24"/>
          <w:szCs w:val="24"/>
        </w:rPr>
        <w:t>Kimberly Intonti</w:t>
      </w:r>
      <w:r w:rsidRPr="000E4C7F">
        <w:rPr>
          <w:rFonts w:ascii="Calibri" w:hAnsi="Calibri" w:cs="Calibri"/>
          <w:sz w:val="24"/>
          <w:szCs w:val="24"/>
          <w:vertAlign w:val="superscript"/>
        </w:rPr>
        <w:t>1,2*</w:t>
      </w:r>
      <w:r w:rsidRPr="000E4C7F">
        <w:rPr>
          <w:rFonts w:ascii="Calibri" w:hAnsi="Calibri" w:cs="Calibri"/>
          <w:sz w:val="24"/>
          <w:szCs w:val="24"/>
        </w:rPr>
        <w:t>, Aniello Pelella</w:t>
      </w:r>
      <w:r w:rsidRPr="000E4C7F">
        <w:rPr>
          <w:rFonts w:ascii="Calibri" w:hAnsi="Calibri" w:cs="Calibri"/>
          <w:sz w:val="24"/>
          <w:szCs w:val="24"/>
          <w:vertAlign w:val="superscript"/>
        </w:rPr>
        <w:t>3</w:t>
      </w:r>
      <w:r w:rsidRPr="000E4C7F">
        <w:rPr>
          <w:rFonts w:ascii="Calibri" w:hAnsi="Calibri" w:cs="Calibri"/>
          <w:sz w:val="24"/>
          <w:szCs w:val="24"/>
        </w:rPr>
        <w:t>, Hazel Neill</w:t>
      </w:r>
      <w:r w:rsidRPr="000E4C7F">
        <w:rPr>
          <w:rFonts w:ascii="Calibri" w:hAnsi="Calibri" w:cs="Calibri"/>
          <w:sz w:val="24"/>
          <w:szCs w:val="24"/>
          <w:vertAlign w:val="superscript"/>
        </w:rPr>
        <w:t>4</w:t>
      </w:r>
      <w:r w:rsidRPr="000E4C7F">
        <w:rPr>
          <w:rFonts w:ascii="Calibri" w:hAnsi="Calibri" w:cs="Calibri"/>
          <w:sz w:val="24"/>
          <w:szCs w:val="24"/>
        </w:rPr>
        <w:t>, Vilas Patil</w:t>
      </w:r>
      <w:r w:rsidRPr="000E4C7F">
        <w:rPr>
          <w:rFonts w:ascii="Calibri" w:hAnsi="Calibri" w:cs="Calibri"/>
          <w:sz w:val="24"/>
          <w:szCs w:val="24"/>
          <w:vertAlign w:val="superscript"/>
        </w:rPr>
        <w:t>4</w:t>
      </w:r>
      <w:r w:rsidRPr="000E4C7F">
        <w:rPr>
          <w:rFonts w:ascii="Calibri" w:hAnsi="Calibri" w:cs="Calibri"/>
          <w:sz w:val="24"/>
          <w:szCs w:val="24"/>
        </w:rPr>
        <w:t>, Paul K. Hurley</w:t>
      </w:r>
      <w:r w:rsidRPr="000E4C7F">
        <w:rPr>
          <w:rFonts w:ascii="Calibri" w:hAnsi="Calibri" w:cs="Calibri"/>
          <w:sz w:val="24"/>
          <w:szCs w:val="24"/>
          <w:vertAlign w:val="superscript"/>
        </w:rPr>
        <w:t>4</w:t>
      </w:r>
      <w:r w:rsidR="00DB2844">
        <w:rPr>
          <w:rFonts w:ascii="Calibri" w:hAnsi="Calibri" w:cs="Calibri"/>
          <w:sz w:val="24"/>
          <w:szCs w:val="24"/>
          <w:vertAlign w:val="superscript"/>
        </w:rPr>
        <w:t>,</w:t>
      </w:r>
      <w:r w:rsidRPr="000E4C7F">
        <w:rPr>
          <w:rFonts w:ascii="Calibri" w:hAnsi="Calibri" w:cs="Calibri"/>
          <w:sz w:val="24"/>
          <w:szCs w:val="24"/>
          <w:vertAlign w:val="superscript"/>
        </w:rPr>
        <w:t>5</w:t>
      </w:r>
      <w:r w:rsidRPr="000E4C7F">
        <w:rPr>
          <w:rFonts w:ascii="Calibri" w:hAnsi="Calibri" w:cs="Calibri"/>
          <w:sz w:val="24"/>
          <w:szCs w:val="24"/>
        </w:rPr>
        <w:t xml:space="preserve">, </w:t>
      </w:r>
      <w:r w:rsidR="00DB2844" w:rsidRPr="005E1558">
        <w:rPr>
          <w:rFonts w:ascii="Calibri" w:hAnsi="Calibri" w:cs="Calibri"/>
          <w:sz w:val="24"/>
          <w:szCs w:val="24"/>
        </w:rPr>
        <w:t>Lida Ansari</w:t>
      </w:r>
      <w:r w:rsidR="00DB2844" w:rsidRPr="005E1558">
        <w:rPr>
          <w:rFonts w:ascii="Calibri" w:hAnsi="Calibri" w:cs="Calibri"/>
          <w:sz w:val="24"/>
          <w:szCs w:val="24"/>
          <w:vertAlign w:val="superscript"/>
        </w:rPr>
        <w:t>4</w:t>
      </w:r>
      <w:r w:rsidR="00DB2844">
        <w:rPr>
          <w:sz w:val="24"/>
          <w:szCs w:val="24"/>
        </w:rPr>
        <w:t xml:space="preserve">, </w:t>
      </w:r>
      <w:r w:rsidRPr="000E4C7F">
        <w:rPr>
          <w:rFonts w:ascii="Calibri" w:hAnsi="Calibri" w:cs="Calibri"/>
          <w:sz w:val="24"/>
          <w:szCs w:val="24"/>
        </w:rPr>
        <w:t>Farzan Gity</w:t>
      </w:r>
      <w:r w:rsidR="00B30490">
        <w:rPr>
          <w:rFonts w:ascii="Calibri" w:hAnsi="Calibri" w:cs="Calibri"/>
          <w:sz w:val="24"/>
          <w:szCs w:val="24"/>
          <w:vertAlign w:val="superscript"/>
        </w:rPr>
        <w:t>4</w:t>
      </w:r>
      <w:r w:rsidRPr="000E4C7F">
        <w:rPr>
          <w:rFonts w:ascii="Calibri" w:hAnsi="Calibri" w:cs="Calibri"/>
          <w:sz w:val="24"/>
          <w:szCs w:val="24"/>
          <w:vertAlign w:val="superscript"/>
        </w:rPr>
        <w:t>*</w:t>
      </w:r>
      <w:r w:rsidRPr="000E4C7F">
        <w:rPr>
          <w:rFonts w:ascii="Calibri" w:hAnsi="Calibri" w:cs="Calibri"/>
          <w:sz w:val="24"/>
          <w:szCs w:val="24"/>
        </w:rPr>
        <w:t>, and Antonio Di Bartolomeo</w:t>
      </w:r>
      <w:r w:rsidRPr="000E4C7F">
        <w:rPr>
          <w:rFonts w:ascii="Calibri" w:hAnsi="Calibri" w:cs="Calibri"/>
          <w:sz w:val="24"/>
          <w:szCs w:val="24"/>
          <w:vertAlign w:val="superscript"/>
        </w:rPr>
        <w:t>1,2,</w:t>
      </w:r>
    </w:p>
    <w:p w14:paraId="3D0E9D50" w14:textId="77777777" w:rsidR="000E4C7F" w:rsidRPr="000E4C7F" w:rsidRDefault="000E4C7F" w:rsidP="000E4C7F">
      <w:pPr>
        <w:jc w:val="both"/>
        <w:rPr>
          <w:rFonts w:ascii="Calibri" w:hAnsi="Calibri" w:cs="Calibri"/>
          <w:i/>
          <w:iCs/>
          <w:sz w:val="20"/>
          <w:szCs w:val="20"/>
        </w:rPr>
      </w:pPr>
      <w:r w:rsidRPr="000E4C7F">
        <w:rPr>
          <w:rFonts w:ascii="Calibri" w:hAnsi="Calibri" w:cs="Calibri"/>
          <w:i/>
          <w:iCs/>
          <w:sz w:val="20"/>
          <w:szCs w:val="20"/>
          <w:vertAlign w:val="superscript"/>
        </w:rPr>
        <w:t>1</w:t>
      </w:r>
      <w:r w:rsidRPr="000E4C7F">
        <w:rPr>
          <w:rFonts w:ascii="Calibri" w:hAnsi="Calibri" w:cs="Calibri"/>
          <w:i/>
          <w:iCs/>
          <w:sz w:val="20"/>
          <w:szCs w:val="20"/>
        </w:rPr>
        <w:t>Department of Physics “E. R. Caianiello”, University of Salerno, via Giovanni Paolo II, Fisciano, Salerno, 84084, Italy</w:t>
      </w:r>
    </w:p>
    <w:p w14:paraId="74B5DEB0" w14:textId="77777777" w:rsidR="000E4C7F" w:rsidRPr="000E4C7F" w:rsidRDefault="000E4C7F" w:rsidP="000E4C7F">
      <w:pPr>
        <w:jc w:val="both"/>
        <w:rPr>
          <w:rFonts w:ascii="Calibri" w:hAnsi="Calibri" w:cs="Calibri"/>
          <w:i/>
          <w:iCs/>
          <w:sz w:val="20"/>
          <w:szCs w:val="20"/>
        </w:rPr>
      </w:pPr>
      <w:r w:rsidRPr="000E4C7F">
        <w:rPr>
          <w:rFonts w:ascii="Calibri" w:hAnsi="Calibri" w:cs="Calibri"/>
          <w:i/>
          <w:iCs/>
          <w:sz w:val="20"/>
          <w:szCs w:val="20"/>
          <w:vertAlign w:val="superscript"/>
        </w:rPr>
        <w:t>2</w:t>
      </w:r>
      <w:r w:rsidRPr="000E4C7F">
        <w:rPr>
          <w:rFonts w:ascii="Calibri" w:hAnsi="Calibri" w:cs="Calibri"/>
          <w:i/>
          <w:iCs/>
          <w:sz w:val="20"/>
          <w:szCs w:val="20"/>
        </w:rPr>
        <w:t>CNR-SPIN Salerno, via Giovanni Paolo II, Fisciano, 84084, Italy</w:t>
      </w:r>
    </w:p>
    <w:p w14:paraId="002CF62F" w14:textId="77777777" w:rsidR="000E4C7F" w:rsidRPr="000E4C7F" w:rsidRDefault="000E4C7F" w:rsidP="000E4C7F">
      <w:pPr>
        <w:jc w:val="both"/>
        <w:rPr>
          <w:rFonts w:ascii="Calibri" w:hAnsi="Calibri" w:cs="Calibri"/>
          <w:i/>
          <w:iCs/>
          <w:sz w:val="20"/>
          <w:szCs w:val="20"/>
          <w:lang w:val="en-GB"/>
        </w:rPr>
      </w:pPr>
      <w:r w:rsidRPr="000E4C7F">
        <w:rPr>
          <w:rFonts w:ascii="Calibri" w:hAnsi="Calibri" w:cs="Calibri"/>
          <w:i/>
          <w:iCs/>
          <w:sz w:val="20"/>
          <w:szCs w:val="20"/>
          <w:vertAlign w:val="superscript"/>
          <w:lang w:val="en-GB"/>
        </w:rPr>
        <w:t>3</w:t>
      </w:r>
      <w:r w:rsidRPr="000E4C7F">
        <w:rPr>
          <w:rFonts w:ascii="Calibri" w:hAnsi="Calibri" w:cs="Calibri"/>
          <w:i/>
          <w:iCs/>
          <w:sz w:val="20"/>
          <w:szCs w:val="20"/>
          <w:lang w:val="en-GB"/>
        </w:rPr>
        <w:t xml:space="preserve">Department of Physics, University of Roma “Tor </w:t>
      </w:r>
      <w:proofErr w:type="spellStart"/>
      <w:r w:rsidRPr="000E4C7F">
        <w:rPr>
          <w:rFonts w:ascii="Calibri" w:hAnsi="Calibri" w:cs="Calibri"/>
          <w:i/>
          <w:iCs/>
          <w:sz w:val="20"/>
          <w:szCs w:val="20"/>
          <w:lang w:val="en-GB"/>
        </w:rPr>
        <w:t>Vergata</w:t>
      </w:r>
      <w:proofErr w:type="spellEnd"/>
      <w:r w:rsidRPr="000E4C7F">
        <w:rPr>
          <w:rFonts w:ascii="Calibri" w:hAnsi="Calibri" w:cs="Calibri"/>
          <w:i/>
          <w:iCs/>
          <w:sz w:val="20"/>
          <w:szCs w:val="20"/>
          <w:lang w:val="en-GB"/>
        </w:rPr>
        <w:t xml:space="preserve">”, Via Della </w:t>
      </w:r>
      <w:proofErr w:type="spellStart"/>
      <w:r w:rsidRPr="000E4C7F">
        <w:rPr>
          <w:rFonts w:ascii="Calibri" w:hAnsi="Calibri" w:cs="Calibri"/>
          <w:i/>
          <w:iCs/>
          <w:sz w:val="20"/>
          <w:szCs w:val="20"/>
          <w:lang w:val="en-GB"/>
        </w:rPr>
        <w:t>Ricerca</w:t>
      </w:r>
      <w:proofErr w:type="spellEnd"/>
      <w:r w:rsidRPr="000E4C7F">
        <w:rPr>
          <w:rFonts w:ascii="Calibri" w:hAnsi="Calibri" w:cs="Calibri"/>
          <w:i/>
          <w:iCs/>
          <w:sz w:val="20"/>
          <w:szCs w:val="20"/>
          <w:lang w:val="en-GB"/>
        </w:rPr>
        <w:t xml:space="preserve"> </w:t>
      </w:r>
      <w:proofErr w:type="spellStart"/>
      <w:r w:rsidRPr="000E4C7F">
        <w:rPr>
          <w:rFonts w:ascii="Calibri" w:hAnsi="Calibri" w:cs="Calibri"/>
          <w:i/>
          <w:iCs/>
          <w:sz w:val="20"/>
          <w:szCs w:val="20"/>
          <w:lang w:val="en-GB"/>
        </w:rPr>
        <w:t>Scientifica</w:t>
      </w:r>
      <w:proofErr w:type="spellEnd"/>
      <w:r w:rsidRPr="000E4C7F">
        <w:rPr>
          <w:rFonts w:ascii="Calibri" w:hAnsi="Calibri" w:cs="Calibri"/>
          <w:i/>
          <w:iCs/>
          <w:sz w:val="20"/>
          <w:szCs w:val="20"/>
          <w:lang w:val="en-GB"/>
        </w:rPr>
        <w:t>, 1 - 00133, Rome, Italy</w:t>
      </w:r>
    </w:p>
    <w:p w14:paraId="57ED2072" w14:textId="77777777" w:rsidR="000E4C7F" w:rsidRPr="000E4C7F" w:rsidRDefault="000E4C7F" w:rsidP="000E4C7F">
      <w:pPr>
        <w:jc w:val="both"/>
        <w:rPr>
          <w:rFonts w:ascii="Calibri" w:hAnsi="Calibri" w:cs="Calibri"/>
          <w:i/>
          <w:iCs/>
          <w:sz w:val="20"/>
          <w:szCs w:val="20"/>
          <w:lang w:val="en-GB"/>
        </w:rPr>
      </w:pPr>
      <w:r w:rsidRPr="000E4C7F">
        <w:rPr>
          <w:rFonts w:ascii="Calibri" w:hAnsi="Calibri" w:cs="Calibri"/>
          <w:i/>
          <w:iCs/>
          <w:sz w:val="20"/>
          <w:szCs w:val="20"/>
          <w:vertAlign w:val="superscript"/>
          <w:lang w:val="en-GB"/>
        </w:rPr>
        <w:t>4</w:t>
      </w:r>
      <w:r w:rsidRPr="000E4C7F">
        <w:rPr>
          <w:rFonts w:ascii="Calibri" w:hAnsi="Calibri" w:cs="Calibri"/>
          <w:i/>
          <w:iCs/>
          <w:sz w:val="20"/>
          <w:szCs w:val="20"/>
          <w:lang w:val="en-GB"/>
        </w:rPr>
        <w:t xml:space="preserve">Tyndall National Institute, </w:t>
      </w:r>
      <w:r w:rsidRPr="000E4C7F">
        <w:rPr>
          <w:rFonts w:ascii="Calibri" w:hAnsi="Calibri" w:cs="Calibri"/>
          <w:i/>
          <w:iCs/>
          <w:kern w:val="0"/>
          <w:sz w:val="20"/>
          <w:szCs w:val="20"/>
          <w:lang w:val="en-GB"/>
          <w14:ligatures w14:val="none"/>
        </w:rPr>
        <w:t xml:space="preserve">University College Cork, </w:t>
      </w:r>
      <w:r w:rsidRPr="000E4C7F">
        <w:rPr>
          <w:rFonts w:ascii="Calibri" w:hAnsi="Calibri" w:cs="Calibri"/>
          <w:i/>
          <w:iCs/>
          <w:sz w:val="20"/>
          <w:szCs w:val="20"/>
          <w:lang w:val="en-GB"/>
        </w:rPr>
        <w:t>Lee Maltings, Dyke Parade, Cork, T12 R5CP, Ireland</w:t>
      </w:r>
    </w:p>
    <w:p w14:paraId="360D6B24" w14:textId="578E3402" w:rsidR="000E4C7F" w:rsidRPr="000E4C7F" w:rsidRDefault="000E4C7F" w:rsidP="000E4C7F">
      <w:pPr>
        <w:jc w:val="both"/>
        <w:rPr>
          <w:rFonts w:ascii="Calibri" w:hAnsi="Calibri" w:cs="Calibri"/>
          <w:i/>
          <w:iCs/>
          <w:sz w:val="20"/>
          <w:szCs w:val="20"/>
          <w:lang w:val="en-US"/>
        </w:rPr>
      </w:pPr>
      <w:r w:rsidRPr="000E4C7F">
        <w:rPr>
          <w:rFonts w:ascii="Calibri" w:hAnsi="Calibri" w:cs="Calibri"/>
          <w:i/>
          <w:iCs/>
          <w:sz w:val="20"/>
          <w:szCs w:val="20"/>
          <w:vertAlign w:val="superscript"/>
          <w:lang w:val="en-GB"/>
        </w:rPr>
        <w:t>5</w:t>
      </w:r>
      <w:r w:rsidRPr="000E4C7F">
        <w:rPr>
          <w:rFonts w:ascii="Calibri" w:hAnsi="Calibri" w:cs="Calibri"/>
          <w:i/>
          <w:iCs/>
          <w:sz w:val="20"/>
          <w:szCs w:val="20"/>
          <w:lang w:val="en-US"/>
        </w:rPr>
        <w:t>School of Chemistry, University College Cork, Cork, Ireland</w:t>
      </w:r>
    </w:p>
    <w:bookmarkEnd w:id="0"/>
    <w:p w14:paraId="5BF5BEF2" w14:textId="4ABE3F05" w:rsidR="00316DD7" w:rsidRPr="004E7FF8" w:rsidRDefault="00316DD7" w:rsidP="00316DD7">
      <w:pPr>
        <w:rPr>
          <w:rFonts w:ascii="Calibri" w:hAnsi="Calibri" w:cs="Calibri"/>
          <w:lang w:val="en-GB"/>
        </w:rPr>
      </w:pPr>
    </w:p>
    <w:p w14:paraId="5B35A0DF" w14:textId="146132DE" w:rsidR="009B1C2A" w:rsidRDefault="009B1C2A" w:rsidP="00081979">
      <w:pPr>
        <w:pStyle w:val="Paragrafoelenco"/>
        <w:numPr>
          <w:ilvl w:val="0"/>
          <w:numId w:val="1"/>
        </w:numPr>
        <w:rPr>
          <w:rFonts w:ascii="Calibri" w:hAnsi="Calibri" w:cs="Calibri"/>
          <w:b/>
          <w:bCs/>
          <w:sz w:val="24"/>
          <w:szCs w:val="24"/>
          <w:lang w:val="en-GB"/>
        </w:rPr>
      </w:pPr>
      <w:r>
        <w:rPr>
          <w:rFonts w:ascii="Calibri" w:hAnsi="Calibri" w:cs="Calibri"/>
          <w:b/>
          <w:bCs/>
          <w:sz w:val="24"/>
          <w:szCs w:val="24"/>
          <w:lang w:val="en-GB"/>
        </w:rPr>
        <w:t xml:space="preserve">Current-voltage </w:t>
      </w:r>
      <w:r w:rsidR="006932F7">
        <w:rPr>
          <w:rFonts w:ascii="Calibri" w:hAnsi="Calibri" w:cs="Calibri"/>
          <w:b/>
          <w:bCs/>
          <w:sz w:val="24"/>
          <w:szCs w:val="24"/>
          <w:lang w:val="en-GB"/>
        </w:rPr>
        <w:t xml:space="preserve">I-V </w:t>
      </w:r>
      <w:r>
        <w:rPr>
          <w:rFonts w:ascii="Calibri" w:hAnsi="Calibri" w:cs="Calibri"/>
          <w:b/>
          <w:bCs/>
          <w:sz w:val="24"/>
          <w:szCs w:val="24"/>
          <w:lang w:val="en-GB"/>
        </w:rPr>
        <w:t xml:space="preserve">characteristic </w:t>
      </w:r>
      <w:r w:rsidR="005448C3">
        <w:rPr>
          <w:rFonts w:ascii="Calibri" w:hAnsi="Calibri" w:cs="Calibri"/>
          <w:b/>
          <w:bCs/>
          <w:sz w:val="24"/>
          <w:szCs w:val="24"/>
          <w:lang w:val="en-GB"/>
        </w:rPr>
        <w:t>of Ni/ReS</w:t>
      </w:r>
      <w:r w:rsidR="005448C3" w:rsidRPr="009B1C2A">
        <w:rPr>
          <w:rFonts w:ascii="Calibri" w:hAnsi="Calibri" w:cs="Calibri"/>
          <w:b/>
          <w:bCs/>
          <w:sz w:val="24"/>
          <w:szCs w:val="24"/>
          <w:vertAlign w:val="subscript"/>
          <w:lang w:val="en-GB"/>
        </w:rPr>
        <w:t>2</w:t>
      </w:r>
      <w:r w:rsidR="005448C3">
        <w:rPr>
          <w:rFonts w:ascii="Calibri" w:hAnsi="Calibri" w:cs="Calibri"/>
          <w:b/>
          <w:bCs/>
          <w:sz w:val="24"/>
          <w:szCs w:val="24"/>
          <w:lang w:val="en-GB"/>
        </w:rPr>
        <w:t>/Ni structure</w:t>
      </w:r>
    </w:p>
    <w:p w14:paraId="49431BA4" w14:textId="05B02AC7" w:rsidR="009B1C2A" w:rsidRDefault="009B1C2A" w:rsidP="009B1C2A">
      <w:pPr>
        <w:pStyle w:val="Paragrafoelenco"/>
        <w:jc w:val="center"/>
        <w:rPr>
          <w:rFonts w:ascii="Calibri" w:hAnsi="Calibri" w:cs="Calibri"/>
          <w:b/>
          <w:bCs/>
          <w:sz w:val="24"/>
          <w:szCs w:val="24"/>
          <w:lang w:val="en-GB"/>
        </w:rPr>
      </w:pPr>
      <w:r>
        <w:rPr>
          <w:rFonts w:ascii="Calibri" w:hAnsi="Calibri" w:cs="Calibri"/>
          <w:b/>
          <w:bCs/>
          <w:noProof/>
          <w:sz w:val="24"/>
          <w:szCs w:val="24"/>
          <w:lang w:val="en-GB" w:eastAsia="en-GB"/>
        </w:rPr>
        <w:drawing>
          <wp:inline distT="0" distB="0" distL="0" distR="0" wp14:anchorId="5265CA9D" wp14:editId="6F5A0CC9">
            <wp:extent cx="2880000" cy="2203788"/>
            <wp:effectExtent l="0" t="0" r="0" b="6350"/>
            <wp:docPr id="849126542" name="Immagine 1" descr="Immagine che contiene testo, schermat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126542" name="Immagine 1" descr="Immagine che contiene testo, schermata, diagramma, Diagramma&#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0000" cy="2203788"/>
                    </a:xfrm>
                    <a:prstGeom prst="rect">
                      <a:avLst/>
                    </a:prstGeom>
                  </pic:spPr>
                </pic:pic>
              </a:graphicData>
            </a:graphic>
          </wp:inline>
        </w:drawing>
      </w:r>
    </w:p>
    <w:p w14:paraId="6F6CE573" w14:textId="02B3069B" w:rsidR="009B1C2A" w:rsidRPr="00EE1419" w:rsidRDefault="009B1C2A" w:rsidP="00653350">
      <w:pPr>
        <w:jc w:val="both"/>
        <w:rPr>
          <w:rFonts w:ascii="Calibri" w:hAnsi="Calibri" w:cs="Calibri"/>
          <w:lang w:val="en-GB"/>
        </w:rPr>
      </w:pPr>
      <w:r w:rsidRPr="00692B23">
        <w:rPr>
          <w:rFonts w:ascii="Calibri" w:hAnsi="Calibri" w:cs="Calibri"/>
          <w:b/>
          <w:bCs/>
          <w:lang w:val="en-GB"/>
        </w:rPr>
        <w:t xml:space="preserve">Figure S.1. </w:t>
      </w:r>
      <w:r>
        <w:rPr>
          <w:rFonts w:ascii="Calibri" w:hAnsi="Calibri" w:cs="Calibri"/>
          <w:lang w:val="en-GB"/>
        </w:rPr>
        <w:t>The I-V curve shows the drain current (I) vs the source-drain voltage (V)</w:t>
      </w:r>
      <w:r w:rsidR="005448C3">
        <w:rPr>
          <w:rFonts w:ascii="Calibri" w:hAnsi="Calibri" w:cs="Calibri"/>
          <w:lang w:val="en-GB"/>
        </w:rPr>
        <w:t>,</w:t>
      </w:r>
      <w:r w:rsidR="00EE1419">
        <w:rPr>
          <w:rFonts w:ascii="Calibri" w:hAnsi="Calibri" w:cs="Calibri"/>
          <w:lang w:val="en-GB"/>
        </w:rPr>
        <w:t xml:space="preserve"> </w:t>
      </w:r>
      <w:proofErr w:type="gramStart"/>
      <w:r w:rsidR="00EE1419">
        <w:rPr>
          <w:rFonts w:ascii="Calibri" w:hAnsi="Calibri" w:cs="Calibri"/>
          <w:lang w:val="en-GB"/>
        </w:rPr>
        <w:t xml:space="preserve">at zero gate </w:t>
      </w:r>
      <w:r w:rsidR="00EE1419" w:rsidRPr="00EE1419">
        <w:rPr>
          <w:rFonts w:ascii="Calibri" w:hAnsi="Calibri" w:cs="Calibri"/>
          <w:lang w:val="en-GB"/>
        </w:rPr>
        <w:t>bias</w:t>
      </w:r>
      <w:r w:rsidR="00EE1419">
        <w:rPr>
          <w:rFonts w:ascii="Calibri" w:hAnsi="Calibri" w:cs="Calibri"/>
          <w:lang w:val="en-GB"/>
        </w:rPr>
        <w:t>,</w:t>
      </w:r>
      <w:proofErr w:type="gramEnd"/>
      <w:r w:rsidR="001D7677" w:rsidRPr="00EE1419">
        <w:rPr>
          <w:rFonts w:ascii="Calibri" w:hAnsi="Calibri" w:cs="Calibri"/>
          <w:lang w:val="en-US"/>
        </w:rPr>
        <w:t xml:space="preserve"> </w:t>
      </w:r>
      <w:r w:rsidR="007B4281" w:rsidRPr="00EE1419">
        <w:rPr>
          <w:rFonts w:ascii="Calibri" w:hAnsi="Calibri" w:cs="Calibri"/>
          <w:lang w:val="en-US"/>
        </w:rPr>
        <w:t xml:space="preserve">of the </w:t>
      </w:r>
      <w:r w:rsidR="001D7677" w:rsidRPr="00EE1419">
        <w:rPr>
          <w:rFonts w:ascii="Calibri" w:hAnsi="Calibri" w:cs="Calibri"/>
          <w:lang w:val="en-GB"/>
        </w:rPr>
        <w:t>Ni/ReS</w:t>
      </w:r>
      <w:r w:rsidR="001D7677" w:rsidRPr="00EE1419">
        <w:rPr>
          <w:rFonts w:ascii="Calibri" w:hAnsi="Calibri" w:cs="Calibri"/>
          <w:vertAlign w:val="subscript"/>
          <w:lang w:val="en-GB"/>
        </w:rPr>
        <w:t>2</w:t>
      </w:r>
      <w:r w:rsidR="001D7677" w:rsidRPr="00EE1419">
        <w:rPr>
          <w:rFonts w:ascii="Calibri" w:hAnsi="Calibri" w:cs="Calibri"/>
          <w:lang w:val="en-GB"/>
        </w:rPr>
        <w:t>/Ni structure</w:t>
      </w:r>
      <w:r w:rsidRPr="00EE1419">
        <w:rPr>
          <w:rFonts w:ascii="Calibri" w:hAnsi="Calibri" w:cs="Calibri"/>
          <w:lang w:val="en-GB"/>
        </w:rPr>
        <w:t xml:space="preserve">. </w:t>
      </w:r>
    </w:p>
    <w:p w14:paraId="6F85CDB0" w14:textId="19B3989E" w:rsidR="009B1C2A" w:rsidRPr="00653350" w:rsidRDefault="009B1C2A" w:rsidP="00653350">
      <w:pPr>
        <w:jc w:val="both"/>
        <w:rPr>
          <w:rFonts w:ascii="Calibri" w:hAnsi="Calibri" w:cs="Calibri"/>
          <w:sz w:val="24"/>
          <w:szCs w:val="24"/>
          <w:lang w:val="en-GB"/>
        </w:rPr>
      </w:pPr>
      <w:r w:rsidRPr="00653350">
        <w:rPr>
          <w:rFonts w:ascii="Calibri" w:hAnsi="Calibri" w:cs="Calibri"/>
          <w:sz w:val="24"/>
          <w:szCs w:val="24"/>
          <w:lang w:val="en-GB"/>
        </w:rPr>
        <w:t xml:space="preserve">The nearly linear behaviour of the I-V characteristic acquired in the transistor configuration represented in Figure </w:t>
      </w:r>
      <w:r w:rsidR="00653350">
        <w:rPr>
          <w:rFonts w:ascii="Calibri" w:hAnsi="Calibri" w:cs="Calibri"/>
          <w:sz w:val="24"/>
          <w:szCs w:val="24"/>
          <w:lang w:val="en-GB"/>
        </w:rPr>
        <w:t>S.</w:t>
      </w:r>
      <w:r w:rsidRPr="00653350">
        <w:rPr>
          <w:rFonts w:ascii="Calibri" w:hAnsi="Calibri" w:cs="Calibri"/>
          <w:sz w:val="24"/>
          <w:szCs w:val="24"/>
          <w:lang w:val="en-GB"/>
        </w:rPr>
        <w:t xml:space="preserve">1 </w:t>
      </w:r>
      <w:r w:rsidR="007B4281">
        <w:rPr>
          <w:rFonts w:ascii="Calibri" w:hAnsi="Calibri" w:cs="Calibri"/>
          <w:sz w:val="24"/>
          <w:szCs w:val="24"/>
          <w:lang w:val="en-GB"/>
        </w:rPr>
        <w:t xml:space="preserve">confirms a </w:t>
      </w:r>
      <w:r w:rsidR="0066379A">
        <w:rPr>
          <w:rFonts w:ascii="Calibri" w:hAnsi="Calibri" w:cs="Calibri"/>
          <w:sz w:val="24"/>
          <w:szCs w:val="24"/>
          <w:lang w:val="en-GB"/>
        </w:rPr>
        <w:t>nearly</w:t>
      </w:r>
      <w:r w:rsidRPr="00653350">
        <w:rPr>
          <w:rFonts w:ascii="Calibri" w:hAnsi="Calibri" w:cs="Calibri"/>
          <w:sz w:val="24"/>
          <w:szCs w:val="24"/>
          <w:lang w:val="en-GB"/>
        </w:rPr>
        <w:t xml:space="preserve"> ohmic behaviour of Au/Ni contacts to ReS</w:t>
      </w:r>
      <w:r w:rsidRPr="00653350">
        <w:rPr>
          <w:rFonts w:ascii="Calibri" w:hAnsi="Calibri" w:cs="Calibri"/>
          <w:sz w:val="24"/>
          <w:szCs w:val="24"/>
          <w:vertAlign w:val="subscript"/>
          <w:lang w:val="en-GB"/>
        </w:rPr>
        <w:t>2</w:t>
      </w:r>
      <w:r w:rsidRPr="00653350">
        <w:rPr>
          <w:rFonts w:ascii="Calibri" w:hAnsi="Calibri" w:cs="Calibri"/>
          <w:sz w:val="24"/>
          <w:szCs w:val="24"/>
          <w:lang w:val="en-GB"/>
        </w:rPr>
        <w:t>.</w:t>
      </w:r>
    </w:p>
    <w:p w14:paraId="2CB679D7" w14:textId="77777777" w:rsidR="009B1C2A" w:rsidRDefault="009B1C2A" w:rsidP="009B1C2A">
      <w:pPr>
        <w:pStyle w:val="Paragrafoelenco"/>
        <w:rPr>
          <w:rFonts w:ascii="Calibri" w:hAnsi="Calibri" w:cs="Calibri"/>
          <w:b/>
          <w:bCs/>
          <w:sz w:val="24"/>
          <w:szCs w:val="24"/>
          <w:lang w:val="en-GB"/>
        </w:rPr>
      </w:pPr>
    </w:p>
    <w:p w14:paraId="736A6709" w14:textId="77777777" w:rsidR="00653350" w:rsidRDefault="00653350" w:rsidP="009B1C2A">
      <w:pPr>
        <w:pStyle w:val="Paragrafoelenco"/>
        <w:rPr>
          <w:rFonts w:ascii="Calibri" w:hAnsi="Calibri" w:cs="Calibri"/>
          <w:b/>
          <w:bCs/>
          <w:sz w:val="24"/>
          <w:szCs w:val="24"/>
          <w:lang w:val="en-GB"/>
        </w:rPr>
      </w:pPr>
    </w:p>
    <w:p w14:paraId="1501B4A4" w14:textId="77777777" w:rsidR="00653350" w:rsidRDefault="00653350" w:rsidP="009B1C2A">
      <w:pPr>
        <w:pStyle w:val="Paragrafoelenco"/>
        <w:rPr>
          <w:rFonts w:ascii="Calibri" w:hAnsi="Calibri" w:cs="Calibri"/>
          <w:b/>
          <w:bCs/>
          <w:sz w:val="24"/>
          <w:szCs w:val="24"/>
          <w:lang w:val="en-GB"/>
        </w:rPr>
      </w:pPr>
    </w:p>
    <w:p w14:paraId="0BDCAF95" w14:textId="77777777" w:rsidR="00653350" w:rsidRDefault="00653350" w:rsidP="009B1C2A">
      <w:pPr>
        <w:pStyle w:val="Paragrafoelenco"/>
        <w:rPr>
          <w:rFonts w:ascii="Calibri" w:hAnsi="Calibri" w:cs="Calibri"/>
          <w:b/>
          <w:bCs/>
          <w:sz w:val="24"/>
          <w:szCs w:val="24"/>
          <w:lang w:val="en-GB"/>
        </w:rPr>
      </w:pPr>
    </w:p>
    <w:p w14:paraId="775D499E" w14:textId="77777777" w:rsidR="00653350" w:rsidRDefault="00653350" w:rsidP="009B1C2A">
      <w:pPr>
        <w:pStyle w:val="Paragrafoelenco"/>
        <w:rPr>
          <w:rFonts w:ascii="Calibri" w:hAnsi="Calibri" w:cs="Calibri"/>
          <w:b/>
          <w:bCs/>
          <w:sz w:val="24"/>
          <w:szCs w:val="24"/>
          <w:lang w:val="en-GB"/>
        </w:rPr>
      </w:pPr>
    </w:p>
    <w:p w14:paraId="754E2673" w14:textId="77777777" w:rsidR="00653350" w:rsidRDefault="00653350" w:rsidP="009B1C2A">
      <w:pPr>
        <w:pStyle w:val="Paragrafoelenco"/>
        <w:rPr>
          <w:rFonts w:ascii="Calibri" w:hAnsi="Calibri" w:cs="Calibri"/>
          <w:b/>
          <w:bCs/>
          <w:sz w:val="24"/>
          <w:szCs w:val="24"/>
          <w:lang w:val="en-GB"/>
        </w:rPr>
      </w:pPr>
    </w:p>
    <w:p w14:paraId="18C9CEF7" w14:textId="77777777" w:rsidR="00653350" w:rsidRDefault="00653350" w:rsidP="009B1C2A">
      <w:pPr>
        <w:pStyle w:val="Paragrafoelenco"/>
        <w:rPr>
          <w:rFonts w:ascii="Calibri" w:hAnsi="Calibri" w:cs="Calibri"/>
          <w:b/>
          <w:bCs/>
          <w:sz w:val="24"/>
          <w:szCs w:val="24"/>
          <w:lang w:val="en-GB"/>
        </w:rPr>
      </w:pPr>
    </w:p>
    <w:p w14:paraId="03C59132" w14:textId="77777777" w:rsidR="00653350" w:rsidRDefault="00653350" w:rsidP="009B1C2A">
      <w:pPr>
        <w:pStyle w:val="Paragrafoelenco"/>
        <w:rPr>
          <w:rFonts w:ascii="Calibri" w:hAnsi="Calibri" w:cs="Calibri"/>
          <w:b/>
          <w:bCs/>
          <w:sz w:val="24"/>
          <w:szCs w:val="24"/>
          <w:lang w:val="en-GB"/>
        </w:rPr>
      </w:pPr>
    </w:p>
    <w:p w14:paraId="72576676" w14:textId="77777777" w:rsidR="00653350" w:rsidRDefault="00653350" w:rsidP="009B1C2A">
      <w:pPr>
        <w:pStyle w:val="Paragrafoelenco"/>
        <w:rPr>
          <w:rFonts w:ascii="Calibri" w:hAnsi="Calibri" w:cs="Calibri"/>
          <w:b/>
          <w:bCs/>
          <w:sz w:val="24"/>
          <w:szCs w:val="24"/>
          <w:lang w:val="en-GB"/>
        </w:rPr>
      </w:pPr>
    </w:p>
    <w:p w14:paraId="000F4063" w14:textId="4009F537" w:rsidR="009B1C2A" w:rsidRDefault="009B1C2A" w:rsidP="009B1C2A">
      <w:pPr>
        <w:pStyle w:val="Paragrafoelenco"/>
        <w:jc w:val="center"/>
        <w:rPr>
          <w:rFonts w:ascii="Calibri" w:hAnsi="Calibri" w:cs="Calibri"/>
          <w:b/>
          <w:bCs/>
          <w:sz w:val="24"/>
          <w:szCs w:val="24"/>
          <w:lang w:val="en-GB"/>
        </w:rPr>
      </w:pPr>
    </w:p>
    <w:p w14:paraId="1B6FCA90" w14:textId="2BB5EB09" w:rsidR="00081979" w:rsidRPr="00653350" w:rsidRDefault="002C5C12" w:rsidP="00653350">
      <w:pPr>
        <w:pStyle w:val="Paragrafoelenco"/>
        <w:numPr>
          <w:ilvl w:val="0"/>
          <w:numId w:val="1"/>
        </w:numPr>
        <w:rPr>
          <w:rFonts w:ascii="Calibri" w:hAnsi="Calibri" w:cs="Calibri"/>
          <w:b/>
          <w:bCs/>
          <w:sz w:val="24"/>
          <w:szCs w:val="24"/>
          <w:lang w:val="en-GB"/>
        </w:rPr>
      </w:pPr>
      <w:r w:rsidRPr="00653350">
        <w:rPr>
          <w:rFonts w:ascii="Calibri" w:hAnsi="Calibri" w:cs="Calibri"/>
          <w:b/>
          <w:bCs/>
          <w:sz w:val="24"/>
          <w:szCs w:val="24"/>
          <w:lang w:val="en-GB"/>
        </w:rPr>
        <w:t>ReS</w:t>
      </w:r>
      <w:r w:rsidRPr="00653350">
        <w:rPr>
          <w:rFonts w:ascii="Calibri" w:hAnsi="Calibri" w:cs="Calibri"/>
          <w:b/>
          <w:bCs/>
          <w:sz w:val="24"/>
          <w:szCs w:val="24"/>
          <w:vertAlign w:val="subscript"/>
          <w:lang w:val="en-GB"/>
        </w:rPr>
        <w:t>2</w:t>
      </w:r>
      <w:r w:rsidRPr="00653350">
        <w:rPr>
          <w:rFonts w:ascii="Calibri" w:hAnsi="Calibri" w:cs="Calibri"/>
          <w:b/>
          <w:bCs/>
          <w:sz w:val="24"/>
          <w:szCs w:val="24"/>
          <w:lang w:val="en-GB"/>
        </w:rPr>
        <w:t xml:space="preserve">/Si energy </w:t>
      </w:r>
      <w:r w:rsidR="00DE072F" w:rsidRPr="00653350">
        <w:rPr>
          <w:rFonts w:ascii="Calibri" w:hAnsi="Calibri" w:cs="Calibri"/>
          <w:b/>
          <w:bCs/>
          <w:sz w:val="24"/>
          <w:szCs w:val="24"/>
          <w:lang w:val="en-GB"/>
        </w:rPr>
        <w:t xml:space="preserve">barrier </w:t>
      </w:r>
      <w:r w:rsidR="00BC6340" w:rsidRPr="00653350">
        <w:rPr>
          <w:rFonts w:ascii="Calibri" w:hAnsi="Calibri" w:cs="Calibri"/>
          <w:b/>
          <w:bCs/>
          <w:sz w:val="24"/>
          <w:szCs w:val="24"/>
          <w:lang w:val="en-GB"/>
        </w:rPr>
        <w:t xml:space="preserve">extraction </w:t>
      </w:r>
      <w:r w:rsidR="00DE072F" w:rsidRPr="00653350">
        <w:rPr>
          <w:rFonts w:ascii="Calibri" w:hAnsi="Calibri" w:cs="Calibri"/>
          <w:b/>
          <w:bCs/>
          <w:sz w:val="24"/>
          <w:szCs w:val="24"/>
          <w:lang w:val="en-GB"/>
        </w:rPr>
        <w:t>from I-V-T measurements</w:t>
      </w:r>
    </w:p>
    <w:p w14:paraId="0B008F96" w14:textId="4FCB0FCA" w:rsidR="00316DD7" w:rsidRPr="00E45129" w:rsidRDefault="00653350" w:rsidP="00081979">
      <w:pPr>
        <w:rPr>
          <w:rFonts w:ascii="Calibri" w:hAnsi="Calibri" w:cs="Calibri"/>
          <w:noProof/>
          <w:lang w:val="en-GB"/>
        </w:rPr>
      </w:pPr>
      <w:r>
        <w:rPr>
          <w:rFonts w:ascii="Calibri" w:hAnsi="Calibri" w:cs="Calibri"/>
          <w:noProof/>
          <w:lang w:val="en-GB" w:eastAsia="en-GB"/>
        </w:rPr>
        <w:drawing>
          <wp:anchor distT="0" distB="0" distL="114300" distR="114300" simplePos="0" relativeHeight="251658240" behindDoc="0" locked="0" layoutInCell="1" allowOverlap="1" wp14:anchorId="6F2A67B9" wp14:editId="11843F25">
            <wp:simplePos x="0" y="0"/>
            <wp:positionH relativeFrom="margin">
              <wp:posOffset>1607820</wp:posOffset>
            </wp:positionH>
            <wp:positionV relativeFrom="margin">
              <wp:posOffset>708025</wp:posOffset>
            </wp:positionV>
            <wp:extent cx="2879090" cy="2203450"/>
            <wp:effectExtent l="0" t="0" r="0" b="6350"/>
            <wp:wrapSquare wrapText="bothSides"/>
            <wp:docPr id="129660179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601795"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9090" cy="2203450"/>
                    </a:xfrm>
                    <a:prstGeom prst="rect">
                      <a:avLst/>
                    </a:prstGeom>
                  </pic:spPr>
                </pic:pic>
              </a:graphicData>
            </a:graphic>
            <wp14:sizeRelH relativeFrom="margin">
              <wp14:pctWidth>0</wp14:pctWidth>
            </wp14:sizeRelH>
          </wp:anchor>
        </w:drawing>
      </w:r>
    </w:p>
    <w:p w14:paraId="79631856" w14:textId="31850D6C" w:rsidR="009B121B" w:rsidRDefault="009B121B" w:rsidP="004E7FF8">
      <w:pPr>
        <w:rPr>
          <w:rFonts w:ascii="Calibri" w:hAnsi="Calibri" w:cs="Calibri"/>
          <w:b/>
          <w:bCs/>
          <w:lang w:val="en-GB"/>
        </w:rPr>
      </w:pPr>
    </w:p>
    <w:p w14:paraId="2BE268F9" w14:textId="77777777" w:rsidR="009B121B" w:rsidRDefault="009B121B" w:rsidP="004E7FF8">
      <w:pPr>
        <w:rPr>
          <w:rFonts w:ascii="Calibri" w:hAnsi="Calibri" w:cs="Calibri"/>
          <w:b/>
          <w:bCs/>
          <w:lang w:val="en-GB"/>
        </w:rPr>
      </w:pPr>
    </w:p>
    <w:p w14:paraId="1D92B367" w14:textId="77777777" w:rsidR="009B121B" w:rsidRDefault="009B121B" w:rsidP="004E7FF8">
      <w:pPr>
        <w:rPr>
          <w:rFonts w:ascii="Calibri" w:hAnsi="Calibri" w:cs="Calibri"/>
          <w:b/>
          <w:bCs/>
          <w:lang w:val="en-GB"/>
        </w:rPr>
      </w:pPr>
    </w:p>
    <w:p w14:paraId="3664155F" w14:textId="4D083AF8" w:rsidR="009B121B" w:rsidRDefault="009B121B" w:rsidP="004E7FF8">
      <w:pPr>
        <w:rPr>
          <w:rFonts w:ascii="Calibri" w:hAnsi="Calibri" w:cs="Calibri"/>
          <w:b/>
          <w:bCs/>
          <w:lang w:val="en-GB"/>
        </w:rPr>
      </w:pPr>
    </w:p>
    <w:p w14:paraId="3A25C212" w14:textId="374A69C5" w:rsidR="009B121B" w:rsidRDefault="009B121B" w:rsidP="004E7FF8">
      <w:pPr>
        <w:rPr>
          <w:rFonts w:ascii="Calibri" w:hAnsi="Calibri" w:cs="Calibri"/>
          <w:b/>
          <w:bCs/>
          <w:lang w:val="en-GB"/>
        </w:rPr>
      </w:pPr>
    </w:p>
    <w:p w14:paraId="019149A2" w14:textId="77777777" w:rsidR="009B121B" w:rsidRDefault="009B121B" w:rsidP="004E7FF8">
      <w:pPr>
        <w:rPr>
          <w:rFonts w:ascii="Calibri" w:hAnsi="Calibri" w:cs="Calibri"/>
          <w:b/>
          <w:bCs/>
          <w:lang w:val="en-GB"/>
        </w:rPr>
      </w:pPr>
    </w:p>
    <w:p w14:paraId="6A8FE032" w14:textId="77777777" w:rsidR="009B121B" w:rsidRDefault="009B121B" w:rsidP="004E7FF8">
      <w:pPr>
        <w:rPr>
          <w:rFonts w:ascii="Calibri" w:hAnsi="Calibri" w:cs="Calibri"/>
          <w:b/>
          <w:bCs/>
          <w:lang w:val="en-GB"/>
        </w:rPr>
      </w:pPr>
    </w:p>
    <w:p w14:paraId="33FE3A8F" w14:textId="77777777" w:rsidR="00653350" w:rsidRDefault="00653350" w:rsidP="004E7FF8">
      <w:pPr>
        <w:rPr>
          <w:rFonts w:ascii="Calibri" w:hAnsi="Calibri" w:cs="Calibri"/>
          <w:b/>
          <w:bCs/>
          <w:lang w:val="en-GB"/>
        </w:rPr>
      </w:pPr>
    </w:p>
    <w:p w14:paraId="11DDC7BB" w14:textId="2A03B798" w:rsidR="004E7FF8" w:rsidRPr="00692B23" w:rsidRDefault="004E7FF8" w:rsidP="004E7FF8">
      <w:pPr>
        <w:rPr>
          <w:rFonts w:ascii="Calibri" w:hAnsi="Calibri" w:cs="Calibri"/>
          <w:lang w:val="en-GB"/>
        </w:rPr>
      </w:pPr>
      <w:r w:rsidRPr="00692B23">
        <w:rPr>
          <w:rFonts w:ascii="Calibri" w:hAnsi="Calibri" w:cs="Calibri"/>
          <w:b/>
          <w:bCs/>
          <w:lang w:val="en-GB"/>
        </w:rPr>
        <w:t>Figure S.</w:t>
      </w:r>
      <w:r w:rsidR="00653350">
        <w:rPr>
          <w:rFonts w:ascii="Calibri" w:hAnsi="Calibri" w:cs="Calibri"/>
          <w:b/>
          <w:bCs/>
          <w:lang w:val="en-GB"/>
        </w:rPr>
        <w:t>2</w:t>
      </w:r>
      <w:r w:rsidRPr="00692B23">
        <w:rPr>
          <w:rFonts w:ascii="Calibri" w:hAnsi="Calibri" w:cs="Calibri"/>
          <w:b/>
          <w:bCs/>
          <w:lang w:val="en-GB"/>
        </w:rPr>
        <w:t xml:space="preserve">. </w:t>
      </w:r>
      <w:r w:rsidRPr="00692B23">
        <w:rPr>
          <w:rFonts w:ascii="Calibri" w:hAnsi="Calibri" w:cs="Calibri"/>
          <w:lang w:val="en-GB"/>
        </w:rPr>
        <w:t>Arrhenius plot showing the natural logarithm of the saturation current</w:t>
      </w:r>
      <w:r w:rsidR="00653350">
        <w:rPr>
          <w:rFonts w:ascii="Calibri" w:hAnsi="Calibri" w:cs="Calibri"/>
          <w:lang w:val="en-GB"/>
        </w:rPr>
        <w:t xml:space="preserve"> I</w:t>
      </w:r>
      <w:r w:rsidR="00653350" w:rsidRPr="00653350">
        <w:rPr>
          <w:rFonts w:ascii="Calibri" w:hAnsi="Calibri" w:cs="Calibri"/>
          <w:vertAlign w:val="subscript"/>
          <w:lang w:val="en-GB"/>
        </w:rPr>
        <w:t>o</w:t>
      </w:r>
      <w:r w:rsidR="00653350">
        <w:rPr>
          <w:rFonts w:ascii="Calibri" w:hAnsi="Calibri" w:cs="Calibri"/>
          <w:lang w:val="en-GB"/>
        </w:rPr>
        <w:t xml:space="preserve"> over T</w:t>
      </w:r>
      <w:r w:rsidR="00653350" w:rsidRPr="00653350">
        <w:rPr>
          <w:rFonts w:ascii="Calibri" w:hAnsi="Calibri" w:cs="Calibri"/>
          <w:vertAlign w:val="superscript"/>
          <w:lang w:val="en-GB"/>
        </w:rPr>
        <w:t>2</w:t>
      </w:r>
      <w:r w:rsidRPr="00692B23">
        <w:rPr>
          <w:rFonts w:ascii="Calibri" w:hAnsi="Calibri" w:cs="Calibri"/>
          <w:lang w:val="en-GB"/>
        </w:rPr>
        <w:t xml:space="preserve"> as a function of 1/</w:t>
      </w:r>
      <w:proofErr w:type="spellStart"/>
      <w:r w:rsidR="00653350">
        <w:rPr>
          <w:rFonts w:ascii="Calibri" w:hAnsi="Calibri" w:cs="Calibri"/>
          <w:lang w:val="en-GB"/>
        </w:rPr>
        <w:t>k</w:t>
      </w:r>
      <w:r w:rsidRPr="00692B23">
        <w:rPr>
          <w:rFonts w:ascii="Calibri" w:hAnsi="Calibri" w:cs="Calibri"/>
          <w:lang w:val="en-GB"/>
        </w:rPr>
        <w:t>T</w:t>
      </w:r>
      <w:proofErr w:type="spellEnd"/>
      <w:r w:rsidRPr="00692B23">
        <w:rPr>
          <w:rFonts w:ascii="Calibri" w:hAnsi="Calibri" w:cs="Calibri"/>
          <w:lang w:val="en-GB"/>
        </w:rPr>
        <w:t xml:space="preserve">, where </w:t>
      </w:r>
      <w:r w:rsidR="00BC6340" w:rsidRPr="00692B23">
        <w:rPr>
          <w:rFonts w:ascii="Calibri" w:hAnsi="Calibri" w:cs="Calibri"/>
          <w:lang w:val="en-GB"/>
        </w:rPr>
        <w:t xml:space="preserve">k </w:t>
      </w:r>
      <w:r w:rsidRPr="00692B23">
        <w:rPr>
          <w:rFonts w:ascii="Calibri" w:hAnsi="Calibri" w:cs="Calibri"/>
          <w:lang w:val="en-GB"/>
        </w:rPr>
        <w:t xml:space="preserve">is the </w:t>
      </w:r>
      <w:r w:rsidR="00206D34" w:rsidRPr="00692B23">
        <w:rPr>
          <w:rFonts w:ascii="Calibri" w:hAnsi="Calibri" w:cs="Calibri"/>
          <w:lang w:val="en-GB"/>
        </w:rPr>
        <w:t>Boltzmann</w:t>
      </w:r>
      <w:r w:rsidRPr="00692B23">
        <w:rPr>
          <w:rFonts w:ascii="Calibri" w:hAnsi="Calibri" w:cs="Calibri"/>
          <w:lang w:val="en-GB"/>
        </w:rPr>
        <w:t xml:space="preserve"> constant, and T is the temperature. The </w:t>
      </w:r>
      <w:r w:rsidR="00653350">
        <w:rPr>
          <w:rFonts w:ascii="Calibri" w:hAnsi="Calibri" w:cs="Calibri"/>
          <w:lang w:val="en-GB"/>
        </w:rPr>
        <w:t xml:space="preserve">blue </w:t>
      </w:r>
      <w:r w:rsidRPr="00692B23">
        <w:rPr>
          <w:rFonts w:ascii="Calibri" w:hAnsi="Calibri" w:cs="Calibri"/>
          <w:lang w:val="en-GB"/>
        </w:rPr>
        <w:t xml:space="preserve">line is the linear fit of the data. </w:t>
      </w:r>
      <w:r w:rsidR="00653350">
        <w:rPr>
          <w:rFonts w:ascii="Calibri" w:hAnsi="Calibri" w:cs="Calibri"/>
          <w:lang w:val="en-GB"/>
        </w:rPr>
        <w:t xml:space="preserve">The effective </w:t>
      </w:r>
      <w:r w:rsidR="005C4790" w:rsidRPr="00692B23">
        <w:rPr>
          <w:rFonts w:ascii="Calibri" w:hAnsi="Calibri" w:cs="Calibri"/>
          <w:lang w:val="en-GB"/>
        </w:rPr>
        <w:t xml:space="preserve">energy </w:t>
      </w:r>
      <w:r w:rsidRPr="00692B23">
        <w:rPr>
          <w:rFonts w:ascii="Calibri" w:hAnsi="Calibri" w:cs="Calibri"/>
          <w:lang w:val="en-GB"/>
        </w:rPr>
        <w:t xml:space="preserve">barrier </w:t>
      </w:r>
      <w:r w:rsidR="00AA53D2">
        <w:rPr>
          <w:rFonts w:ascii="Calibri" w:hAnsi="Calibri" w:cs="Calibri"/>
          <w:lang w:val="en-GB"/>
        </w:rPr>
        <w:t>height is extracted from its slope.</w:t>
      </w:r>
    </w:p>
    <w:p w14:paraId="3869BDFC" w14:textId="613182AB" w:rsidR="00316DD7" w:rsidRPr="00653350" w:rsidRDefault="00AA53D2" w:rsidP="005C4790">
      <w:pPr>
        <w:jc w:val="both"/>
        <w:rPr>
          <w:rFonts w:ascii="Calibri" w:hAnsi="Calibri" w:cs="Calibri"/>
          <w:sz w:val="24"/>
          <w:szCs w:val="24"/>
          <w:lang w:val="en-GB"/>
        </w:rPr>
      </w:pPr>
      <w:r>
        <w:rPr>
          <w:rFonts w:ascii="Calibri" w:hAnsi="Calibri" w:cs="Calibri"/>
          <w:sz w:val="24"/>
          <w:szCs w:val="24"/>
          <w:lang w:val="en-GB"/>
        </w:rPr>
        <w:t xml:space="preserve">The </w:t>
      </w:r>
      <w:r w:rsidR="005C4790" w:rsidRPr="00653350">
        <w:rPr>
          <w:rFonts w:ascii="Calibri" w:hAnsi="Calibri" w:cs="Calibri"/>
          <w:sz w:val="24"/>
          <w:szCs w:val="24"/>
          <w:lang w:val="en-GB"/>
        </w:rPr>
        <w:t>thermionic emission current equation can be applied</w:t>
      </w:r>
      <w:r>
        <w:rPr>
          <w:rFonts w:ascii="Calibri" w:hAnsi="Calibri" w:cs="Calibri"/>
          <w:sz w:val="24"/>
          <w:szCs w:val="24"/>
          <w:lang w:val="en-GB"/>
        </w:rPr>
        <w:t xml:space="preserve"> to study the temperature dependency of the forward I-V curves</w:t>
      </w:r>
      <w:r w:rsidR="00793621" w:rsidRPr="00653350">
        <w:rPr>
          <w:rFonts w:ascii="Calibri" w:hAnsi="Calibri" w:cs="Calibri"/>
          <w:sz w:val="24"/>
          <w:szCs w:val="24"/>
          <w:lang w:val="en-GB"/>
        </w:rPr>
        <w:fldChar w:fldCharType="begin"/>
      </w:r>
      <w:r w:rsidR="00A4601B">
        <w:rPr>
          <w:rFonts w:ascii="Calibri" w:hAnsi="Calibri" w:cs="Calibri"/>
          <w:sz w:val="24"/>
          <w:szCs w:val="24"/>
          <w:lang w:val="en-GB"/>
        </w:rPr>
        <w:instrText xml:space="preserve"> ADDIN ZOTERO_ITEM CSL_CITATION {"citationID":"MZW2Xd4l","properties":{"formattedCitation":"\\super 1,2\\nosupersub{}","plainCitation":"1,2","noteIndex":0},"citationItems":[{"id":"9REKAua1/OoGqIaE6","uris":["http://zotero.org/users/local/i67hAE23/items/BIHFGX5B"],"itemData":{"id":39,"type":"article-journal","container-title":"Physics Reports","DOI":"10.1016/j.physrep.2015.10.003","ISSN":"03701573","journalAbbreviation":"Physics Reports","language":"en","page":"1-58","source":"DOI.org (Crossref)","title":"Graphene Schottky diodes: An experimental review of the rectifying graphene/semiconductor heterojunction","title-short":"Graphene Schottky diodes","volume":"606","author":[{"family":"Di Bartolomeo","given":"Antonio"}],"issued":{"date-parts":[["2016",1]]}}},{"id":582,"uris":["http://zotero.org/users/local/NQ3o5CYF/items/49BZ6T4E"],"itemData":{"id":582,"type":"article-journal","abstract":"Fabrication of heterojunction between 2D molybdenum disulfide (MoS2) and gallium nitride (GaN) and its photodetection properties have been reported in the present work. Surface potential mapping at the MoS2/GaN heterojunction is done using Kelvin Probe Force Microscopy to measure the conduction band offset. Current-voltage measurements show a diode like behavior of the heterojunction. The origin of diode like behavior is attributed to unique type II band alignment of the heterojunction. The photocurrent, photoresponsivity and detectivity of the heterojunction are found to be dependent on power density of the light. Photoresponse investigations reveal that the heterojunction is highly sensitive to 405 nm laser with very high responsivity up to 105 A/W. The heterojunction also shows very high detectivity of the order of 1014 Jones. Moreover, the device shows photoresponse in UV region also. These observations suggest that MoS2/GaN heterojunction can have great potential for photodetection applications.","container-title":"Scientific Reports","DOI":"10.1038/s41598-018-30237-8","ISSN":"2045-2322","issue":"1","journalAbbreviation":"Sci Rep","language":"en","license":"2018 The Author(s)","note":"publisher: Nature Publishing Group","page":"11799","source":"www.nature.com","title":"Understanding of MoS2/GaN Heterojunction Diode and its Photodetection Properties","volume":"8","author":[{"family":"Moun","given":"Monika"},{"family":"Kumar","given":"Mukesh"},{"family":"Garg","given":"Manjari"},{"family":"Pathak","given":"Ravi"},{"family":"Singh","given":"Rajendra"}],"issued":{"date-parts":[["2018",8,7]]}}}],"schema":"https://github.com/citation-style-language/schema/raw/master/csl-citation.json"} </w:instrText>
      </w:r>
      <w:r w:rsidR="00793621" w:rsidRPr="00653350">
        <w:rPr>
          <w:rFonts w:ascii="Calibri" w:hAnsi="Calibri" w:cs="Calibri"/>
          <w:sz w:val="24"/>
          <w:szCs w:val="24"/>
          <w:lang w:val="en-GB"/>
        </w:rPr>
        <w:fldChar w:fldCharType="separate"/>
      </w:r>
      <w:r w:rsidRPr="00AA53D2">
        <w:rPr>
          <w:rFonts w:ascii="Calibri" w:hAnsi="Calibri" w:cs="Calibri"/>
          <w:kern w:val="0"/>
          <w:sz w:val="24"/>
          <w:vertAlign w:val="superscript"/>
          <w:lang w:val="en-GB"/>
        </w:rPr>
        <w:t>1,2</w:t>
      </w:r>
      <w:r w:rsidR="00793621" w:rsidRPr="00653350">
        <w:rPr>
          <w:rFonts w:ascii="Calibri" w:hAnsi="Calibri" w:cs="Calibri"/>
          <w:sz w:val="24"/>
          <w:szCs w:val="24"/>
          <w:lang w:val="en-GB"/>
        </w:rPr>
        <w:fldChar w:fldCharType="end"/>
      </w:r>
      <w:r w:rsidR="00316DD7" w:rsidRPr="00653350">
        <w:rPr>
          <w:rFonts w:ascii="Calibri" w:hAnsi="Calibri" w:cs="Calibri"/>
          <w:sz w:val="24"/>
          <w:szCs w:val="24"/>
          <w:lang w:val="en-GB"/>
        </w:rPr>
        <w:t>:</w:t>
      </w:r>
    </w:p>
    <w:p w14:paraId="4BAA43FD" w14:textId="15FEA7DF" w:rsidR="00316DD7" w:rsidRPr="00653350" w:rsidRDefault="00653350" w:rsidP="00316DD7">
      <w:pPr>
        <w:ind w:left="360"/>
        <w:jc w:val="both"/>
        <w:rPr>
          <w:rFonts w:ascii="Calibri" w:eastAsiaTheme="minorEastAsia" w:hAnsi="Calibri" w:cs="Calibri"/>
          <w:iCs/>
          <w:sz w:val="24"/>
          <w:szCs w:val="24"/>
          <w:lang w:val="en-GB"/>
        </w:rPr>
      </w:pPr>
      <m:oMathPara>
        <m:oMath>
          <m:r>
            <m:rPr>
              <m:sty m:val="p"/>
            </m:rPr>
            <w:rPr>
              <w:rFonts w:ascii="Cambria Math" w:hAnsi="Cambria Math" w:cs="Calibri"/>
              <w:sz w:val="24"/>
              <w:szCs w:val="24"/>
              <w:lang w:val="en-GB"/>
            </w:rPr>
            <m:t>I=</m:t>
          </m:r>
          <m:sSub>
            <m:sSubPr>
              <m:ctrlPr>
                <w:rPr>
                  <w:rFonts w:ascii="Cambria Math" w:hAnsi="Cambria Math" w:cs="Calibri"/>
                  <w:iCs/>
                  <w:sz w:val="24"/>
                  <w:szCs w:val="24"/>
                  <w:lang w:val="en-GB"/>
                </w:rPr>
              </m:ctrlPr>
            </m:sSubPr>
            <m:e>
              <m:r>
                <m:rPr>
                  <m:sty m:val="p"/>
                </m:rPr>
                <w:rPr>
                  <w:rFonts w:ascii="Cambria Math" w:hAnsi="Cambria Math" w:cs="Calibri"/>
                  <w:sz w:val="24"/>
                  <w:szCs w:val="24"/>
                  <w:lang w:val="en-GB"/>
                </w:rPr>
                <m:t>I</m:t>
              </m:r>
            </m:e>
            <m:sub>
              <m:r>
                <m:rPr>
                  <m:sty m:val="p"/>
                </m:rPr>
                <w:rPr>
                  <w:rFonts w:ascii="Cambria Math" w:hAnsi="Cambria Math" w:cs="Calibri"/>
                  <w:sz w:val="24"/>
                  <w:szCs w:val="24"/>
                  <w:lang w:val="en-GB"/>
                </w:rPr>
                <m:t>0</m:t>
              </m:r>
            </m:sub>
          </m:sSub>
          <m:r>
            <m:rPr>
              <m:sty m:val="p"/>
            </m:rPr>
            <w:rPr>
              <w:rFonts w:ascii="Cambria Math" w:hAnsi="Cambria Math" w:cs="Calibri"/>
              <w:sz w:val="24"/>
              <w:szCs w:val="24"/>
              <w:lang w:val="en-GB"/>
            </w:rPr>
            <m:t>[</m:t>
          </m:r>
          <m:func>
            <m:funcPr>
              <m:ctrlPr>
                <w:rPr>
                  <w:rFonts w:ascii="Cambria Math" w:hAnsi="Cambria Math" w:cs="Calibri"/>
                  <w:iCs/>
                  <w:sz w:val="24"/>
                  <w:szCs w:val="24"/>
                  <w:lang w:val="en-GB"/>
                </w:rPr>
              </m:ctrlPr>
            </m:funcPr>
            <m:fName>
              <m:r>
                <m:rPr>
                  <m:sty m:val="p"/>
                </m:rPr>
                <w:rPr>
                  <w:rFonts w:ascii="Cambria Math" w:hAnsi="Cambria Math" w:cs="Calibri"/>
                  <w:sz w:val="24"/>
                  <w:szCs w:val="24"/>
                  <w:lang w:val="en-GB"/>
                </w:rPr>
                <m:t>exp</m:t>
              </m:r>
            </m:fName>
            <m:e>
              <m:d>
                <m:dPr>
                  <m:ctrlPr>
                    <w:rPr>
                      <w:rFonts w:ascii="Cambria Math" w:hAnsi="Cambria Math" w:cs="Calibri"/>
                      <w:iCs/>
                      <w:sz w:val="24"/>
                      <w:szCs w:val="24"/>
                      <w:lang w:val="en-GB"/>
                    </w:rPr>
                  </m:ctrlPr>
                </m:dPr>
                <m:e>
                  <m:f>
                    <m:fPr>
                      <m:ctrlPr>
                        <w:rPr>
                          <w:rFonts w:ascii="Cambria Math" w:hAnsi="Cambria Math" w:cs="Calibri"/>
                          <w:iCs/>
                          <w:sz w:val="24"/>
                          <w:szCs w:val="24"/>
                          <w:lang w:val="en-GB"/>
                        </w:rPr>
                      </m:ctrlPr>
                    </m:fPr>
                    <m:num>
                      <m:r>
                        <m:rPr>
                          <m:sty m:val="p"/>
                        </m:rPr>
                        <w:rPr>
                          <w:rFonts w:ascii="Cambria Math" w:hAnsi="Cambria Math" w:cs="Calibri"/>
                          <w:sz w:val="24"/>
                          <w:szCs w:val="24"/>
                          <w:lang w:val="en-GB"/>
                        </w:rPr>
                        <m:t>qV</m:t>
                      </m:r>
                    </m:num>
                    <m:den>
                      <m:r>
                        <m:rPr>
                          <m:sty m:val="p"/>
                        </m:rPr>
                        <w:rPr>
                          <w:rFonts w:ascii="Cambria Math" w:hAnsi="Cambria Math" w:cs="Calibri"/>
                          <w:sz w:val="24"/>
                          <w:szCs w:val="24"/>
                          <w:lang w:val="en-GB"/>
                        </w:rPr>
                        <m:t>nkT</m:t>
                      </m:r>
                    </m:den>
                  </m:f>
                </m:e>
              </m:d>
              <m:r>
                <m:rPr>
                  <m:sty m:val="p"/>
                </m:rPr>
                <w:rPr>
                  <w:rFonts w:ascii="Cambria Math" w:hAnsi="Cambria Math" w:cs="Calibri"/>
                  <w:sz w:val="24"/>
                  <w:szCs w:val="24"/>
                  <w:lang w:val="en-GB"/>
                </w:rPr>
                <m:t>-1]</m:t>
              </m:r>
            </m:e>
          </m:func>
        </m:oMath>
      </m:oMathPara>
    </w:p>
    <w:p w14:paraId="48E90CD7" w14:textId="12AD7DBD" w:rsidR="00AA53D2" w:rsidRDefault="00AA53D2" w:rsidP="00316DD7">
      <w:pPr>
        <w:jc w:val="both"/>
        <w:rPr>
          <w:rFonts w:ascii="Calibri" w:eastAsiaTheme="minorEastAsia" w:hAnsi="Calibri" w:cs="Calibri"/>
          <w:sz w:val="24"/>
          <w:szCs w:val="24"/>
          <w:lang w:val="en-GB"/>
        </w:rPr>
      </w:pPr>
      <w:r>
        <w:rPr>
          <w:rFonts w:ascii="Calibri" w:hAnsi="Calibri" w:cs="Calibri"/>
          <w:sz w:val="24"/>
          <w:szCs w:val="24"/>
          <w:lang w:val="en-GB"/>
        </w:rPr>
        <w:t>w</w:t>
      </w:r>
      <w:r w:rsidR="00316DD7" w:rsidRPr="00653350">
        <w:rPr>
          <w:rFonts w:ascii="Calibri" w:hAnsi="Calibri" w:cs="Calibri"/>
          <w:sz w:val="24"/>
          <w:szCs w:val="24"/>
          <w:lang w:val="en-GB"/>
        </w:rPr>
        <w:t xml:space="preserve">here q is the electron charge, </w:t>
      </w:r>
      <w:r w:rsidR="00BC6340" w:rsidRPr="00653350">
        <w:rPr>
          <w:rFonts w:ascii="Calibri" w:hAnsi="Calibri" w:cs="Calibri"/>
          <w:sz w:val="24"/>
          <w:szCs w:val="24"/>
          <w:lang w:val="en-GB"/>
        </w:rPr>
        <w:t>k</w:t>
      </w:r>
      <w:r w:rsidR="00316DD7" w:rsidRPr="00653350">
        <w:rPr>
          <w:rFonts w:ascii="Calibri" w:hAnsi="Calibri" w:cs="Calibri"/>
          <w:sz w:val="24"/>
          <w:szCs w:val="24"/>
          <w:lang w:val="en-GB"/>
        </w:rPr>
        <w:t xml:space="preserve"> is the Boltzmann </w:t>
      </w:r>
      <w:r w:rsidR="00653350" w:rsidRPr="00653350">
        <w:rPr>
          <w:rFonts w:ascii="Calibri" w:hAnsi="Calibri" w:cs="Calibri"/>
          <w:sz w:val="24"/>
          <w:szCs w:val="24"/>
          <w:lang w:val="en-GB"/>
        </w:rPr>
        <w:t>constant,</w:t>
      </w:r>
      <w:r w:rsidR="00612480" w:rsidRPr="00653350">
        <w:rPr>
          <w:rFonts w:ascii="Calibri" w:hAnsi="Calibri" w:cs="Calibri"/>
          <w:sz w:val="24"/>
          <w:szCs w:val="24"/>
          <w:lang w:val="en-GB"/>
        </w:rPr>
        <w:t xml:space="preserve"> T is temperature</w:t>
      </w:r>
      <w:r w:rsidR="00653350" w:rsidRPr="00653350">
        <w:rPr>
          <w:rFonts w:ascii="Calibri" w:hAnsi="Calibri" w:cs="Calibri"/>
          <w:sz w:val="24"/>
          <w:szCs w:val="24"/>
          <w:lang w:val="en-GB"/>
        </w:rPr>
        <w:t xml:space="preserve">, and n is the </w:t>
      </w:r>
      <w:proofErr w:type="spellStart"/>
      <w:r w:rsidR="00653350" w:rsidRPr="00653350">
        <w:rPr>
          <w:rFonts w:ascii="Calibri" w:hAnsi="Calibri" w:cs="Calibri"/>
          <w:sz w:val="24"/>
          <w:szCs w:val="24"/>
          <w:lang w:val="en-GB"/>
        </w:rPr>
        <w:t>ideality</w:t>
      </w:r>
      <w:proofErr w:type="spellEnd"/>
      <w:r w:rsidR="00653350" w:rsidRPr="00653350">
        <w:rPr>
          <w:rFonts w:ascii="Calibri" w:hAnsi="Calibri" w:cs="Calibri"/>
          <w:sz w:val="24"/>
          <w:szCs w:val="24"/>
          <w:lang w:val="en-GB"/>
        </w:rPr>
        <w:t xml:space="preserve"> factor.</w:t>
      </w:r>
      <w:r w:rsidR="00612480" w:rsidRPr="00653350">
        <w:rPr>
          <w:rFonts w:ascii="Calibri" w:hAnsi="Calibri" w:cs="Calibri"/>
          <w:sz w:val="24"/>
          <w:szCs w:val="24"/>
          <w:lang w:val="en-GB"/>
        </w:rPr>
        <w:t xml:space="preserve"> </w:t>
      </w:r>
      <w:r w:rsidR="00316DD7" w:rsidRPr="00653350">
        <w:rPr>
          <w:rFonts w:ascii="Calibri" w:eastAsiaTheme="minorEastAsia" w:hAnsi="Calibri" w:cs="Calibri"/>
          <w:sz w:val="24"/>
          <w:szCs w:val="24"/>
          <w:lang w:val="en-GB"/>
        </w:rPr>
        <w:t>The saturation current</w:t>
      </w:r>
      <w:r w:rsidR="00824D74" w:rsidRPr="00653350">
        <w:rPr>
          <w:rFonts w:ascii="Calibri" w:eastAsiaTheme="minorEastAsia" w:hAnsi="Calibri" w:cs="Calibri"/>
          <w:sz w:val="24"/>
          <w:szCs w:val="24"/>
          <w:lang w:val="en-GB"/>
        </w:rPr>
        <w:t xml:space="preserve"> </w:t>
      </w:r>
      <w:r>
        <w:rPr>
          <w:rFonts w:ascii="Calibri" w:eastAsiaTheme="minorEastAsia" w:hAnsi="Calibri" w:cs="Calibri"/>
          <w:sz w:val="24"/>
          <w:szCs w:val="24"/>
          <w:lang w:val="en-GB"/>
        </w:rPr>
        <w:t>I</w:t>
      </w:r>
      <w:r w:rsidRPr="00AA53D2">
        <w:rPr>
          <w:rFonts w:ascii="Calibri" w:eastAsiaTheme="minorEastAsia" w:hAnsi="Calibri" w:cs="Calibri"/>
          <w:sz w:val="24"/>
          <w:szCs w:val="24"/>
          <w:vertAlign w:val="subscript"/>
          <w:lang w:val="en-GB"/>
        </w:rPr>
        <w:t>o</w:t>
      </w:r>
      <w:r>
        <w:rPr>
          <w:rFonts w:ascii="Calibri" w:eastAsiaTheme="minorEastAsia" w:hAnsi="Calibri" w:cs="Calibri"/>
          <w:sz w:val="24"/>
          <w:szCs w:val="24"/>
          <w:vertAlign w:val="subscript"/>
          <w:lang w:val="en-GB"/>
        </w:rPr>
        <w:t xml:space="preserve"> </w:t>
      </w:r>
      <w:r>
        <w:rPr>
          <w:rFonts w:ascii="Calibri" w:eastAsiaTheme="minorEastAsia" w:hAnsi="Calibri" w:cs="Calibri"/>
          <w:sz w:val="24"/>
          <w:szCs w:val="24"/>
          <w:lang w:val="en-GB"/>
        </w:rPr>
        <w:t>is defined as:</w:t>
      </w:r>
    </w:p>
    <w:p w14:paraId="23D3405F" w14:textId="77777777" w:rsidR="00AA53D2" w:rsidRPr="00AA53D2" w:rsidRDefault="00000000" w:rsidP="00AA53D2">
      <w:pPr>
        <w:jc w:val="both"/>
        <w:rPr>
          <w:rFonts w:ascii="Calibri" w:eastAsiaTheme="minorEastAsia" w:hAnsi="Calibri" w:cs="Calibri"/>
          <w:iCs/>
          <w:sz w:val="24"/>
          <w:szCs w:val="24"/>
          <w:lang w:val="en-GB"/>
        </w:rPr>
      </w:pPr>
      <m:oMathPara>
        <m:oMath>
          <m:sSub>
            <m:sSubPr>
              <m:ctrlPr>
                <w:rPr>
                  <w:rFonts w:ascii="Cambria Math" w:hAnsi="Cambria Math" w:cs="Calibri"/>
                  <w:iCs/>
                  <w:sz w:val="24"/>
                  <w:szCs w:val="24"/>
                  <w:lang w:val="en-GB"/>
                </w:rPr>
              </m:ctrlPr>
            </m:sSubPr>
            <m:e>
              <m:r>
                <m:rPr>
                  <m:sty m:val="p"/>
                </m:rPr>
                <w:rPr>
                  <w:rFonts w:ascii="Cambria Math" w:hAnsi="Cambria Math" w:cs="Calibri"/>
                  <w:sz w:val="24"/>
                  <w:szCs w:val="24"/>
                  <w:lang w:val="en-GB"/>
                </w:rPr>
                <m:t>I</m:t>
              </m:r>
            </m:e>
            <m:sub>
              <m:r>
                <m:rPr>
                  <m:sty m:val="p"/>
                </m:rPr>
                <w:rPr>
                  <w:rFonts w:ascii="Cambria Math" w:hAnsi="Cambria Math" w:cs="Calibri"/>
                  <w:sz w:val="24"/>
                  <w:szCs w:val="24"/>
                  <w:lang w:val="en-GB"/>
                </w:rPr>
                <m:t>0</m:t>
              </m:r>
            </m:sub>
          </m:sSub>
          <m:r>
            <m:rPr>
              <m:sty m:val="p"/>
            </m:rPr>
            <w:rPr>
              <w:rFonts w:ascii="Cambria Math" w:hAnsi="Cambria Math" w:cs="Calibri"/>
              <w:sz w:val="24"/>
              <w:szCs w:val="24"/>
              <w:lang w:val="en-GB"/>
            </w:rPr>
            <m:t>=A</m:t>
          </m:r>
          <m:sSup>
            <m:sSupPr>
              <m:ctrlPr>
                <w:rPr>
                  <w:rFonts w:ascii="Cambria Math" w:hAnsi="Cambria Math" w:cs="Calibri"/>
                  <w:iCs/>
                  <w:sz w:val="24"/>
                  <w:szCs w:val="24"/>
                  <w:lang w:val="en-GB"/>
                </w:rPr>
              </m:ctrlPr>
            </m:sSupPr>
            <m:e>
              <m:r>
                <m:rPr>
                  <m:sty m:val="p"/>
                </m:rPr>
                <w:rPr>
                  <w:rFonts w:ascii="Cambria Math" w:hAnsi="Cambria Math" w:cs="Calibri"/>
                  <w:sz w:val="24"/>
                  <w:szCs w:val="24"/>
                  <w:lang w:val="en-GB"/>
                </w:rPr>
                <m:t>A</m:t>
              </m:r>
            </m:e>
            <m:sup>
              <m:r>
                <m:rPr>
                  <m:sty m:val="p"/>
                </m:rPr>
                <w:rPr>
                  <w:rFonts w:ascii="Cambria Math" w:hAnsi="Cambria Math" w:cs="Calibri"/>
                  <w:sz w:val="24"/>
                  <w:szCs w:val="24"/>
                  <w:lang w:val="en-GB"/>
                </w:rPr>
                <m:t>*</m:t>
              </m:r>
            </m:sup>
          </m:sSup>
          <m:r>
            <m:rPr>
              <m:sty m:val="p"/>
            </m:rPr>
            <w:rPr>
              <w:rFonts w:ascii="Cambria Math" w:hAnsi="Cambria Math" w:cs="Calibri"/>
              <w:sz w:val="24"/>
              <w:szCs w:val="24"/>
              <w:lang w:val="en-GB"/>
            </w:rPr>
            <m:t xml:space="preserve"> </m:t>
          </m:r>
          <m:sSup>
            <m:sSupPr>
              <m:ctrlPr>
                <w:rPr>
                  <w:rFonts w:ascii="Cambria Math" w:hAnsi="Cambria Math" w:cs="Calibri"/>
                  <w:iCs/>
                  <w:sz w:val="24"/>
                  <w:szCs w:val="24"/>
                  <w:lang w:val="en-GB"/>
                </w:rPr>
              </m:ctrlPr>
            </m:sSupPr>
            <m:e>
              <m:r>
                <m:rPr>
                  <m:sty m:val="p"/>
                </m:rPr>
                <w:rPr>
                  <w:rFonts w:ascii="Cambria Math" w:hAnsi="Cambria Math" w:cs="Calibri"/>
                  <w:sz w:val="24"/>
                  <w:szCs w:val="24"/>
                  <w:lang w:val="en-GB"/>
                </w:rPr>
                <m:t>T</m:t>
              </m:r>
            </m:e>
            <m:sup>
              <m:r>
                <m:rPr>
                  <m:sty m:val="p"/>
                </m:rPr>
                <w:rPr>
                  <w:rFonts w:ascii="Cambria Math" w:hAnsi="Cambria Math" w:cs="Calibri"/>
                  <w:sz w:val="24"/>
                  <w:szCs w:val="24"/>
                  <w:lang w:val="en-GB"/>
                </w:rPr>
                <m:t>2</m:t>
              </m:r>
            </m:sup>
          </m:sSup>
          <m:func>
            <m:funcPr>
              <m:ctrlPr>
                <w:rPr>
                  <w:rFonts w:ascii="Cambria Math" w:hAnsi="Cambria Math" w:cs="Calibri"/>
                  <w:iCs/>
                  <w:sz w:val="24"/>
                  <w:szCs w:val="24"/>
                  <w:lang w:val="en-GB"/>
                </w:rPr>
              </m:ctrlPr>
            </m:funcPr>
            <m:fName>
              <m:r>
                <m:rPr>
                  <m:sty m:val="p"/>
                </m:rPr>
                <w:rPr>
                  <w:rFonts w:ascii="Cambria Math" w:hAnsi="Cambria Math" w:cs="Calibri"/>
                  <w:sz w:val="24"/>
                  <w:szCs w:val="24"/>
                  <w:lang w:val="en-GB"/>
                </w:rPr>
                <m:t>exp</m:t>
              </m:r>
            </m:fName>
            <m:e>
              <m:d>
                <m:dPr>
                  <m:ctrlPr>
                    <w:rPr>
                      <w:rFonts w:ascii="Cambria Math" w:hAnsi="Cambria Math" w:cs="Calibri"/>
                      <w:iCs/>
                      <w:sz w:val="24"/>
                      <w:szCs w:val="24"/>
                      <w:lang w:val="en-GB"/>
                    </w:rPr>
                  </m:ctrlPr>
                </m:dPr>
                <m:e>
                  <m:r>
                    <m:rPr>
                      <m:sty m:val="p"/>
                    </m:rPr>
                    <w:rPr>
                      <w:rFonts w:ascii="Cambria Math" w:hAnsi="Cambria Math" w:cs="Calibri"/>
                      <w:sz w:val="24"/>
                      <w:szCs w:val="24"/>
                      <w:lang w:val="en-GB"/>
                    </w:rPr>
                    <m:t>-</m:t>
                  </m:r>
                  <m:f>
                    <m:fPr>
                      <m:ctrlPr>
                        <w:rPr>
                          <w:rFonts w:ascii="Cambria Math" w:hAnsi="Cambria Math" w:cs="Calibri"/>
                          <w:iCs/>
                          <w:sz w:val="24"/>
                          <w:szCs w:val="24"/>
                          <w:lang w:val="en-GB"/>
                        </w:rPr>
                      </m:ctrlPr>
                    </m:fPr>
                    <m:num>
                      <m:r>
                        <m:rPr>
                          <m:sty m:val="p"/>
                        </m:rPr>
                        <w:rPr>
                          <w:rFonts w:ascii="Cambria Math" w:hAnsi="Cambria Math" w:cs="Calibri"/>
                          <w:sz w:val="24"/>
                          <w:szCs w:val="24"/>
                          <w:lang w:val="en-GB"/>
                        </w:rPr>
                        <m:t>q</m:t>
                      </m:r>
                      <m:sSub>
                        <m:sSubPr>
                          <m:ctrlPr>
                            <w:rPr>
                              <w:rFonts w:ascii="Cambria Math" w:hAnsi="Cambria Math" w:cs="Calibri"/>
                              <w:iCs/>
                              <w:sz w:val="24"/>
                              <w:szCs w:val="24"/>
                              <w:lang w:val="en-GB"/>
                            </w:rPr>
                          </m:ctrlPr>
                        </m:sSubPr>
                        <m:e>
                          <m:r>
                            <m:rPr>
                              <m:sty m:val="p"/>
                            </m:rPr>
                            <w:rPr>
                              <w:rFonts w:ascii="Cambria Math" w:hAnsi="Cambria Math" w:cs="Calibri"/>
                              <w:sz w:val="24"/>
                              <w:szCs w:val="24"/>
                              <w:lang w:val="en-GB"/>
                            </w:rPr>
                            <m:t>Φ</m:t>
                          </m:r>
                        </m:e>
                        <m:sub>
                          <m:r>
                            <m:rPr>
                              <m:sty m:val="p"/>
                            </m:rPr>
                            <w:rPr>
                              <w:rFonts w:ascii="Cambria Math" w:hAnsi="Cambria Math" w:cs="Calibri"/>
                              <w:sz w:val="24"/>
                              <w:szCs w:val="24"/>
                              <w:lang w:val="en-GB"/>
                            </w:rPr>
                            <m:t>B</m:t>
                          </m:r>
                        </m:sub>
                      </m:sSub>
                    </m:num>
                    <m:den>
                      <m:r>
                        <m:rPr>
                          <m:sty m:val="p"/>
                        </m:rPr>
                        <w:rPr>
                          <w:rFonts w:ascii="Cambria Math" w:hAnsi="Cambria Math" w:cs="Calibri"/>
                          <w:sz w:val="24"/>
                          <w:szCs w:val="24"/>
                          <w:lang w:val="en-GB"/>
                        </w:rPr>
                        <m:t>kT</m:t>
                      </m:r>
                    </m:den>
                  </m:f>
                </m:e>
              </m:d>
              <m:r>
                <m:rPr>
                  <m:sty m:val="p"/>
                </m:rPr>
                <w:rPr>
                  <w:rFonts w:ascii="Cambria Math" w:hAnsi="Cambria Math" w:cs="Calibri"/>
                  <w:sz w:val="24"/>
                  <w:szCs w:val="24"/>
                  <w:lang w:val="en-GB"/>
                </w:rPr>
                <m:t xml:space="preserve"> </m:t>
              </m:r>
            </m:e>
          </m:func>
        </m:oMath>
      </m:oMathPara>
    </w:p>
    <w:p w14:paraId="158CED0C" w14:textId="4F292FD2" w:rsidR="00316DD7" w:rsidRDefault="00AA53D2" w:rsidP="00316DD7">
      <w:pPr>
        <w:jc w:val="both"/>
        <w:rPr>
          <w:rFonts w:ascii="Calibri" w:eastAsiaTheme="minorEastAsia" w:hAnsi="Calibri" w:cs="Calibri"/>
          <w:sz w:val="24"/>
          <w:szCs w:val="24"/>
          <w:lang w:val="en-GB"/>
        </w:rPr>
      </w:pPr>
      <w:r w:rsidRPr="00653350">
        <w:rPr>
          <w:rFonts w:ascii="Calibri" w:eastAsiaTheme="minorEastAsia" w:hAnsi="Calibri" w:cs="Calibri"/>
          <w:sz w:val="24"/>
          <w:szCs w:val="24"/>
          <w:lang w:val="en-GB"/>
        </w:rPr>
        <w:t xml:space="preserve">in which A is the junction area, </w:t>
      </w:r>
      <w:r>
        <w:rPr>
          <w:rFonts w:ascii="Calibri" w:eastAsiaTheme="minorEastAsia" w:hAnsi="Calibri" w:cs="Calibri"/>
          <w:sz w:val="24"/>
          <w:szCs w:val="24"/>
          <w:lang w:val="en-GB"/>
        </w:rPr>
        <w:t>A</w:t>
      </w:r>
      <w:r w:rsidRPr="00653350">
        <w:rPr>
          <w:rFonts w:ascii="Calibri" w:eastAsiaTheme="minorEastAsia" w:hAnsi="Calibri" w:cs="Calibri"/>
          <w:sz w:val="24"/>
          <w:szCs w:val="24"/>
          <w:vertAlign w:val="superscript"/>
          <w:lang w:val="en-GB"/>
        </w:rPr>
        <w:t>*</w:t>
      </w:r>
      <w:r>
        <w:rPr>
          <w:rFonts w:ascii="Calibri" w:eastAsiaTheme="minorEastAsia" w:hAnsi="Calibri" w:cs="Calibri"/>
          <w:sz w:val="24"/>
          <w:szCs w:val="24"/>
          <w:lang w:val="en-GB"/>
        </w:rPr>
        <w:t xml:space="preserve"> </w:t>
      </w:r>
      <w:r w:rsidRPr="00653350">
        <w:rPr>
          <w:rFonts w:ascii="Calibri" w:eastAsiaTheme="minorEastAsia" w:hAnsi="Calibri" w:cs="Calibri"/>
          <w:sz w:val="24"/>
          <w:szCs w:val="24"/>
          <w:lang w:val="en-GB"/>
        </w:rPr>
        <w:t>is the Richardson constant, and</w:t>
      </w:r>
      <w:r>
        <w:rPr>
          <w:rFonts w:ascii="Calibri" w:eastAsiaTheme="minorEastAsia" w:hAnsi="Calibri" w:cs="Calibri"/>
          <w:sz w:val="24"/>
          <w:szCs w:val="24"/>
          <w:lang w:val="en-GB"/>
        </w:rPr>
        <w:t xml:space="preserve"> Փ</w:t>
      </w:r>
      <w:r w:rsidRPr="00653350">
        <w:rPr>
          <w:rFonts w:ascii="Calibri" w:eastAsiaTheme="minorEastAsia" w:hAnsi="Calibri" w:cs="Calibri"/>
          <w:sz w:val="24"/>
          <w:szCs w:val="24"/>
          <w:vertAlign w:val="subscript"/>
          <w:lang w:val="en-GB"/>
        </w:rPr>
        <w:t>B</w:t>
      </w:r>
      <w:r w:rsidRPr="00653350">
        <w:rPr>
          <w:rFonts w:ascii="Calibri" w:eastAsiaTheme="minorEastAsia" w:hAnsi="Calibri" w:cs="Calibri"/>
          <w:sz w:val="24"/>
          <w:szCs w:val="24"/>
          <w:lang w:val="en-GB"/>
        </w:rPr>
        <w:t xml:space="preserve"> is the energy barrier.</w:t>
      </w:r>
      <w:r>
        <w:rPr>
          <w:rFonts w:ascii="Calibri" w:eastAsiaTheme="minorEastAsia" w:hAnsi="Calibri" w:cs="Calibri"/>
          <w:iCs/>
          <w:sz w:val="24"/>
          <w:szCs w:val="24"/>
          <w:lang w:val="en-GB"/>
        </w:rPr>
        <w:t xml:space="preserve"> The </w:t>
      </w:r>
      <w:r w:rsidR="00653350">
        <w:rPr>
          <w:rFonts w:ascii="Calibri" w:eastAsiaTheme="minorEastAsia" w:hAnsi="Calibri" w:cs="Calibri"/>
          <w:sz w:val="24"/>
          <w:szCs w:val="24"/>
          <w:lang w:val="en-GB"/>
        </w:rPr>
        <w:t>I</w:t>
      </w:r>
      <w:r w:rsidR="00653350" w:rsidRPr="00653350">
        <w:rPr>
          <w:rFonts w:ascii="Calibri" w:eastAsiaTheme="minorEastAsia" w:hAnsi="Calibri" w:cs="Calibri"/>
          <w:sz w:val="24"/>
          <w:szCs w:val="24"/>
          <w:vertAlign w:val="subscript"/>
          <w:lang w:val="en-GB"/>
        </w:rPr>
        <w:t>o</w:t>
      </w:r>
      <w:r>
        <w:rPr>
          <w:rFonts w:ascii="Calibri" w:eastAsiaTheme="minorEastAsia" w:hAnsi="Calibri" w:cs="Calibri"/>
          <w:sz w:val="24"/>
          <w:szCs w:val="24"/>
          <w:lang w:val="en-GB"/>
        </w:rPr>
        <w:t xml:space="preserve"> values</w:t>
      </w:r>
      <w:r w:rsidR="001F127C" w:rsidRPr="00653350">
        <w:rPr>
          <w:rFonts w:ascii="Calibri" w:eastAsiaTheme="minorEastAsia" w:hAnsi="Calibri" w:cs="Calibri"/>
          <w:sz w:val="24"/>
          <w:szCs w:val="24"/>
          <w:lang w:val="en-GB"/>
        </w:rPr>
        <w:t xml:space="preserve"> </w:t>
      </w:r>
      <w:r w:rsidR="00F73DD9" w:rsidRPr="00653350">
        <w:rPr>
          <w:rFonts w:ascii="Calibri" w:eastAsiaTheme="minorEastAsia" w:hAnsi="Calibri" w:cs="Calibri"/>
          <w:sz w:val="24"/>
          <w:szCs w:val="24"/>
          <w:lang w:val="en-GB"/>
        </w:rPr>
        <w:t xml:space="preserve">at different temperatures </w:t>
      </w:r>
      <w:r w:rsidR="00316DD7" w:rsidRPr="00653350">
        <w:rPr>
          <w:rFonts w:ascii="Calibri" w:eastAsiaTheme="minorEastAsia" w:hAnsi="Calibri" w:cs="Calibri"/>
          <w:sz w:val="24"/>
          <w:szCs w:val="24"/>
          <w:lang w:val="en-GB"/>
        </w:rPr>
        <w:t xml:space="preserve">were extracted from the intercepts of the linear fit of </w:t>
      </w:r>
      <w:r w:rsidR="00612480" w:rsidRPr="00653350">
        <w:rPr>
          <w:rFonts w:ascii="Calibri" w:eastAsiaTheme="minorEastAsia" w:hAnsi="Calibri" w:cs="Calibri"/>
          <w:sz w:val="24"/>
          <w:szCs w:val="24"/>
          <w:lang w:val="en-GB"/>
        </w:rPr>
        <w:t>the I-V curve</w:t>
      </w:r>
      <w:r>
        <w:rPr>
          <w:rFonts w:ascii="Calibri" w:eastAsiaTheme="minorEastAsia" w:hAnsi="Calibri" w:cs="Calibri"/>
          <w:sz w:val="24"/>
          <w:szCs w:val="24"/>
          <w:lang w:val="en-GB"/>
        </w:rPr>
        <w:t>s</w:t>
      </w:r>
      <w:r w:rsidR="00612480" w:rsidRPr="00653350">
        <w:rPr>
          <w:rFonts w:ascii="Calibri" w:eastAsiaTheme="minorEastAsia" w:hAnsi="Calibri" w:cs="Calibri"/>
          <w:sz w:val="24"/>
          <w:szCs w:val="24"/>
          <w:lang w:val="en-GB"/>
        </w:rPr>
        <w:t xml:space="preserve"> at</w:t>
      </w:r>
      <w:r w:rsidR="00692B23" w:rsidRPr="00653350">
        <w:rPr>
          <w:rFonts w:ascii="Calibri" w:eastAsiaTheme="minorEastAsia" w:hAnsi="Calibri" w:cs="Calibri"/>
          <w:sz w:val="24"/>
          <w:szCs w:val="24"/>
          <w:lang w:val="en-GB"/>
        </w:rPr>
        <w:t xml:space="preserve"> small</w:t>
      </w:r>
      <w:r w:rsidR="00612480" w:rsidRPr="00653350">
        <w:rPr>
          <w:rFonts w:ascii="Calibri" w:eastAsiaTheme="minorEastAsia" w:hAnsi="Calibri" w:cs="Calibri"/>
          <w:sz w:val="24"/>
          <w:szCs w:val="24"/>
          <w:lang w:val="en-GB"/>
        </w:rPr>
        <w:t xml:space="preserve"> positive biases, near 0</w:t>
      </w:r>
      <w:r w:rsidR="00692B23" w:rsidRPr="00653350">
        <w:rPr>
          <w:rFonts w:ascii="Calibri" w:eastAsiaTheme="minorEastAsia" w:hAnsi="Calibri" w:cs="Calibri"/>
          <w:sz w:val="24"/>
          <w:szCs w:val="24"/>
          <w:lang w:val="en-GB"/>
        </w:rPr>
        <w:t xml:space="preserve"> </w:t>
      </w:r>
      <w:r w:rsidR="00612480" w:rsidRPr="00653350">
        <w:rPr>
          <w:rFonts w:ascii="Calibri" w:eastAsiaTheme="minorEastAsia" w:hAnsi="Calibri" w:cs="Calibri"/>
          <w:sz w:val="24"/>
          <w:szCs w:val="24"/>
          <w:lang w:val="en-GB"/>
        </w:rPr>
        <w:t>V.</w:t>
      </w:r>
      <w:r w:rsidR="00316DD7" w:rsidRPr="00653350">
        <w:rPr>
          <w:rFonts w:ascii="Calibri" w:eastAsiaTheme="minorEastAsia" w:hAnsi="Calibri" w:cs="Calibri"/>
          <w:sz w:val="24"/>
          <w:szCs w:val="24"/>
          <w:lang w:val="en-GB"/>
        </w:rPr>
        <w:t xml:space="preserve"> From the Arrhenius plot of </w:t>
      </w:r>
      <m:oMath>
        <m:func>
          <m:funcPr>
            <m:ctrlPr>
              <w:rPr>
                <w:rFonts w:ascii="Cambria Math" w:eastAsiaTheme="minorEastAsia" w:hAnsi="Cambria Math" w:cs="Calibri"/>
                <w:iCs/>
                <w:sz w:val="24"/>
                <w:szCs w:val="24"/>
                <w:lang w:val="en-GB"/>
              </w:rPr>
            </m:ctrlPr>
          </m:funcPr>
          <m:fName>
            <m:r>
              <m:rPr>
                <m:sty m:val="p"/>
              </m:rPr>
              <w:rPr>
                <w:rFonts w:ascii="Cambria Math" w:eastAsiaTheme="minorEastAsia" w:hAnsi="Cambria Math" w:cs="Calibri"/>
                <w:sz w:val="24"/>
                <w:szCs w:val="24"/>
                <w:lang w:val="en-GB"/>
              </w:rPr>
              <m:t>Ln</m:t>
            </m:r>
          </m:fName>
          <m:e>
            <m:d>
              <m:dPr>
                <m:ctrlPr>
                  <w:rPr>
                    <w:rFonts w:ascii="Cambria Math" w:eastAsiaTheme="minorEastAsia" w:hAnsi="Cambria Math" w:cs="Calibri"/>
                    <w:iCs/>
                    <w:sz w:val="24"/>
                    <w:szCs w:val="24"/>
                    <w:lang w:val="en-GB"/>
                  </w:rPr>
                </m:ctrlPr>
              </m:dPr>
              <m:e>
                <m:f>
                  <m:fPr>
                    <m:ctrlPr>
                      <w:rPr>
                        <w:rFonts w:ascii="Cambria Math" w:eastAsiaTheme="minorEastAsia" w:hAnsi="Cambria Math" w:cs="Calibri"/>
                        <w:iCs/>
                        <w:sz w:val="24"/>
                        <w:szCs w:val="24"/>
                        <w:lang w:val="en-GB"/>
                      </w:rPr>
                    </m:ctrlPr>
                  </m:fPr>
                  <m:num>
                    <m:r>
                      <m:rPr>
                        <m:sty m:val="p"/>
                      </m:rPr>
                      <w:rPr>
                        <w:rFonts w:ascii="Cambria Math" w:eastAsiaTheme="minorEastAsia" w:hAnsi="Cambria Math" w:cs="Calibri"/>
                        <w:sz w:val="24"/>
                        <w:szCs w:val="24"/>
                        <w:lang w:val="en-GB"/>
                      </w:rPr>
                      <m:t>Io</m:t>
                    </m:r>
                  </m:num>
                  <m:den>
                    <m:sSup>
                      <m:sSupPr>
                        <m:ctrlPr>
                          <w:rPr>
                            <w:rFonts w:ascii="Cambria Math" w:eastAsiaTheme="minorEastAsia" w:hAnsi="Cambria Math" w:cs="Calibri"/>
                            <w:iCs/>
                            <w:sz w:val="24"/>
                            <w:szCs w:val="24"/>
                            <w:lang w:val="en-GB"/>
                          </w:rPr>
                        </m:ctrlPr>
                      </m:sSupPr>
                      <m:e>
                        <m:r>
                          <m:rPr>
                            <m:sty m:val="p"/>
                          </m:rPr>
                          <w:rPr>
                            <w:rFonts w:ascii="Cambria Math" w:eastAsiaTheme="minorEastAsia" w:hAnsi="Cambria Math" w:cs="Calibri"/>
                            <w:sz w:val="24"/>
                            <w:szCs w:val="24"/>
                            <w:lang w:val="en-GB"/>
                          </w:rPr>
                          <m:t>T</m:t>
                        </m:r>
                      </m:e>
                      <m:sup>
                        <m:r>
                          <m:rPr>
                            <m:sty m:val="p"/>
                          </m:rPr>
                          <w:rPr>
                            <w:rFonts w:ascii="Cambria Math" w:eastAsiaTheme="minorEastAsia" w:hAnsi="Cambria Math" w:cs="Calibri"/>
                            <w:sz w:val="24"/>
                            <w:szCs w:val="24"/>
                            <w:lang w:val="en-GB"/>
                          </w:rPr>
                          <m:t>2</m:t>
                        </m:r>
                      </m:sup>
                    </m:sSup>
                  </m:den>
                </m:f>
              </m:e>
            </m:d>
          </m:e>
        </m:func>
        <m:r>
          <w:rPr>
            <w:rFonts w:ascii="Cambria Math" w:eastAsiaTheme="minorEastAsia" w:hAnsi="Cambria Math" w:cs="Calibri"/>
            <w:sz w:val="24"/>
            <w:szCs w:val="24"/>
            <w:lang w:val="en-GB"/>
          </w:rPr>
          <m:t xml:space="preserve"> </m:t>
        </m:r>
      </m:oMath>
      <w:r w:rsidR="00316DD7" w:rsidRPr="00653350">
        <w:rPr>
          <w:rFonts w:ascii="Calibri" w:eastAsiaTheme="minorEastAsia" w:hAnsi="Calibri" w:cs="Calibri"/>
          <w:sz w:val="24"/>
          <w:szCs w:val="24"/>
          <w:lang w:val="en-GB"/>
        </w:rPr>
        <w:t xml:space="preserve">vs. </w:t>
      </w:r>
      <m:oMath>
        <m:r>
          <m:rPr>
            <m:sty m:val="p"/>
          </m:rPr>
          <w:rPr>
            <w:rFonts w:ascii="Cambria Math" w:hAnsi="Cambria Math" w:cs="Calibri"/>
            <w:sz w:val="24"/>
            <w:szCs w:val="24"/>
            <w:lang w:val="en-GB"/>
          </w:rPr>
          <m:t>1/kT</m:t>
        </m:r>
      </m:oMath>
      <w:r w:rsidR="00316DD7" w:rsidRPr="00653350">
        <w:rPr>
          <w:rFonts w:ascii="Calibri" w:eastAsiaTheme="minorEastAsia" w:hAnsi="Calibri" w:cs="Calibri"/>
          <w:sz w:val="24"/>
          <w:szCs w:val="24"/>
          <w:lang w:val="en-GB"/>
        </w:rPr>
        <w:t xml:space="preserve"> plot</w:t>
      </w:r>
      <w:r w:rsidR="00AD619C" w:rsidRPr="00653350">
        <w:rPr>
          <w:rFonts w:ascii="Calibri" w:eastAsiaTheme="minorEastAsia" w:hAnsi="Calibri" w:cs="Calibri"/>
          <w:sz w:val="24"/>
          <w:szCs w:val="24"/>
          <w:lang w:val="en-GB"/>
        </w:rPr>
        <w:t xml:space="preserve"> in Fig</w:t>
      </w:r>
      <w:r w:rsidR="00612480" w:rsidRPr="00653350">
        <w:rPr>
          <w:rFonts w:ascii="Calibri" w:eastAsiaTheme="minorEastAsia" w:hAnsi="Calibri" w:cs="Calibri"/>
          <w:sz w:val="24"/>
          <w:szCs w:val="24"/>
          <w:lang w:val="en-GB"/>
        </w:rPr>
        <w:t>ure</w:t>
      </w:r>
      <w:r w:rsidR="00AD619C" w:rsidRPr="00653350">
        <w:rPr>
          <w:rFonts w:ascii="Calibri" w:eastAsiaTheme="minorEastAsia" w:hAnsi="Calibri" w:cs="Calibri"/>
          <w:sz w:val="24"/>
          <w:szCs w:val="24"/>
          <w:lang w:val="en-GB"/>
        </w:rPr>
        <w:t xml:space="preserve"> </w:t>
      </w:r>
      <w:r w:rsidR="00612480" w:rsidRPr="00653350">
        <w:rPr>
          <w:rFonts w:ascii="Calibri" w:eastAsiaTheme="minorEastAsia" w:hAnsi="Calibri" w:cs="Calibri"/>
          <w:sz w:val="24"/>
          <w:szCs w:val="24"/>
          <w:lang w:val="en-GB"/>
        </w:rPr>
        <w:t>S</w:t>
      </w:r>
      <w:r w:rsidR="00692B23" w:rsidRPr="00653350">
        <w:rPr>
          <w:rFonts w:ascii="Calibri" w:eastAsiaTheme="minorEastAsia" w:hAnsi="Calibri" w:cs="Calibri"/>
          <w:sz w:val="24"/>
          <w:szCs w:val="24"/>
          <w:lang w:val="en-GB"/>
        </w:rPr>
        <w:t>.</w:t>
      </w:r>
      <w:r w:rsidR="005F07DD">
        <w:rPr>
          <w:rFonts w:ascii="Calibri" w:eastAsiaTheme="minorEastAsia" w:hAnsi="Calibri" w:cs="Calibri"/>
          <w:sz w:val="24"/>
          <w:szCs w:val="24"/>
          <w:lang w:val="en-GB"/>
        </w:rPr>
        <w:t>2:</w:t>
      </w:r>
      <w:r w:rsidR="00692B23" w:rsidRPr="00653350">
        <w:rPr>
          <w:rFonts w:ascii="Calibri" w:eastAsiaTheme="minorEastAsia" w:hAnsi="Calibri" w:cs="Calibri"/>
          <w:sz w:val="24"/>
          <w:szCs w:val="24"/>
          <w:lang w:val="en-GB"/>
        </w:rPr>
        <w:t xml:space="preserve"> </w:t>
      </w:r>
    </w:p>
    <w:p w14:paraId="14C452BA" w14:textId="7811FB8A" w:rsidR="00AA53D2" w:rsidRPr="00AA53D2" w:rsidRDefault="00AA53D2" w:rsidP="00316DD7">
      <w:pPr>
        <w:jc w:val="both"/>
        <w:rPr>
          <w:rFonts w:ascii="Calibri" w:eastAsiaTheme="minorEastAsia" w:hAnsi="Calibri" w:cs="Calibri"/>
          <w:sz w:val="24"/>
          <w:szCs w:val="24"/>
          <w:lang w:val="en-GB"/>
        </w:rPr>
      </w:pPr>
      <m:oMathPara>
        <m:oMath>
          <m:r>
            <m:rPr>
              <m:sty m:val="p"/>
            </m:rPr>
            <w:rPr>
              <w:rFonts w:ascii="Cambria Math" w:eastAsiaTheme="minorEastAsia" w:hAnsi="Cambria Math" w:cs="Calibri"/>
              <w:sz w:val="24"/>
              <w:szCs w:val="24"/>
              <w:lang w:val="en-GB"/>
            </w:rPr>
            <m:t>Ln</m:t>
          </m:r>
          <m:d>
            <m:dPr>
              <m:ctrlPr>
                <w:rPr>
                  <w:rFonts w:ascii="Cambria Math" w:eastAsiaTheme="minorEastAsia" w:hAnsi="Cambria Math" w:cs="Calibri"/>
                  <w:sz w:val="24"/>
                  <w:szCs w:val="24"/>
                  <w:lang w:val="en-GB"/>
                </w:rPr>
              </m:ctrlPr>
            </m:dPr>
            <m:e>
              <m:f>
                <m:fPr>
                  <m:ctrlPr>
                    <w:rPr>
                      <w:rFonts w:ascii="Cambria Math" w:hAnsi="Cambria Math" w:cs="Calibri"/>
                      <w:sz w:val="24"/>
                      <w:szCs w:val="24"/>
                      <w:lang w:val="en-GB"/>
                    </w:rPr>
                  </m:ctrlPr>
                </m:fPr>
                <m:num>
                  <m:sSub>
                    <m:sSubPr>
                      <m:ctrlPr>
                        <w:rPr>
                          <w:rFonts w:ascii="Cambria Math" w:hAnsi="Cambria Math" w:cs="Calibri"/>
                          <w:sz w:val="24"/>
                          <w:szCs w:val="24"/>
                          <w:lang w:val="en-GB"/>
                        </w:rPr>
                      </m:ctrlPr>
                    </m:sSubPr>
                    <m:e>
                      <m:r>
                        <m:rPr>
                          <m:sty m:val="p"/>
                        </m:rPr>
                        <w:rPr>
                          <w:rFonts w:ascii="Cambria Math" w:hAnsi="Cambria Math" w:cs="Calibri"/>
                          <w:sz w:val="24"/>
                          <w:szCs w:val="24"/>
                          <w:lang w:val="en-GB"/>
                        </w:rPr>
                        <m:t>I</m:t>
                      </m:r>
                    </m:e>
                    <m:sub>
                      <m:r>
                        <m:rPr>
                          <m:sty m:val="p"/>
                        </m:rPr>
                        <w:rPr>
                          <w:rFonts w:ascii="Cambria Math" w:hAnsi="Cambria Math" w:cs="Calibri"/>
                          <w:sz w:val="24"/>
                          <w:szCs w:val="24"/>
                          <w:lang w:val="en-GB"/>
                        </w:rPr>
                        <m:t>0</m:t>
                      </m:r>
                    </m:sub>
                  </m:sSub>
                  <m:ctrlPr>
                    <w:rPr>
                      <w:rFonts w:ascii="Cambria Math" w:eastAsiaTheme="minorEastAsia" w:hAnsi="Cambria Math" w:cs="Calibri"/>
                      <w:sz w:val="24"/>
                      <w:szCs w:val="24"/>
                      <w:lang w:val="en-GB"/>
                    </w:rPr>
                  </m:ctrlPr>
                </m:num>
                <m:den>
                  <m:sSup>
                    <m:sSupPr>
                      <m:ctrlPr>
                        <w:rPr>
                          <w:rFonts w:ascii="Cambria Math" w:hAnsi="Cambria Math" w:cs="Calibri"/>
                          <w:sz w:val="24"/>
                          <w:szCs w:val="24"/>
                          <w:lang w:val="en-GB"/>
                        </w:rPr>
                      </m:ctrlPr>
                    </m:sSupPr>
                    <m:e>
                      <m:r>
                        <m:rPr>
                          <m:sty m:val="p"/>
                        </m:rPr>
                        <w:rPr>
                          <w:rFonts w:ascii="Cambria Math" w:hAnsi="Cambria Math" w:cs="Calibri"/>
                          <w:sz w:val="24"/>
                          <w:szCs w:val="24"/>
                          <w:lang w:val="en-GB"/>
                        </w:rPr>
                        <m:t>T</m:t>
                      </m:r>
                    </m:e>
                    <m:sup>
                      <m:r>
                        <m:rPr>
                          <m:sty m:val="p"/>
                        </m:rPr>
                        <w:rPr>
                          <w:rFonts w:ascii="Cambria Math" w:hAnsi="Cambria Math" w:cs="Calibri"/>
                          <w:sz w:val="24"/>
                          <w:szCs w:val="24"/>
                          <w:lang w:val="en-GB"/>
                        </w:rPr>
                        <m:t>2</m:t>
                      </m:r>
                    </m:sup>
                  </m:sSup>
                </m:den>
              </m:f>
              <m:ctrlPr>
                <w:rPr>
                  <w:rFonts w:ascii="Cambria Math" w:hAnsi="Cambria Math" w:cs="Calibri"/>
                  <w:sz w:val="24"/>
                  <w:szCs w:val="24"/>
                  <w:lang w:val="en-GB"/>
                </w:rPr>
              </m:ctrlPr>
            </m:e>
          </m:d>
          <m:r>
            <m:rPr>
              <m:sty m:val="p"/>
            </m:rPr>
            <w:rPr>
              <w:rFonts w:ascii="Cambria Math" w:hAnsi="Cambria Math" w:cs="Calibri"/>
              <w:sz w:val="24"/>
              <w:szCs w:val="24"/>
              <w:lang w:val="en-GB"/>
            </w:rPr>
            <m:t>=Ln(A</m:t>
          </m:r>
          <m:sSup>
            <m:sSupPr>
              <m:ctrlPr>
                <w:rPr>
                  <w:rFonts w:ascii="Cambria Math" w:hAnsi="Cambria Math" w:cs="Calibri"/>
                  <w:sz w:val="24"/>
                  <w:szCs w:val="24"/>
                  <w:lang w:val="en-GB"/>
                </w:rPr>
              </m:ctrlPr>
            </m:sSupPr>
            <m:e>
              <m:r>
                <m:rPr>
                  <m:sty m:val="p"/>
                </m:rPr>
                <w:rPr>
                  <w:rFonts w:ascii="Cambria Math" w:hAnsi="Cambria Math" w:cs="Calibri"/>
                  <w:sz w:val="24"/>
                  <w:szCs w:val="24"/>
                  <w:lang w:val="en-GB"/>
                </w:rPr>
                <m:t>A</m:t>
              </m:r>
            </m:e>
            <m:sup>
              <m:r>
                <m:rPr>
                  <m:sty m:val="p"/>
                </m:rPr>
                <w:rPr>
                  <w:rFonts w:ascii="Cambria Math" w:hAnsi="Cambria Math" w:cs="Calibri"/>
                  <w:sz w:val="24"/>
                  <w:szCs w:val="24"/>
                  <w:lang w:val="en-GB"/>
                </w:rPr>
                <m:t>*</m:t>
              </m:r>
            </m:sup>
          </m:sSup>
          <m:r>
            <m:rPr>
              <m:sty m:val="p"/>
            </m:rPr>
            <w:rPr>
              <w:rFonts w:ascii="Cambria Math" w:hAnsi="Cambria Math" w:cs="Calibri"/>
              <w:sz w:val="24"/>
              <w:szCs w:val="24"/>
              <w:lang w:val="en-GB"/>
            </w:rPr>
            <m:t>)-</m:t>
          </m:r>
          <m:f>
            <m:fPr>
              <m:ctrlPr>
                <w:rPr>
                  <w:rFonts w:ascii="Cambria Math" w:hAnsi="Cambria Math" w:cs="Calibri"/>
                  <w:sz w:val="24"/>
                  <w:szCs w:val="24"/>
                  <w:lang w:val="en-GB"/>
                </w:rPr>
              </m:ctrlPr>
            </m:fPr>
            <m:num>
              <m:r>
                <m:rPr>
                  <m:sty m:val="p"/>
                </m:rPr>
                <w:rPr>
                  <w:rFonts w:ascii="Cambria Math" w:hAnsi="Cambria Math" w:cs="Calibri"/>
                  <w:sz w:val="24"/>
                  <w:szCs w:val="24"/>
                  <w:lang w:val="en-GB"/>
                </w:rPr>
                <m:t>q</m:t>
              </m:r>
              <m:sSub>
                <m:sSubPr>
                  <m:ctrlPr>
                    <w:rPr>
                      <w:rFonts w:ascii="Cambria Math" w:hAnsi="Cambria Math" w:cs="Calibri"/>
                      <w:sz w:val="24"/>
                      <w:szCs w:val="24"/>
                      <w:lang w:val="en-GB"/>
                    </w:rPr>
                  </m:ctrlPr>
                </m:sSubPr>
                <m:e>
                  <m:r>
                    <m:rPr>
                      <m:sty m:val="p"/>
                    </m:rPr>
                    <w:rPr>
                      <w:rFonts w:ascii="Cambria Math" w:hAnsi="Cambria Math" w:cs="Calibri"/>
                      <w:sz w:val="24"/>
                      <w:szCs w:val="24"/>
                      <w:lang w:val="en-GB"/>
                    </w:rPr>
                    <m:t>Φ</m:t>
                  </m:r>
                </m:e>
                <m:sub>
                  <m:r>
                    <m:rPr>
                      <m:sty m:val="p"/>
                    </m:rPr>
                    <w:rPr>
                      <w:rFonts w:ascii="Cambria Math" w:hAnsi="Cambria Math" w:cs="Calibri"/>
                      <w:sz w:val="24"/>
                      <w:szCs w:val="24"/>
                      <w:lang w:val="en-GB"/>
                    </w:rPr>
                    <m:t>B</m:t>
                  </m:r>
                </m:sub>
              </m:sSub>
            </m:num>
            <m:den>
              <m:r>
                <m:rPr>
                  <m:sty m:val="p"/>
                </m:rPr>
                <w:rPr>
                  <w:rFonts w:ascii="Cambria Math" w:hAnsi="Cambria Math" w:cs="Calibri"/>
                  <w:sz w:val="24"/>
                  <w:szCs w:val="24"/>
                  <w:lang w:val="en-GB"/>
                </w:rPr>
                <m:t>kT</m:t>
              </m:r>
            </m:den>
          </m:f>
        </m:oMath>
      </m:oMathPara>
    </w:p>
    <w:p w14:paraId="59D21628" w14:textId="038A2D3F" w:rsidR="009346E8" w:rsidRDefault="00AA53D2" w:rsidP="00316DD7">
      <w:pPr>
        <w:jc w:val="both"/>
        <w:rPr>
          <w:rFonts w:ascii="Calibri" w:eastAsiaTheme="minorEastAsia" w:hAnsi="Calibri" w:cs="Calibri"/>
          <w:sz w:val="24"/>
          <w:szCs w:val="24"/>
          <w:lang w:val="en-GB"/>
        </w:rPr>
      </w:pPr>
      <w:r w:rsidRPr="00653350">
        <w:rPr>
          <w:rFonts w:ascii="Calibri" w:eastAsiaTheme="minorEastAsia" w:hAnsi="Calibri" w:cs="Calibri"/>
          <w:sz w:val="24"/>
          <w:szCs w:val="24"/>
          <w:lang w:val="en-GB"/>
        </w:rPr>
        <w:t xml:space="preserve">it is possible to extract the value of  </w:t>
      </w:r>
      <w:r>
        <w:rPr>
          <w:rFonts w:ascii="Calibri" w:eastAsiaTheme="minorEastAsia" w:hAnsi="Calibri" w:cs="Calibri"/>
          <w:sz w:val="24"/>
          <w:szCs w:val="24"/>
          <w:lang w:val="en-GB"/>
        </w:rPr>
        <w:t>AA</w:t>
      </w:r>
      <w:r w:rsidRPr="00653350">
        <w:rPr>
          <w:rFonts w:ascii="Calibri" w:eastAsiaTheme="minorEastAsia" w:hAnsi="Calibri" w:cs="Calibri"/>
          <w:sz w:val="24"/>
          <w:szCs w:val="24"/>
          <w:vertAlign w:val="superscript"/>
          <w:lang w:val="en-GB"/>
        </w:rPr>
        <w:t>*</w:t>
      </w:r>
      <w:r>
        <w:rPr>
          <w:rFonts w:ascii="Calibri" w:eastAsiaTheme="minorEastAsia" w:hAnsi="Calibri" w:cs="Calibri"/>
          <w:sz w:val="24"/>
          <w:szCs w:val="24"/>
          <w:lang w:val="en-GB"/>
        </w:rPr>
        <w:t xml:space="preserve"> </w:t>
      </w:r>
      <w:r w:rsidRPr="00653350">
        <w:rPr>
          <w:rFonts w:ascii="Calibri" w:eastAsiaTheme="minorEastAsia" w:hAnsi="Calibri" w:cs="Calibri"/>
          <w:sz w:val="24"/>
          <w:szCs w:val="24"/>
          <w:lang w:val="en-GB"/>
        </w:rPr>
        <w:t>and the effective energy barrier</w:t>
      </w:r>
      <w:r w:rsidRPr="00653350">
        <w:rPr>
          <w:rFonts w:ascii="Calibri" w:eastAsiaTheme="minorEastAsia" w:hAnsi="Calibri" w:cs="Calibri"/>
          <w:sz w:val="24"/>
          <w:szCs w:val="24"/>
          <w:lang w:val="en-GB"/>
        </w:rPr>
        <w:fldChar w:fldCharType="begin"/>
      </w:r>
      <w:r w:rsidR="00A4601B">
        <w:rPr>
          <w:rFonts w:ascii="Calibri" w:eastAsiaTheme="minorEastAsia" w:hAnsi="Calibri" w:cs="Calibri"/>
          <w:sz w:val="24"/>
          <w:szCs w:val="24"/>
          <w:lang w:val="en-GB"/>
        </w:rPr>
        <w:instrText xml:space="preserve"> ADDIN ZOTERO_ITEM CSL_CITATION {"citationID":"N7ek8WLs","properties":{"formattedCitation":"\\super 3\\uc0\\u8211{}5\\nosupersub{}","plainCitation":"3–5","noteIndex":0},"citationItems":[{"id":"9REKAua1/ltdT5dBb","uris":["http://zotero.org/users/local/i67hAE23/items/DQAB7Q3S"],"itemData":{"id":51,"type":"article-journal","abstract":"From an analysis of Pd contact Schottky diodes fabricated on (100) β-Ga2O3 wafers, in combination with data extracted from published work, we show that the barrier height inhomogeneity commonly observed in β-Ga2O3 Schottky diodes has a strong correlation to the temperature. For doping of </w:instrText>
      </w:r>
      <w:r w:rsidR="00A4601B">
        <w:rPr>
          <w:rFonts w:ascii="Cambria Math" w:eastAsiaTheme="minorEastAsia" w:hAnsi="Cambria Math" w:cs="Cambria Math"/>
          <w:sz w:val="24"/>
          <w:szCs w:val="24"/>
          <w:lang w:val="en-GB"/>
        </w:rPr>
        <w:instrText>∼</w:instrText>
      </w:r>
      <w:r w:rsidR="00A4601B">
        <w:rPr>
          <w:rFonts w:ascii="Calibri" w:eastAsiaTheme="minorEastAsia" w:hAnsi="Calibri" w:cs="Calibri"/>
          <w:sz w:val="24"/>
          <w:szCs w:val="24"/>
          <w:lang w:val="en-GB"/>
        </w:rPr>
        <w:instrText xml:space="preserve">5 × 1017 cm−3, the barrier height arising from an inhomogeneous contact continues to increase to a temperature of </w:instrText>
      </w:r>
      <w:r w:rsidR="00A4601B">
        <w:rPr>
          <w:rFonts w:ascii="Cambria Math" w:eastAsiaTheme="minorEastAsia" w:hAnsi="Cambria Math" w:cs="Cambria Math"/>
          <w:sz w:val="24"/>
          <w:szCs w:val="24"/>
          <w:lang w:val="en-GB"/>
        </w:rPr>
        <w:instrText>∼</w:instrText>
      </w:r>
      <w:r w:rsidR="00A4601B">
        <w:rPr>
          <w:rFonts w:ascii="Calibri" w:eastAsiaTheme="minorEastAsia" w:hAnsi="Calibri" w:cs="Calibri"/>
          <w:sz w:val="24"/>
          <w:szCs w:val="24"/>
          <w:lang w:val="en-GB"/>
        </w:rPr>
        <w:instrText xml:space="preserve">440 K followed by a decrease upon a further increase in temperature, which is commonly attributed to the bandgap narrowing of the semiconductor referred to as the Varshni shift. At this regime, Schottky characteristics representing close to homogeneous behavior is obtained. Thus, a device under normal operating conditions in a system, which results in an elevated temperature, is expected to exhibit near-homogeneous electrical characteristics.","container-title":"Journal of Vacuum Science &amp; Technology B, Nanotechnology and Microelectronics: Materials, Processing, Measurement, and Phenomena","DOI":"10.1116/6.0001059","ISSN":"2166-2746, 2166-2754","issue":"4","language":"en","page":"040601","source":"DOI.org (Crossref)","title":"Temperature dependence of barrier height inhomogeneity in &lt;i&gt;β&lt;/i&gt; -Ga2O3 Schottky barrier diodes","volume":"39","author":[{"family":"Jadhav","given":"Aakash"},{"family":"Lyle","given":"Luke A. M."},{"family":"Xu","given":"Ziyi"},{"family":"Das","given":"Kalyan K."},{"family":"Porter","given":"Lisa M."},{"family":"Sarkar","given":"Biplab"}],"issued":{"date-parts":[["2021",7,1]]}}},{"id":"9REKAua1/uk7FxCI7","uris":["http://zotero.org/users/local/i67hAE23/items/IGLE8LWB"],"itemData":{"id":52,"type":"article-journal","container-title":"2D Materials","DOI":"10.1088/2053-1583/4/1/015024","ISSN":"2053-1583","issue":"1","journalAbbreviation":"2D Mater.","page":"015024","source":"DOI.org (Crossref)","title":"Tunable Schottky barrier and high responsivity in graphene/Si-nanotip optoelectronic device","volume":"4","author":[{"family":"Di Bartolomeo","given":"Antonio"},{"family":"Giubileo","given":"Filippo"},{"family":"Luongo","given":"Giuseppe"},{"family":"Iemmo","given":"Laura"},{"family":"Martucciello","given":"Nadia"},{"family":"Niu","given":"Gang"},{"family":"Fraschke","given":"Mirko"},{"family":"Skibitzki","given":"Oliver"},{"family":"Schroeder","given":"Thomas"},{"family":"Lupina","given":"Grzegorz"}],"issued":{"date-parts":[["2016",11,28]]}}},{"id":"9REKAua1/1hR1qsc9","uris":["http://zotero.org/users/local/i67hAE23/items/FA96XA3X"],"itemData":{"id":54,"type":"article-journal","container-title":"Heliyon","DOI":"10.1016/j.heliyon.2020.e04852","ISSN":"24058440","issue":"9","journalAbbreviation":"Heliyon","language":"en","page":"e04852","source":"DOI.org (Crossref)","title":"Schottky barrier inhomogeneities at the interface of different epitaxial layer thicknesses of n-GaAs/Ti/Au/Si: Al0.33Ga0.67As","title-short":"Schottky barrier inhomogeneities at the interface of different epitaxial layer thicknesses of n-GaAs/Ti/Au/Si","volume":"6","author":[{"family":"Al-Ahmadi","given":"Noorah Ahmed"}],"issued":{"date-parts":[["2020",9]]}}}],"schema":"https://github.com/citation-style-language/schema/raw/master/csl-citation.json"} </w:instrText>
      </w:r>
      <w:r w:rsidRPr="00653350">
        <w:rPr>
          <w:rFonts w:ascii="Calibri" w:eastAsiaTheme="minorEastAsia" w:hAnsi="Calibri" w:cs="Calibri"/>
          <w:sz w:val="24"/>
          <w:szCs w:val="24"/>
          <w:lang w:val="en-GB"/>
        </w:rPr>
        <w:fldChar w:fldCharType="separate"/>
      </w:r>
      <w:r w:rsidRPr="00AA53D2">
        <w:rPr>
          <w:rFonts w:ascii="Calibri" w:hAnsi="Calibri" w:cs="Calibri"/>
          <w:kern w:val="0"/>
          <w:sz w:val="24"/>
          <w:vertAlign w:val="superscript"/>
        </w:rPr>
        <w:t>3–5</w:t>
      </w:r>
      <w:r w:rsidRPr="00653350">
        <w:rPr>
          <w:rFonts w:ascii="Calibri" w:eastAsiaTheme="minorEastAsia" w:hAnsi="Calibri" w:cs="Calibri"/>
          <w:sz w:val="24"/>
          <w:szCs w:val="24"/>
          <w:lang w:val="en-GB"/>
        </w:rPr>
        <w:fldChar w:fldCharType="end"/>
      </w:r>
      <w:r w:rsidRPr="00653350">
        <w:rPr>
          <w:rFonts w:ascii="Calibri" w:eastAsiaTheme="minorEastAsia" w:hAnsi="Calibri" w:cs="Calibri"/>
          <w:sz w:val="24"/>
          <w:szCs w:val="24"/>
          <w:lang w:val="en-GB"/>
        </w:rPr>
        <w:t>, that is around</w:t>
      </w:r>
      <w:r>
        <w:rPr>
          <w:rFonts w:ascii="Calibri" w:eastAsiaTheme="minorEastAsia" w:hAnsi="Calibri" w:cs="Calibri"/>
          <w:sz w:val="24"/>
          <w:szCs w:val="24"/>
          <w:lang w:val="en-GB"/>
        </w:rPr>
        <w:t xml:space="preserve"> Փ</w:t>
      </w:r>
      <w:r w:rsidRPr="00653350">
        <w:rPr>
          <w:rFonts w:ascii="Calibri" w:eastAsiaTheme="minorEastAsia" w:hAnsi="Calibri" w:cs="Calibri"/>
          <w:sz w:val="24"/>
          <w:szCs w:val="24"/>
          <w:vertAlign w:val="subscript"/>
          <w:lang w:val="en-GB"/>
        </w:rPr>
        <w:t>B</w:t>
      </w:r>
      <w:r>
        <w:rPr>
          <w:rFonts w:ascii="Calibri" w:eastAsiaTheme="minorEastAsia" w:hAnsi="Calibri" w:cs="Calibri"/>
          <w:sz w:val="24"/>
          <w:szCs w:val="24"/>
          <w:lang w:val="en-GB"/>
        </w:rPr>
        <w:t xml:space="preserve"> = 0.32 eV</w:t>
      </w:r>
      <w:r w:rsidRPr="00653350">
        <w:rPr>
          <w:rFonts w:ascii="Calibri" w:eastAsiaTheme="minorEastAsia" w:hAnsi="Calibri" w:cs="Calibri"/>
          <w:sz w:val="24"/>
          <w:szCs w:val="24"/>
          <w:lang w:val="en-GB"/>
        </w:rPr>
        <w:t>.</w:t>
      </w:r>
    </w:p>
    <w:p w14:paraId="25257BE8" w14:textId="77777777" w:rsidR="00AA53D2" w:rsidRDefault="00AA53D2" w:rsidP="00316DD7">
      <w:pPr>
        <w:jc w:val="both"/>
        <w:rPr>
          <w:rFonts w:ascii="Calibri" w:eastAsiaTheme="minorEastAsia" w:hAnsi="Calibri" w:cs="Calibri"/>
          <w:sz w:val="24"/>
          <w:szCs w:val="24"/>
          <w:lang w:val="en-GB"/>
        </w:rPr>
      </w:pPr>
    </w:p>
    <w:p w14:paraId="2265B11E" w14:textId="77777777" w:rsidR="00AA53D2" w:rsidRDefault="00AA53D2" w:rsidP="00316DD7">
      <w:pPr>
        <w:jc w:val="both"/>
        <w:rPr>
          <w:rFonts w:ascii="Calibri" w:eastAsiaTheme="minorEastAsia" w:hAnsi="Calibri" w:cs="Calibri"/>
          <w:sz w:val="24"/>
          <w:szCs w:val="24"/>
          <w:lang w:val="en-GB"/>
        </w:rPr>
      </w:pPr>
    </w:p>
    <w:p w14:paraId="23090F03" w14:textId="77777777" w:rsidR="00AA53D2" w:rsidRDefault="00AA53D2" w:rsidP="00316DD7">
      <w:pPr>
        <w:jc w:val="both"/>
        <w:rPr>
          <w:rFonts w:ascii="Calibri" w:eastAsiaTheme="minorEastAsia" w:hAnsi="Calibri" w:cs="Calibri"/>
          <w:sz w:val="24"/>
          <w:szCs w:val="24"/>
          <w:lang w:val="en-GB"/>
        </w:rPr>
      </w:pPr>
    </w:p>
    <w:p w14:paraId="4AE765DB" w14:textId="77777777" w:rsidR="00AA53D2" w:rsidRDefault="00AA53D2" w:rsidP="00316DD7">
      <w:pPr>
        <w:jc w:val="both"/>
        <w:rPr>
          <w:rFonts w:ascii="Calibri" w:eastAsiaTheme="minorEastAsia" w:hAnsi="Calibri" w:cs="Calibri"/>
          <w:sz w:val="24"/>
          <w:szCs w:val="24"/>
          <w:lang w:val="en-GB"/>
        </w:rPr>
      </w:pPr>
    </w:p>
    <w:p w14:paraId="45A1A0B4" w14:textId="77777777" w:rsidR="00AA53D2" w:rsidRPr="00AA53D2" w:rsidRDefault="00AA53D2" w:rsidP="00316DD7">
      <w:pPr>
        <w:jc w:val="both"/>
        <w:rPr>
          <w:rFonts w:ascii="Calibri" w:eastAsiaTheme="minorEastAsia" w:hAnsi="Calibri" w:cs="Calibri"/>
          <w:iCs/>
          <w:sz w:val="24"/>
          <w:szCs w:val="24"/>
          <w:lang w:val="en-GB"/>
        </w:rPr>
      </w:pPr>
    </w:p>
    <w:p w14:paraId="00794E0E" w14:textId="6060F454" w:rsidR="005342BC" w:rsidRPr="000E4C7F" w:rsidRDefault="005342BC" w:rsidP="005342BC">
      <w:pPr>
        <w:pStyle w:val="Paragrafoelenco"/>
        <w:numPr>
          <w:ilvl w:val="0"/>
          <w:numId w:val="1"/>
        </w:numPr>
        <w:jc w:val="both"/>
        <w:rPr>
          <w:rFonts w:ascii="Calibri" w:hAnsi="Calibri" w:cs="Calibri"/>
          <w:b/>
          <w:bCs/>
          <w:sz w:val="24"/>
          <w:szCs w:val="24"/>
        </w:rPr>
      </w:pPr>
      <w:r w:rsidRPr="000E4C7F">
        <w:rPr>
          <w:rFonts w:ascii="Calibri" w:hAnsi="Calibri" w:cs="Calibri"/>
          <w:b/>
          <w:bCs/>
          <w:sz w:val="24"/>
          <w:szCs w:val="24"/>
        </w:rPr>
        <w:lastRenderedPageBreak/>
        <w:t>Photoresponse in Ni/Si Schottky diode</w:t>
      </w:r>
    </w:p>
    <w:p w14:paraId="568A7088" w14:textId="2123572F" w:rsidR="005342BC" w:rsidRPr="000E4C7F" w:rsidRDefault="005342BC" w:rsidP="005342BC">
      <w:pPr>
        <w:jc w:val="both"/>
        <w:rPr>
          <w:rFonts w:ascii="Calibri" w:hAnsi="Calibri" w:cs="Calibri"/>
          <w:b/>
          <w:bCs/>
          <w:sz w:val="24"/>
          <w:szCs w:val="24"/>
          <w:lang w:val="en-GB"/>
        </w:rPr>
      </w:pPr>
      <w:r w:rsidRPr="000E4C7F">
        <w:rPr>
          <w:rFonts w:ascii="Calibri" w:hAnsi="Calibri" w:cs="Calibri"/>
          <w:noProof/>
          <w:lang w:val="en-GB" w:eastAsia="en-GB"/>
        </w:rPr>
        <w:drawing>
          <wp:inline distT="0" distB="0" distL="0" distR="0" wp14:anchorId="41C53CD3" wp14:editId="65431DDB">
            <wp:extent cx="2880000" cy="2294275"/>
            <wp:effectExtent l="0" t="0" r="0" b="0"/>
            <wp:docPr id="20302241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2414" name="Immagin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880000" cy="2294275"/>
                    </a:xfrm>
                    <a:prstGeom prst="rect">
                      <a:avLst/>
                    </a:prstGeom>
                    <a:noFill/>
                    <a:ln>
                      <a:noFill/>
                    </a:ln>
                  </pic:spPr>
                </pic:pic>
              </a:graphicData>
            </a:graphic>
          </wp:inline>
        </w:drawing>
      </w:r>
      <w:r w:rsidRPr="000E4C7F">
        <w:rPr>
          <w:rFonts w:ascii="Calibri" w:hAnsi="Calibri" w:cs="Calibri"/>
          <w:b/>
          <w:bCs/>
          <w:sz w:val="24"/>
          <w:szCs w:val="24"/>
          <w:lang w:val="en-GB"/>
        </w:rPr>
        <w:t xml:space="preserve"> </w:t>
      </w:r>
      <w:r w:rsidR="00497908" w:rsidRPr="000E4C7F">
        <w:rPr>
          <w:rFonts w:ascii="Calibri" w:hAnsi="Calibri" w:cs="Calibri"/>
          <w:b/>
          <w:bCs/>
          <w:noProof/>
          <w:sz w:val="24"/>
          <w:szCs w:val="24"/>
          <w:lang w:val="en-GB" w:eastAsia="en-GB"/>
        </w:rPr>
        <w:drawing>
          <wp:inline distT="0" distB="0" distL="0" distR="0" wp14:anchorId="3F77C5B1" wp14:editId="5D800FA3">
            <wp:extent cx="2880000" cy="2294274"/>
            <wp:effectExtent l="0" t="0" r="0" b="0"/>
            <wp:docPr id="20810376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37608"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880000" cy="2294274"/>
                    </a:xfrm>
                    <a:prstGeom prst="rect">
                      <a:avLst/>
                    </a:prstGeom>
                    <a:noFill/>
                    <a:ln>
                      <a:noFill/>
                    </a:ln>
                  </pic:spPr>
                </pic:pic>
              </a:graphicData>
            </a:graphic>
          </wp:inline>
        </w:drawing>
      </w:r>
    </w:p>
    <w:p w14:paraId="2AC999D5" w14:textId="21F348D8" w:rsidR="004E7FF8" w:rsidRPr="00692B23" w:rsidRDefault="004E7FF8" w:rsidP="005342BC">
      <w:pPr>
        <w:jc w:val="both"/>
        <w:rPr>
          <w:rFonts w:ascii="Calibri" w:hAnsi="Calibri" w:cs="Calibri"/>
          <w:lang w:val="en-GB"/>
        </w:rPr>
      </w:pPr>
      <w:r w:rsidRPr="00692B23">
        <w:rPr>
          <w:rFonts w:ascii="Calibri" w:hAnsi="Calibri" w:cs="Calibri"/>
          <w:b/>
          <w:bCs/>
          <w:lang w:val="en-GB"/>
        </w:rPr>
        <w:t>Figure S.</w:t>
      </w:r>
      <w:r w:rsidR="00653350">
        <w:rPr>
          <w:rFonts w:ascii="Calibri" w:hAnsi="Calibri" w:cs="Calibri"/>
          <w:b/>
          <w:bCs/>
          <w:lang w:val="en-GB"/>
        </w:rPr>
        <w:t>3</w:t>
      </w:r>
      <w:r w:rsidRPr="00692B23">
        <w:rPr>
          <w:rFonts w:ascii="Calibri" w:hAnsi="Calibri" w:cs="Calibri"/>
          <w:b/>
          <w:bCs/>
          <w:lang w:val="en-GB"/>
        </w:rPr>
        <w:t xml:space="preserve">. </w:t>
      </w:r>
      <w:r w:rsidRPr="00692B23">
        <w:rPr>
          <w:rFonts w:ascii="Calibri" w:hAnsi="Calibri" w:cs="Calibri"/>
          <w:lang w:val="en-GB"/>
        </w:rPr>
        <w:t>(a) Comparison between I</w:t>
      </w:r>
      <w:r w:rsidR="00807540" w:rsidRPr="00692B23">
        <w:rPr>
          <w:rFonts w:ascii="Calibri" w:hAnsi="Calibri" w:cs="Calibri"/>
          <w:lang w:val="en-GB"/>
        </w:rPr>
        <w:t>-</w:t>
      </w:r>
      <w:r w:rsidRPr="00692B23">
        <w:rPr>
          <w:rFonts w:ascii="Calibri" w:hAnsi="Calibri" w:cs="Calibri"/>
          <w:lang w:val="en-GB"/>
        </w:rPr>
        <w:t>V curves in dark (dash line) and under illumination (solid line) of the Ni/ReS</w:t>
      </w:r>
      <w:r w:rsidRPr="00692B23">
        <w:rPr>
          <w:rFonts w:ascii="Calibri" w:hAnsi="Calibri" w:cs="Calibri"/>
          <w:vertAlign w:val="subscript"/>
          <w:lang w:val="en-GB"/>
        </w:rPr>
        <w:t>2</w:t>
      </w:r>
      <w:r w:rsidRPr="00692B23">
        <w:rPr>
          <w:rFonts w:ascii="Calibri" w:hAnsi="Calibri" w:cs="Calibri"/>
          <w:lang w:val="en-GB"/>
        </w:rPr>
        <w:t xml:space="preserve">/Si heterostructure and the Ni/Si </w:t>
      </w:r>
      <w:r w:rsidR="00DE0A46" w:rsidRPr="00692B23">
        <w:rPr>
          <w:rFonts w:ascii="Calibri" w:hAnsi="Calibri" w:cs="Calibri"/>
          <w:lang w:val="en-GB"/>
        </w:rPr>
        <w:t>Schottky</w:t>
      </w:r>
      <w:r w:rsidRPr="00692B23">
        <w:rPr>
          <w:rFonts w:ascii="Calibri" w:hAnsi="Calibri" w:cs="Calibri"/>
          <w:lang w:val="en-GB"/>
        </w:rPr>
        <w:t xml:space="preserve"> diode.  (b) Log-log plot of the photocurrent as a function of the incident optical power of the Ni/ReS</w:t>
      </w:r>
      <w:r w:rsidRPr="00692B23">
        <w:rPr>
          <w:rFonts w:ascii="Calibri" w:hAnsi="Calibri" w:cs="Calibri"/>
          <w:vertAlign w:val="subscript"/>
          <w:lang w:val="en-GB"/>
        </w:rPr>
        <w:t>2</w:t>
      </w:r>
      <w:r w:rsidRPr="00692B23">
        <w:rPr>
          <w:rFonts w:ascii="Calibri" w:hAnsi="Calibri" w:cs="Calibri"/>
          <w:lang w:val="en-GB"/>
        </w:rPr>
        <w:t>/Si device (</w:t>
      </w:r>
      <w:r w:rsidR="00AA53D2">
        <w:rPr>
          <w:rFonts w:ascii="Calibri" w:hAnsi="Calibri" w:cs="Calibri"/>
          <w:lang w:val="en-GB"/>
        </w:rPr>
        <w:t>blue</w:t>
      </w:r>
      <w:r w:rsidRPr="00692B23">
        <w:rPr>
          <w:rFonts w:ascii="Calibri" w:hAnsi="Calibri" w:cs="Calibri"/>
          <w:lang w:val="en-GB"/>
        </w:rPr>
        <w:t>) and Ni/Si diode (red), at positive and negative biases.</w:t>
      </w:r>
    </w:p>
    <w:p w14:paraId="7211FE1F" w14:textId="77777777" w:rsidR="0058008E" w:rsidRPr="000E4C7F" w:rsidRDefault="0058008E" w:rsidP="005342BC">
      <w:pPr>
        <w:jc w:val="both"/>
        <w:rPr>
          <w:rFonts w:ascii="Calibri" w:hAnsi="Calibri" w:cs="Calibri"/>
          <w:sz w:val="24"/>
          <w:szCs w:val="24"/>
          <w:lang w:val="en-GB"/>
        </w:rPr>
      </w:pPr>
    </w:p>
    <w:p w14:paraId="4DD38644" w14:textId="48913FC9" w:rsidR="003C1A0D" w:rsidRPr="000E4C7F" w:rsidRDefault="003C1A0D" w:rsidP="00497908">
      <w:pPr>
        <w:pStyle w:val="Paragrafoelenco"/>
        <w:numPr>
          <w:ilvl w:val="0"/>
          <w:numId w:val="1"/>
        </w:numPr>
        <w:jc w:val="both"/>
        <w:rPr>
          <w:rFonts w:ascii="Calibri" w:eastAsiaTheme="minorEastAsia" w:hAnsi="Calibri" w:cs="Calibri"/>
          <w:b/>
          <w:bCs/>
          <w:sz w:val="24"/>
          <w:szCs w:val="24"/>
          <w:lang w:val="en-GB"/>
        </w:rPr>
      </w:pPr>
      <w:r w:rsidRPr="000E4C7F">
        <w:rPr>
          <w:rFonts w:ascii="Calibri" w:eastAsiaTheme="minorEastAsia" w:hAnsi="Calibri" w:cs="Calibri"/>
          <w:b/>
          <w:bCs/>
          <w:sz w:val="24"/>
          <w:szCs w:val="24"/>
          <w:lang w:val="en-GB"/>
        </w:rPr>
        <w:t>Responsivity maps as function</w:t>
      </w:r>
      <w:r w:rsidR="00F67013">
        <w:rPr>
          <w:rFonts w:ascii="Calibri" w:eastAsiaTheme="minorEastAsia" w:hAnsi="Calibri" w:cs="Calibri"/>
          <w:b/>
          <w:bCs/>
          <w:sz w:val="24"/>
          <w:szCs w:val="24"/>
          <w:lang w:val="en-GB"/>
        </w:rPr>
        <w:t>s</w:t>
      </w:r>
      <w:r w:rsidRPr="000E4C7F">
        <w:rPr>
          <w:rFonts w:ascii="Calibri" w:eastAsiaTheme="minorEastAsia" w:hAnsi="Calibri" w:cs="Calibri"/>
          <w:b/>
          <w:bCs/>
          <w:sz w:val="24"/>
          <w:szCs w:val="24"/>
          <w:lang w:val="en-GB"/>
        </w:rPr>
        <w:t xml:space="preserve"> of external bias and </w:t>
      </w:r>
      <w:r w:rsidR="00431558" w:rsidRPr="000E4C7F">
        <w:rPr>
          <w:rFonts w:ascii="Calibri" w:eastAsiaTheme="minorEastAsia" w:hAnsi="Calibri" w:cs="Calibri"/>
          <w:b/>
          <w:bCs/>
          <w:sz w:val="24"/>
          <w:szCs w:val="24"/>
          <w:lang w:val="en-GB"/>
        </w:rPr>
        <w:t xml:space="preserve">incident power </w:t>
      </w:r>
    </w:p>
    <w:p w14:paraId="1E79ED19" w14:textId="29AA4413" w:rsidR="003C1A0D" w:rsidRDefault="003C1A0D" w:rsidP="00081979">
      <w:pPr>
        <w:rPr>
          <w:rFonts w:ascii="Calibri" w:eastAsiaTheme="minorEastAsia" w:hAnsi="Calibri" w:cs="Calibri"/>
          <w:lang w:val="en-GB"/>
        </w:rPr>
      </w:pPr>
    </w:p>
    <w:p w14:paraId="39701F24" w14:textId="4FD04BC9" w:rsidR="00AA58CF" w:rsidRPr="000E4C7F" w:rsidRDefault="00AA58CF" w:rsidP="00081979">
      <w:pPr>
        <w:rPr>
          <w:rFonts w:ascii="Calibri" w:eastAsiaTheme="minorEastAsia" w:hAnsi="Calibri" w:cs="Calibri"/>
          <w:lang w:val="en-GB"/>
        </w:rPr>
      </w:pPr>
      <w:r>
        <w:rPr>
          <w:rFonts w:ascii="Calibri" w:eastAsiaTheme="minorEastAsia" w:hAnsi="Calibri" w:cs="Calibri"/>
          <w:noProof/>
          <w:lang w:val="en-GB"/>
        </w:rPr>
        <w:drawing>
          <wp:inline distT="0" distB="0" distL="0" distR="0" wp14:anchorId="59B340C6" wp14:editId="0925491C">
            <wp:extent cx="2880000" cy="2294275"/>
            <wp:effectExtent l="0" t="0" r="0" b="0"/>
            <wp:docPr id="1653318043" name="Immagine 1" descr="Immagine che contiene testo, schermata, diagramma, Policrom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18043" name="Immagine 1" descr="Immagine che contiene testo, schermata, diagramma, Policromi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2294275"/>
                    </a:xfrm>
                    <a:prstGeom prst="rect">
                      <a:avLst/>
                    </a:prstGeom>
                    <a:ln>
                      <a:noFill/>
                    </a:ln>
                  </pic:spPr>
                </pic:pic>
              </a:graphicData>
            </a:graphic>
          </wp:inline>
        </w:drawing>
      </w:r>
      <w:r>
        <w:rPr>
          <w:rFonts w:ascii="Calibri" w:eastAsiaTheme="minorEastAsia" w:hAnsi="Calibri" w:cs="Calibri"/>
          <w:noProof/>
          <w:lang w:val="en-GB"/>
        </w:rPr>
        <w:drawing>
          <wp:inline distT="0" distB="0" distL="0" distR="0" wp14:anchorId="04F84580" wp14:editId="44F5B0F4">
            <wp:extent cx="2880000" cy="2294275"/>
            <wp:effectExtent l="0" t="0" r="0" b="0"/>
            <wp:docPr id="2049427486" name="Immagine 2" descr="Immagine che contiene testo, schermata, Policromi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427486" name="Immagine 2" descr="Immagine che contiene testo, schermata, Policromia, diagramm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2294275"/>
                    </a:xfrm>
                    <a:prstGeom prst="rect">
                      <a:avLst/>
                    </a:prstGeom>
                    <a:ln>
                      <a:noFill/>
                    </a:ln>
                  </pic:spPr>
                </pic:pic>
              </a:graphicData>
            </a:graphic>
          </wp:inline>
        </w:drawing>
      </w:r>
    </w:p>
    <w:p w14:paraId="4689AA94" w14:textId="68385AB5" w:rsidR="003C1A0D" w:rsidRPr="00A4601B" w:rsidRDefault="004E7FF8" w:rsidP="003C1A0D">
      <w:pPr>
        <w:jc w:val="both"/>
        <w:rPr>
          <w:rFonts w:ascii="Calibri" w:eastAsiaTheme="minorEastAsia" w:hAnsi="Calibri" w:cs="Calibri"/>
          <w:lang w:val="en-GB"/>
        </w:rPr>
      </w:pPr>
      <w:r w:rsidRPr="000E4C7F">
        <w:rPr>
          <w:rFonts w:ascii="Calibri" w:eastAsiaTheme="minorEastAsia" w:hAnsi="Calibri" w:cs="Calibri"/>
          <w:b/>
          <w:bCs/>
          <w:lang w:val="en-GB"/>
        </w:rPr>
        <w:t>Figure S.</w:t>
      </w:r>
      <w:r w:rsidR="00653350">
        <w:rPr>
          <w:rFonts w:ascii="Calibri" w:eastAsiaTheme="minorEastAsia" w:hAnsi="Calibri" w:cs="Calibri"/>
          <w:b/>
          <w:bCs/>
          <w:lang w:val="en-GB"/>
        </w:rPr>
        <w:t>4</w:t>
      </w:r>
      <w:r w:rsidRPr="00A4601B">
        <w:rPr>
          <w:rFonts w:ascii="Calibri" w:eastAsiaTheme="minorEastAsia" w:hAnsi="Calibri" w:cs="Calibri"/>
          <w:lang w:val="en-GB"/>
        </w:rPr>
        <w:t xml:space="preserve">. </w:t>
      </w:r>
      <w:proofErr w:type="spellStart"/>
      <w:proofErr w:type="gramStart"/>
      <w:r w:rsidR="00AA58CF" w:rsidRPr="00A4601B">
        <w:rPr>
          <w:rFonts w:ascii="Calibri" w:eastAsiaTheme="minorEastAsia" w:hAnsi="Calibri" w:cs="Calibri"/>
          <w:lang w:val="en-GB"/>
        </w:rPr>
        <w:t>a,b</w:t>
      </w:r>
      <w:proofErr w:type="spellEnd"/>
      <w:proofErr w:type="gramEnd"/>
      <w:r w:rsidR="00AA58CF" w:rsidRPr="00A4601B">
        <w:rPr>
          <w:rFonts w:ascii="Calibri" w:eastAsiaTheme="minorEastAsia" w:hAnsi="Calibri" w:cs="Calibri"/>
          <w:lang w:val="en-GB"/>
        </w:rPr>
        <w:t>) Colour maps: responsivity as a function of incident power at a) negative, and b) positive external biases. At each bias responsivity is almost constant as a function of the incident power and increases as a function of the external bias (absolute value).</w:t>
      </w:r>
    </w:p>
    <w:p w14:paraId="5C865845" w14:textId="77777777" w:rsidR="00BB2692" w:rsidRPr="000E4C7F" w:rsidRDefault="00BB2692" w:rsidP="005342BC">
      <w:pPr>
        <w:jc w:val="both"/>
        <w:rPr>
          <w:rFonts w:ascii="Calibri" w:hAnsi="Calibri" w:cs="Calibri"/>
          <w:b/>
          <w:bCs/>
          <w:sz w:val="24"/>
          <w:szCs w:val="24"/>
          <w:lang w:val="en-GB"/>
        </w:rPr>
      </w:pPr>
    </w:p>
    <w:p w14:paraId="61C46BB7" w14:textId="77777777" w:rsidR="00BB2692" w:rsidRDefault="00BB2692" w:rsidP="005342BC">
      <w:pPr>
        <w:jc w:val="both"/>
        <w:rPr>
          <w:rFonts w:ascii="Calibri" w:hAnsi="Calibri" w:cs="Calibri"/>
          <w:b/>
          <w:bCs/>
          <w:sz w:val="24"/>
          <w:szCs w:val="24"/>
          <w:lang w:val="en-GB"/>
        </w:rPr>
      </w:pPr>
    </w:p>
    <w:p w14:paraId="440D2885" w14:textId="77777777" w:rsidR="00A4601B" w:rsidRDefault="00A4601B" w:rsidP="005342BC">
      <w:pPr>
        <w:jc w:val="both"/>
        <w:rPr>
          <w:rFonts w:ascii="Calibri" w:hAnsi="Calibri" w:cs="Calibri"/>
          <w:b/>
          <w:bCs/>
          <w:sz w:val="24"/>
          <w:szCs w:val="24"/>
          <w:lang w:val="en-GB"/>
        </w:rPr>
      </w:pPr>
    </w:p>
    <w:p w14:paraId="27308B5D" w14:textId="77777777" w:rsidR="00AA53D2" w:rsidRDefault="00AA53D2" w:rsidP="005342BC">
      <w:pPr>
        <w:jc w:val="both"/>
        <w:rPr>
          <w:rFonts w:ascii="Calibri" w:hAnsi="Calibri" w:cs="Calibri"/>
          <w:b/>
          <w:bCs/>
          <w:sz w:val="24"/>
          <w:szCs w:val="24"/>
          <w:lang w:val="en-GB"/>
        </w:rPr>
      </w:pPr>
    </w:p>
    <w:p w14:paraId="3C558C1C" w14:textId="77777777" w:rsidR="00AA53D2" w:rsidRPr="000E4C7F" w:rsidRDefault="00AA53D2" w:rsidP="005342BC">
      <w:pPr>
        <w:jc w:val="both"/>
        <w:rPr>
          <w:rFonts w:ascii="Calibri" w:hAnsi="Calibri" w:cs="Calibri"/>
          <w:b/>
          <w:bCs/>
          <w:sz w:val="24"/>
          <w:szCs w:val="24"/>
          <w:lang w:val="en-GB"/>
        </w:rPr>
      </w:pPr>
    </w:p>
    <w:p w14:paraId="3ED60A96" w14:textId="6BF02FCD" w:rsidR="00BB2692" w:rsidRPr="000E4C7F" w:rsidRDefault="00985CF4" w:rsidP="005342BC">
      <w:pPr>
        <w:pStyle w:val="Paragrafoelenco"/>
        <w:numPr>
          <w:ilvl w:val="0"/>
          <w:numId w:val="1"/>
        </w:numPr>
        <w:jc w:val="both"/>
        <w:rPr>
          <w:rFonts w:ascii="Calibri" w:hAnsi="Calibri" w:cs="Calibri"/>
          <w:b/>
          <w:bCs/>
          <w:sz w:val="24"/>
          <w:szCs w:val="24"/>
          <w:lang w:val="en-GB"/>
        </w:rPr>
      </w:pPr>
      <w:proofErr w:type="spellStart"/>
      <w:r w:rsidRPr="000E4C7F">
        <w:rPr>
          <w:rFonts w:ascii="Calibri" w:hAnsi="Calibri" w:cs="Calibri"/>
          <w:b/>
          <w:bCs/>
          <w:sz w:val="24"/>
          <w:szCs w:val="24"/>
          <w:lang w:val="en-GB"/>
        </w:rPr>
        <w:lastRenderedPageBreak/>
        <w:t>Photoresponse</w:t>
      </w:r>
      <w:proofErr w:type="spellEnd"/>
      <w:r w:rsidRPr="000E4C7F">
        <w:rPr>
          <w:rFonts w:ascii="Calibri" w:hAnsi="Calibri" w:cs="Calibri"/>
          <w:b/>
          <w:bCs/>
          <w:sz w:val="24"/>
          <w:szCs w:val="24"/>
          <w:lang w:val="en-GB"/>
        </w:rPr>
        <w:t xml:space="preserve"> unde</w:t>
      </w:r>
      <w:r w:rsidR="0058008E" w:rsidRPr="000E4C7F">
        <w:rPr>
          <w:rFonts w:ascii="Calibri" w:hAnsi="Calibri" w:cs="Calibri"/>
          <w:b/>
          <w:bCs/>
          <w:sz w:val="24"/>
          <w:szCs w:val="24"/>
          <w:lang w:val="en-GB"/>
        </w:rPr>
        <w:t>r</w:t>
      </w:r>
      <w:r w:rsidRPr="000E4C7F">
        <w:rPr>
          <w:rFonts w:ascii="Calibri" w:hAnsi="Calibri" w:cs="Calibri"/>
          <w:b/>
          <w:bCs/>
          <w:sz w:val="24"/>
          <w:szCs w:val="24"/>
          <w:lang w:val="en-GB"/>
        </w:rPr>
        <w:t xml:space="preserve"> switching light</w:t>
      </w:r>
      <w:r w:rsidR="00BB2692" w:rsidRPr="000E4C7F">
        <w:rPr>
          <w:rFonts w:ascii="Calibri" w:hAnsi="Calibri" w:cs="Calibri"/>
          <w:b/>
          <w:bCs/>
          <w:sz w:val="24"/>
          <w:szCs w:val="24"/>
          <w:lang w:val="en-GB"/>
        </w:rPr>
        <w:t xml:space="preserve"> at negative</w:t>
      </w:r>
      <w:r w:rsidRPr="000E4C7F">
        <w:rPr>
          <w:rFonts w:ascii="Calibri" w:hAnsi="Calibri" w:cs="Calibri"/>
          <w:b/>
          <w:bCs/>
          <w:sz w:val="24"/>
          <w:szCs w:val="24"/>
          <w:lang w:val="en-GB"/>
        </w:rPr>
        <w:t xml:space="preserve"> </w:t>
      </w:r>
      <w:r w:rsidR="00D453D3" w:rsidRPr="000E4C7F">
        <w:rPr>
          <w:rFonts w:ascii="Calibri" w:hAnsi="Calibri" w:cs="Calibri"/>
          <w:b/>
          <w:bCs/>
          <w:sz w:val="24"/>
          <w:szCs w:val="24"/>
          <w:lang w:val="en-GB"/>
        </w:rPr>
        <w:t xml:space="preserve">bias </w:t>
      </w:r>
      <w:r w:rsidRPr="000E4C7F">
        <w:rPr>
          <w:rFonts w:ascii="Calibri" w:hAnsi="Calibri" w:cs="Calibri"/>
          <w:b/>
          <w:bCs/>
          <w:sz w:val="24"/>
          <w:szCs w:val="24"/>
          <w:lang w:val="en-GB"/>
        </w:rPr>
        <w:t>voltage</w:t>
      </w:r>
      <w:r w:rsidR="00BB2692" w:rsidRPr="000E4C7F">
        <w:rPr>
          <w:rFonts w:ascii="Calibri" w:hAnsi="Calibri" w:cs="Calibri"/>
          <w:b/>
          <w:bCs/>
          <w:sz w:val="24"/>
          <w:szCs w:val="24"/>
          <w:lang w:val="en-GB"/>
        </w:rPr>
        <w:t xml:space="preserve"> </w:t>
      </w:r>
    </w:p>
    <w:p w14:paraId="0247A112" w14:textId="145BD885" w:rsidR="00AC643F" w:rsidRPr="000E4C7F" w:rsidRDefault="002374DE" w:rsidP="00CA2DFF">
      <w:pPr>
        <w:jc w:val="center"/>
        <w:rPr>
          <w:rFonts w:ascii="Calibri" w:hAnsi="Calibri" w:cs="Calibri"/>
          <w:b/>
          <w:bCs/>
          <w:sz w:val="24"/>
          <w:szCs w:val="24"/>
          <w:lang w:val="en-GB"/>
        </w:rPr>
      </w:pPr>
      <w:r w:rsidRPr="000E4C7F">
        <w:rPr>
          <w:rFonts w:ascii="Calibri" w:hAnsi="Calibri" w:cs="Calibri"/>
          <w:b/>
          <w:bCs/>
          <w:noProof/>
          <w:sz w:val="24"/>
          <w:szCs w:val="24"/>
          <w:lang w:val="en-GB" w:eastAsia="en-GB"/>
        </w:rPr>
        <w:drawing>
          <wp:inline distT="0" distB="0" distL="0" distR="0" wp14:anchorId="35DD1C04" wp14:editId="1DB73348">
            <wp:extent cx="2879999" cy="2203880"/>
            <wp:effectExtent l="0" t="0" r="0" b="6350"/>
            <wp:docPr id="85810758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07585" name="Immagine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79999" cy="2203880"/>
                    </a:xfrm>
                    <a:prstGeom prst="rect">
                      <a:avLst/>
                    </a:prstGeom>
                    <a:noFill/>
                    <a:ln>
                      <a:noFill/>
                    </a:ln>
                  </pic:spPr>
                </pic:pic>
              </a:graphicData>
            </a:graphic>
          </wp:inline>
        </w:drawing>
      </w:r>
    </w:p>
    <w:p w14:paraId="7F072517" w14:textId="23D0368A" w:rsidR="004E7FF8" w:rsidRPr="009B78B2" w:rsidRDefault="004E7FF8" w:rsidP="005342BC">
      <w:pPr>
        <w:jc w:val="both"/>
        <w:rPr>
          <w:rFonts w:ascii="Calibri" w:hAnsi="Calibri" w:cs="Calibri"/>
          <w:lang w:val="en-GB"/>
        </w:rPr>
      </w:pPr>
      <w:r w:rsidRPr="009B78B2">
        <w:rPr>
          <w:rFonts w:ascii="Calibri" w:hAnsi="Calibri" w:cs="Calibri"/>
          <w:b/>
          <w:bCs/>
          <w:lang w:val="en-GB"/>
        </w:rPr>
        <w:t>Figure S.</w:t>
      </w:r>
      <w:r w:rsidR="00653350">
        <w:rPr>
          <w:rFonts w:ascii="Calibri" w:hAnsi="Calibri" w:cs="Calibri"/>
          <w:b/>
          <w:bCs/>
          <w:lang w:val="en-GB"/>
        </w:rPr>
        <w:t>5</w:t>
      </w:r>
      <w:r w:rsidRPr="009B78B2">
        <w:rPr>
          <w:rFonts w:ascii="Calibri" w:hAnsi="Calibri" w:cs="Calibri"/>
          <w:lang w:val="en-GB"/>
        </w:rPr>
        <w:t>.</w:t>
      </w:r>
      <w:r w:rsidR="00533B8E" w:rsidRPr="009B78B2">
        <w:rPr>
          <w:rFonts w:ascii="Calibri" w:hAnsi="Calibri" w:cs="Calibri"/>
          <w:lang w:val="en-GB"/>
        </w:rPr>
        <w:t xml:space="preserve"> </w:t>
      </w:r>
      <w:r w:rsidRPr="009B78B2">
        <w:rPr>
          <w:rFonts w:ascii="Calibri" w:hAnsi="Calibri" w:cs="Calibri"/>
          <w:lang w:val="en-GB"/>
        </w:rPr>
        <w:t>Test of the switching properties of the device</w:t>
      </w:r>
      <w:r w:rsidR="002374DE" w:rsidRPr="009B78B2">
        <w:rPr>
          <w:rFonts w:ascii="Calibri" w:hAnsi="Calibri" w:cs="Calibri"/>
          <w:lang w:val="en-GB"/>
        </w:rPr>
        <w:t xml:space="preserve"> at negative bias</w:t>
      </w:r>
      <w:r w:rsidRPr="009B78B2">
        <w:rPr>
          <w:rFonts w:ascii="Calibri" w:hAnsi="Calibri" w:cs="Calibri"/>
          <w:lang w:val="en-GB"/>
        </w:rPr>
        <w:t xml:space="preserve"> in response to</w:t>
      </w:r>
      <w:r w:rsidR="00AA53D2">
        <w:rPr>
          <w:rFonts w:ascii="Calibri" w:hAnsi="Calibri" w:cs="Calibri"/>
          <w:lang w:val="en-GB"/>
        </w:rPr>
        <w:t xml:space="preserve"> several sequences </w:t>
      </w:r>
      <w:r w:rsidR="005F07DD">
        <w:rPr>
          <w:rFonts w:ascii="Calibri" w:hAnsi="Calibri" w:cs="Calibri"/>
          <w:lang w:val="en-GB"/>
        </w:rPr>
        <w:t xml:space="preserve">of </w:t>
      </w:r>
      <w:r w:rsidR="005F07DD" w:rsidRPr="009B78B2">
        <w:rPr>
          <w:rFonts w:ascii="Calibri" w:hAnsi="Calibri" w:cs="Calibri"/>
          <w:lang w:val="en-GB"/>
        </w:rPr>
        <w:t>light</w:t>
      </w:r>
      <w:r w:rsidR="00A77627" w:rsidRPr="009B78B2">
        <w:rPr>
          <w:rFonts w:ascii="Calibri" w:hAnsi="Calibri" w:cs="Calibri"/>
          <w:lang w:val="en-GB"/>
        </w:rPr>
        <w:t xml:space="preserve"> pulses </w:t>
      </w:r>
      <w:r w:rsidRPr="009B78B2">
        <w:rPr>
          <w:rFonts w:ascii="Calibri" w:hAnsi="Calibri" w:cs="Calibri"/>
          <w:lang w:val="en-GB"/>
        </w:rPr>
        <w:t>with</w:t>
      </w:r>
      <w:r w:rsidR="00AA53D2">
        <w:rPr>
          <w:rFonts w:ascii="Calibri" w:hAnsi="Calibri" w:cs="Calibri"/>
          <w:lang w:val="en-GB"/>
        </w:rPr>
        <w:t xml:space="preserve"> a duration of 0.5</w:t>
      </w:r>
      <w:r w:rsidR="005F07DD">
        <w:rPr>
          <w:rFonts w:ascii="Calibri" w:hAnsi="Calibri" w:cs="Calibri"/>
          <w:lang w:val="en-GB"/>
        </w:rPr>
        <w:t xml:space="preserve"> </w:t>
      </w:r>
      <w:r w:rsidR="00AA53D2">
        <w:rPr>
          <w:rFonts w:ascii="Calibri" w:hAnsi="Calibri" w:cs="Calibri"/>
          <w:lang w:val="en-GB"/>
        </w:rPr>
        <w:t>s</w:t>
      </w:r>
      <w:r w:rsidRPr="009B78B2">
        <w:rPr>
          <w:rFonts w:ascii="Calibri" w:hAnsi="Calibri" w:cs="Calibri"/>
          <w:lang w:val="en-GB"/>
        </w:rPr>
        <w:t>, exhibiting a stable and repeatable behaviour under all the incident powers.</w:t>
      </w:r>
    </w:p>
    <w:p w14:paraId="3DA210A4" w14:textId="77777777" w:rsidR="002E10EA" w:rsidRDefault="002E10EA" w:rsidP="00D53F42">
      <w:pPr>
        <w:jc w:val="both"/>
        <w:rPr>
          <w:rFonts w:ascii="Calibri" w:hAnsi="Calibri" w:cs="Calibri"/>
          <w:b/>
          <w:bCs/>
          <w:sz w:val="24"/>
          <w:szCs w:val="24"/>
          <w:lang w:val="en-GB"/>
        </w:rPr>
      </w:pPr>
    </w:p>
    <w:p w14:paraId="3C467AB0" w14:textId="638D3BE0" w:rsidR="00D53F42" w:rsidRPr="002E10EA" w:rsidRDefault="002E10EA" w:rsidP="002E10EA">
      <w:pPr>
        <w:pStyle w:val="Paragrafoelenco"/>
        <w:numPr>
          <w:ilvl w:val="0"/>
          <w:numId w:val="1"/>
        </w:numPr>
        <w:jc w:val="both"/>
        <w:rPr>
          <w:rFonts w:ascii="Calibri" w:hAnsi="Calibri" w:cs="Calibri"/>
          <w:b/>
          <w:bCs/>
          <w:sz w:val="24"/>
          <w:szCs w:val="24"/>
          <w:lang w:val="en-GB"/>
        </w:rPr>
      </w:pPr>
      <w:r w:rsidRPr="000E4C7F">
        <w:rPr>
          <w:rFonts w:ascii="Calibri" w:hAnsi="Calibri" w:cs="Calibri"/>
          <w:b/>
          <w:bCs/>
          <w:noProof/>
          <w:sz w:val="24"/>
          <w:szCs w:val="24"/>
          <w:lang w:val="en-GB" w:eastAsia="en-GB"/>
        </w:rPr>
        <w:drawing>
          <wp:anchor distT="0" distB="0" distL="114300" distR="114300" simplePos="0" relativeHeight="251659264" behindDoc="0" locked="0" layoutInCell="1" allowOverlap="1" wp14:anchorId="3716BB91" wp14:editId="0D4D9241">
            <wp:simplePos x="0" y="0"/>
            <wp:positionH relativeFrom="margin">
              <wp:posOffset>1515745</wp:posOffset>
            </wp:positionH>
            <wp:positionV relativeFrom="margin">
              <wp:posOffset>3878580</wp:posOffset>
            </wp:positionV>
            <wp:extent cx="2879725" cy="2203450"/>
            <wp:effectExtent l="0" t="0" r="0" b="6350"/>
            <wp:wrapSquare wrapText="bothSides"/>
            <wp:docPr id="96864807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48077" name="Immagin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879725" cy="2203450"/>
                    </a:xfrm>
                    <a:prstGeom prst="rect">
                      <a:avLst/>
                    </a:prstGeom>
                    <a:noFill/>
                    <a:ln>
                      <a:noFill/>
                    </a:ln>
                  </pic:spPr>
                </pic:pic>
              </a:graphicData>
            </a:graphic>
            <wp14:sizeRelV relativeFrom="margin">
              <wp14:pctHeight>0</wp14:pctHeight>
            </wp14:sizeRelV>
          </wp:anchor>
        </w:drawing>
      </w:r>
      <w:r w:rsidR="007A2CC9" w:rsidRPr="002E10EA">
        <w:rPr>
          <w:rFonts w:ascii="Calibri" w:hAnsi="Calibri" w:cs="Calibri"/>
          <w:b/>
          <w:bCs/>
          <w:sz w:val="24"/>
          <w:szCs w:val="24"/>
          <w:lang w:val="en-GB"/>
        </w:rPr>
        <w:t xml:space="preserve">Transient photovoltage at zero current </w:t>
      </w:r>
    </w:p>
    <w:p w14:paraId="5C6D6D83" w14:textId="3F4C0CA0" w:rsidR="002E10EA" w:rsidRDefault="002E10EA" w:rsidP="007A2CC9">
      <w:pPr>
        <w:jc w:val="both"/>
        <w:rPr>
          <w:rFonts w:ascii="Calibri" w:hAnsi="Calibri" w:cs="Calibri"/>
          <w:lang w:val="en-GB"/>
        </w:rPr>
      </w:pPr>
    </w:p>
    <w:p w14:paraId="7F04A8C1" w14:textId="6A0EE357" w:rsidR="002E10EA" w:rsidRDefault="002E10EA" w:rsidP="007A2CC9">
      <w:pPr>
        <w:jc w:val="both"/>
        <w:rPr>
          <w:rFonts w:ascii="Calibri" w:hAnsi="Calibri" w:cs="Calibri"/>
          <w:lang w:val="en-GB"/>
        </w:rPr>
      </w:pPr>
    </w:p>
    <w:p w14:paraId="3225FA8A" w14:textId="77777777" w:rsidR="002E10EA" w:rsidRDefault="002E10EA" w:rsidP="007A2CC9">
      <w:pPr>
        <w:jc w:val="both"/>
        <w:rPr>
          <w:rFonts w:ascii="Calibri" w:hAnsi="Calibri" w:cs="Calibri"/>
          <w:lang w:val="en-GB"/>
        </w:rPr>
      </w:pPr>
    </w:p>
    <w:p w14:paraId="5F26BEA1" w14:textId="74317159" w:rsidR="002E10EA" w:rsidRDefault="002E10EA" w:rsidP="007A2CC9">
      <w:pPr>
        <w:jc w:val="both"/>
        <w:rPr>
          <w:rFonts w:ascii="Calibri" w:hAnsi="Calibri" w:cs="Calibri"/>
          <w:lang w:val="en-GB"/>
        </w:rPr>
      </w:pPr>
    </w:p>
    <w:p w14:paraId="079759B5" w14:textId="77777777" w:rsidR="002E10EA" w:rsidRDefault="002E10EA" w:rsidP="007A2CC9">
      <w:pPr>
        <w:jc w:val="both"/>
        <w:rPr>
          <w:rFonts w:ascii="Calibri" w:hAnsi="Calibri" w:cs="Calibri"/>
          <w:lang w:val="en-GB"/>
        </w:rPr>
      </w:pPr>
    </w:p>
    <w:p w14:paraId="7B2FB3B0" w14:textId="77777777" w:rsidR="002E10EA" w:rsidRDefault="002E10EA" w:rsidP="007A2CC9">
      <w:pPr>
        <w:jc w:val="both"/>
        <w:rPr>
          <w:rFonts w:ascii="Calibri" w:hAnsi="Calibri" w:cs="Calibri"/>
          <w:lang w:val="en-GB"/>
        </w:rPr>
      </w:pPr>
    </w:p>
    <w:p w14:paraId="561D556C" w14:textId="77777777" w:rsidR="002E10EA" w:rsidRDefault="002E10EA" w:rsidP="002E10EA">
      <w:pPr>
        <w:jc w:val="both"/>
        <w:rPr>
          <w:rFonts w:ascii="Calibri" w:hAnsi="Calibri" w:cs="Calibri"/>
          <w:b/>
          <w:bCs/>
          <w:lang w:val="en-GB"/>
        </w:rPr>
      </w:pPr>
    </w:p>
    <w:p w14:paraId="752A9C04" w14:textId="77777777" w:rsidR="002E10EA" w:rsidRDefault="002E10EA" w:rsidP="002E10EA">
      <w:pPr>
        <w:jc w:val="both"/>
        <w:rPr>
          <w:rFonts w:ascii="Calibri" w:hAnsi="Calibri" w:cs="Calibri"/>
          <w:b/>
          <w:bCs/>
          <w:lang w:val="en-GB"/>
        </w:rPr>
      </w:pPr>
    </w:p>
    <w:p w14:paraId="4CCBC000" w14:textId="77777777" w:rsidR="002E10EA" w:rsidRDefault="002E10EA" w:rsidP="002E10EA">
      <w:pPr>
        <w:jc w:val="both"/>
        <w:rPr>
          <w:rFonts w:ascii="Calibri" w:hAnsi="Calibri" w:cs="Calibri"/>
          <w:b/>
          <w:bCs/>
          <w:lang w:val="en-GB"/>
        </w:rPr>
      </w:pPr>
    </w:p>
    <w:p w14:paraId="049FF06F" w14:textId="74911C7F" w:rsidR="002E10EA" w:rsidRDefault="002E10EA" w:rsidP="002E10EA">
      <w:pPr>
        <w:jc w:val="both"/>
        <w:rPr>
          <w:rFonts w:ascii="Calibri" w:hAnsi="Calibri" w:cs="Calibri"/>
          <w:lang w:val="en-GB"/>
        </w:rPr>
      </w:pPr>
      <w:r w:rsidRPr="009B78B2">
        <w:rPr>
          <w:rFonts w:ascii="Calibri" w:hAnsi="Calibri" w:cs="Calibri"/>
          <w:b/>
          <w:bCs/>
          <w:lang w:val="en-GB"/>
        </w:rPr>
        <w:t>Figure S.</w:t>
      </w:r>
      <w:r>
        <w:rPr>
          <w:rFonts w:ascii="Calibri" w:hAnsi="Calibri" w:cs="Calibri"/>
          <w:b/>
          <w:bCs/>
          <w:lang w:val="en-GB"/>
        </w:rPr>
        <w:t>6</w:t>
      </w:r>
      <w:r w:rsidRPr="009B78B2">
        <w:rPr>
          <w:rFonts w:ascii="Calibri" w:hAnsi="Calibri" w:cs="Calibri"/>
          <w:b/>
          <w:bCs/>
          <w:lang w:val="en-GB"/>
        </w:rPr>
        <w:t xml:space="preserve">. </w:t>
      </w:r>
      <w:r w:rsidR="00D810BD">
        <w:rPr>
          <w:rFonts w:ascii="Calibri" w:hAnsi="Calibri" w:cs="Calibri"/>
          <w:lang w:val="en-GB"/>
        </w:rPr>
        <w:t xml:space="preserve">Open circuit voltage </w:t>
      </w:r>
      <w:r w:rsidRPr="009B78B2">
        <w:rPr>
          <w:rFonts w:ascii="Calibri" w:hAnsi="Calibri" w:cs="Calibri"/>
          <w:lang w:val="en-GB"/>
        </w:rPr>
        <w:t>measured by means of a digital oscilloscope.</w:t>
      </w:r>
    </w:p>
    <w:p w14:paraId="4E03D8C6" w14:textId="77777777" w:rsidR="002E10EA" w:rsidRDefault="002E10EA" w:rsidP="007A2CC9">
      <w:pPr>
        <w:jc w:val="both"/>
        <w:rPr>
          <w:rFonts w:ascii="Calibri" w:hAnsi="Calibri" w:cs="Calibri"/>
          <w:lang w:val="en-GB"/>
        </w:rPr>
      </w:pPr>
    </w:p>
    <w:p w14:paraId="79C88C83" w14:textId="77777777" w:rsidR="002E10EA" w:rsidRDefault="002E10EA" w:rsidP="007A2CC9">
      <w:pPr>
        <w:jc w:val="both"/>
        <w:rPr>
          <w:rFonts w:ascii="Calibri" w:hAnsi="Calibri" w:cs="Calibri"/>
          <w:lang w:val="en-GB"/>
        </w:rPr>
      </w:pPr>
    </w:p>
    <w:p w14:paraId="5C3B768A" w14:textId="77777777" w:rsidR="002E10EA" w:rsidRDefault="002E10EA" w:rsidP="007A2CC9">
      <w:pPr>
        <w:jc w:val="both"/>
        <w:rPr>
          <w:rFonts w:ascii="Calibri" w:hAnsi="Calibri" w:cs="Calibri"/>
          <w:lang w:val="en-GB"/>
        </w:rPr>
      </w:pPr>
    </w:p>
    <w:p w14:paraId="4CF55F15" w14:textId="77777777" w:rsidR="002E10EA" w:rsidRDefault="002E10EA" w:rsidP="007A2CC9">
      <w:pPr>
        <w:jc w:val="both"/>
        <w:rPr>
          <w:rFonts w:ascii="Calibri" w:hAnsi="Calibri" w:cs="Calibri"/>
          <w:lang w:val="en-GB"/>
        </w:rPr>
      </w:pPr>
    </w:p>
    <w:p w14:paraId="468730C3" w14:textId="77777777" w:rsidR="002E10EA" w:rsidRDefault="002E10EA" w:rsidP="007A2CC9">
      <w:pPr>
        <w:jc w:val="both"/>
        <w:rPr>
          <w:rFonts w:ascii="Calibri" w:hAnsi="Calibri" w:cs="Calibri"/>
          <w:lang w:val="en-GB"/>
        </w:rPr>
      </w:pPr>
    </w:p>
    <w:p w14:paraId="38650B3A" w14:textId="77777777" w:rsidR="002E10EA" w:rsidRDefault="002E10EA" w:rsidP="007A2CC9">
      <w:pPr>
        <w:jc w:val="both"/>
        <w:rPr>
          <w:rFonts w:ascii="Calibri" w:hAnsi="Calibri" w:cs="Calibri"/>
          <w:lang w:val="en-GB"/>
        </w:rPr>
      </w:pPr>
    </w:p>
    <w:p w14:paraId="703671DE" w14:textId="77777777" w:rsidR="002E10EA" w:rsidRDefault="002E10EA" w:rsidP="007A2CC9">
      <w:pPr>
        <w:jc w:val="both"/>
        <w:rPr>
          <w:rFonts w:ascii="Calibri" w:hAnsi="Calibri" w:cs="Calibri"/>
          <w:lang w:val="en-GB"/>
        </w:rPr>
      </w:pPr>
    </w:p>
    <w:p w14:paraId="3BE6C6D8" w14:textId="77777777" w:rsidR="009E7FB1" w:rsidRDefault="009E7FB1" w:rsidP="007A2CC9">
      <w:pPr>
        <w:jc w:val="both"/>
        <w:rPr>
          <w:rFonts w:ascii="Calibri" w:hAnsi="Calibri" w:cs="Calibri"/>
          <w:lang w:val="en-GB"/>
        </w:rPr>
      </w:pPr>
    </w:p>
    <w:p w14:paraId="4B391B36" w14:textId="77777777" w:rsidR="00955C1D" w:rsidRDefault="00955C1D" w:rsidP="002E10EA">
      <w:pPr>
        <w:pStyle w:val="Paragrafoelenco"/>
        <w:numPr>
          <w:ilvl w:val="0"/>
          <w:numId w:val="1"/>
        </w:numPr>
        <w:jc w:val="both"/>
        <w:rPr>
          <w:rFonts w:ascii="Calibri" w:hAnsi="Calibri" w:cs="Calibri"/>
          <w:b/>
          <w:bCs/>
          <w:sz w:val="24"/>
          <w:szCs w:val="24"/>
          <w:lang w:val="en-GB"/>
        </w:rPr>
      </w:pPr>
      <w:r w:rsidRPr="00136FA6">
        <w:rPr>
          <w:rFonts w:ascii="Calibri" w:hAnsi="Calibri" w:cs="Calibri"/>
          <w:b/>
          <w:bCs/>
          <w:sz w:val="24"/>
          <w:szCs w:val="24"/>
          <w:lang w:val="en-GB"/>
        </w:rPr>
        <w:lastRenderedPageBreak/>
        <w:t xml:space="preserve">Nonequilibrium Green’s function (NEGF) calculations </w:t>
      </w:r>
    </w:p>
    <w:p w14:paraId="36F69EB4" w14:textId="20D43DF5" w:rsidR="00372693" w:rsidRDefault="00DC3885" w:rsidP="008E076A">
      <w:pPr>
        <w:jc w:val="both"/>
        <w:rPr>
          <w:rFonts w:ascii="Calibri" w:eastAsiaTheme="minorEastAsia" w:hAnsi="Calibri" w:cs="Calibri"/>
          <w:sz w:val="24"/>
          <w:szCs w:val="24"/>
          <w:lang w:val="en-GB"/>
        </w:rPr>
      </w:pPr>
      <w:r w:rsidRPr="00A4601B">
        <w:rPr>
          <w:rFonts w:ascii="Calibri" w:eastAsiaTheme="minorEastAsia" w:hAnsi="Calibri" w:cs="Calibri"/>
          <w:sz w:val="24"/>
          <w:szCs w:val="24"/>
          <w:lang w:val="en-GB"/>
        </w:rPr>
        <w:t xml:space="preserve">To obtain the band alignment at the Ni-Si and ReS2-Si interfaces, non-equilibrium quantum transport calculations were performed based on first-principles calculations. DFT together with the non-equilibrium Green’s functions (NEGF) technique (DFT+NEGF) was utilized to represent realistic open systems as implemented </w:t>
      </w:r>
      <w:r w:rsidR="00FF1FA6" w:rsidRPr="00A4601B">
        <w:rPr>
          <w:rFonts w:ascii="Calibri" w:eastAsiaTheme="minorEastAsia" w:hAnsi="Calibri" w:cs="Calibri"/>
          <w:sz w:val="24"/>
          <w:szCs w:val="24"/>
          <w:lang w:val="en-GB"/>
        </w:rPr>
        <w:t>in</w:t>
      </w:r>
      <w:r w:rsidRPr="00A4601B">
        <w:rPr>
          <w:rFonts w:ascii="Calibri" w:eastAsiaTheme="minorEastAsia" w:hAnsi="Calibri" w:cs="Calibri"/>
          <w:sz w:val="24"/>
          <w:szCs w:val="24"/>
          <w:lang w:val="en-GB"/>
        </w:rPr>
        <w:t xml:space="preserve"> QuantumATK</w:t>
      </w:r>
      <w:r w:rsidR="00A4601B" w:rsidRPr="00A4601B">
        <w:rPr>
          <w:rFonts w:ascii="Calibri" w:eastAsiaTheme="minorEastAsia" w:hAnsi="Calibri" w:cs="Calibri"/>
          <w:sz w:val="24"/>
          <w:szCs w:val="24"/>
          <w:lang w:val="en-GB"/>
        </w:rPr>
        <w:fldChar w:fldCharType="begin"/>
      </w:r>
      <w:r w:rsidR="00A4601B" w:rsidRPr="00A4601B">
        <w:rPr>
          <w:rFonts w:ascii="Calibri" w:eastAsiaTheme="minorEastAsia" w:hAnsi="Calibri" w:cs="Calibri"/>
          <w:sz w:val="24"/>
          <w:szCs w:val="24"/>
          <w:lang w:val="en-GB"/>
        </w:rPr>
        <w:instrText xml:space="preserve"> ADDIN ZOTERO_ITEM CSL_CITATION {"citationID":"uO3rRZtq","properties":{"formattedCitation":"\\super 6\\nosupersub{}","plainCitation":"6","noteIndex":0},"citationItems":[{"id":501,"uris":["http://zotero.org/users/local/NQ3o5CYF/items/94CA3WN9"],"itemData":{"id":501,"type":"article-journal","abstract":"QuantumATK is an integrated set of atomic-scale modelling tools developed since 2003 by professional software engineers in collaboration with academic researchers. While different aspects and individual modules of the platform have been previously presented, the purpose of this paper is to give a general overview of the platform. The QuantumATK simulation engines enable electronic-structure calculations using density functional theory or tight-binding model Hamiltonians, and also offers bonded or reactive empirical force fields in many different parametrizations. Density functional theory is implemented using either a plane-wave basis or expansion of electronic states in a linear combination of atomic orbitals. The platform includes a long list of advanced modules, including Green’s-function methods for electron transport simulations and surface calculations, first-principles electron-phonon and electron-photon couplings, simulation of atomic-scale heat transport, ion dynamics, spintronics, optical properties of materials, static polarization, and more. Seamless integration of the different simulation engines into a common platform allows for easy combination of different simulation methods into complex workflows. Besides giving a general overview and presenting a number of implementation details not previously published, we also present four different application examples. These are calculations of the phonon-limited mobility of Cu, Ag and Au, electron transport in a gated 2D device, multi-model simulation of lithium ion drift through a battery cathode in an external electric field, and electronic-structure calculations of the composition-dependent band gap of SiGe alloys.","container-title":"Journal of Physics: Condensed Matter","DOI":"10.1088/1361-648X/ab4007","ISSN":"0953-8984","issue":"1","journalAbbreviation":"J. Phys.: Condens. Matter","language":"en","note":"publisher: IOP Publishing","page":"015901","source":"Institute of Physics","title":"QuantumATK: an integrated platform of electronic and atomic-scale modelling tools","title-short":"QuantumATK","volume":"32","author":[{"family":"Smidstrup","given":"Søren"},{"family":"Markussen","given":"Troels"},{"family":"Vancraeyveld","given":"Pieter"},{"family":"Wellendorff","given":"Jess"},{"family":"Schneider","given":"Julian"},{"family":"Gunst","given":"Tue"},{"family":"Verstichel","given":"Brecht"},{"family":"Stradi","given":"Daniele"},{"family":"Khomyakov","given":"Petr A."},{"family":"Vej-Hansen","given":"Ulrik G."},{"family":"Lee","given":"Maeng-Eun"},{"family":"Chill","given":"Samuel T."},{"family":"Rasmussen","given":"Filip"},{"family":"Penazzi","given":"Gabriele"},{"family":"Corsetti","given":"Fabiano"},{"family":"Ojanperä","given":"Ari"},{"family":"Jensen","given":"Kristian"},{"family":"Palsgaard","given":"Mattias L. N."},{"family":"Martinez","given":"Umberto"},{"family":"Blom","given":"Anders"},{"family":"Brandbyge","given":"Mads"},{"family":"Stokbro","given":"Kurt"}],"issued":{"date-parts":[["2019",10]]}}}],"schema":"https://github.com/citation-style-language/schema/raw/master/csl-citation.json"} </w:instrText>
      </w:r>
      <w:r w:rsidR="00A4601B" w:rsidRPr="00A4601B">
        <w:rPr>
          <w:rFonts w:ascii="Calibri" w:eastAsiaTheme="minorEastAsia" w:hAnsi="Calibri" w:cs="Calibri"/>
          <w:sz w:val="24"/>
          <w:szCs w:val="24"/>
          <w:lang w:val="en-GB"/>
        </w:rPr>
        <w:fldChar w:fldCharType="separate"/>
      </w:r>
      <w:r w:rsidR="00A4601B" w:rsidRPr="00A4601B">
        <w:rPr>
          <w:rFonts w:ascii="Calibri" w:hAnsi="Calibri" w:cs="Calibri"/>
          <w:kern w:val="0"/>
          <w:sz w:val="24"/>
          <w:vertAlign w:val="superscript"/>
          <w:lang w:val="en-GB"/>
        </w:rPr>
        <w:t>6</w:t>
      </w:r>
      <w:r w:rsidR="00A4601B" w:rsidRPr="00A4601B">
        <w:rPr>
          <w:rFonts w:ascii="Calibri" w:eastAsiaTheme="minorEastAsia" w:hAnsi="Calibri" w:cs="Calibri"/>
          <w:sz w:val="24"/>
          <w:szCs w:val="24"/>
          <w:lang w:val="en-GB"/>
        </w:rPr>
        <w:fldChar w:fldCharType="end"/>
      </w:r>
      <w:r w:rsidR="00F116CA" w:rsidRPr="00A4601B">
        <w:rPr>
          <w:rFonts w:ascii="Calibri" w:hAnsi="Calibri" w:cs="Calibri"/>
          <w:sz w:val="24"/>
          <w:szCs w:val="24"/>
          <w:lang w:val="en-GB"/>
        </w:rPr>
        <w:t xml:space="preserve"> </w:t>
      </w:r>
      <w:r w:rsidR="00F116CA" w:rsidRPr="00A4601B">
        <w:rPr>
          <w:rFonts w:ascii="Calibri" w:eastAsiaTheme="minorEastAsia" w:hAnsi="Calibri" w:cs="Calibri"/>
          <w:sz w:val="24"/>
          <w:szCs w:val="24"/>
          <w:lang w:val="en-GB"/>
        </w:rPr>
        <w:t>Use of the semi-infinite electrode boundary conditions is in contrast to using periodic boundary conditions normal to the junction interface</w:t>
      </w:r>
      <w:r w:rsidR="00CA392A" w:rsidRPr="00A4601B">
        <w:rPr>
          <w:rFonts w:ascii="Calibri" w:eastAsiaTheme="minorEastAsia" w:hAnsi="Calibri" w:cs="Calibri"/>
          <w:sz w:val="24"/>
          <w:szCs w:val="24"/>
          <w:lang w:val="en-GB"/>
        </w:rPr>
        <w:t>,</w:t>
      </w:r>
      <w:r w:rsidR="00F116CA" w:rsidRPr="00A4601B">
        <w:rPr>
          <w:rFonts w:ascii="Calibri" w:eastAsiaTheme="minorEastAsia" w:hAnsi="Calibri" w:cs="Calibri"/>
          <w:sz w:val="24"/>
          <w:szCs w:val="24"/>
          <w:lang w:val="en-GB"/>
        </w:rPr>
        <w:t xml:space="preserve"> which lead</w:t>
      </w:r>
      <w:r w:rsidR="00CA392A" w:rsidRPr="00A4601B">
        <w:rPr>
          <w:rFonts w:ascii="Calibri" w:eastAsiaTheme="minorEastAsia" w:hAnsi="Calibri" w:cs="Calibri"/>
          <w:sz w:val="24"/>
          <w:szCs w:val="24"/>
          <w:lang w:val="en-GB"/>
        </w:rPr>
        <w:t>s</w:t>
      </w:r>
      <w:r w:rsidR="00F116CA" w:rsidRPr="00A4601B">
        <w:rPr>
          <w:rFonts w:ascii="Calibri" w:eastAsiaTheme="minorEastAsia" w:hAnsi="Calibri" w:cs="Calibri"/>
          <w:sz w:val="24"/>
          <w:szCs w:val="24"/>
          <w:lang w:val="en-GB"/>
        </w:rPr>
        <w:t xml:space="preserve"> to spurious interactions between periodic images of the interface.</w:t>
      </w:r>
      <w:r w:rsidR="00F116CA" w:rsidRPr="00A4601B">
        <w:rPr>
          <w:rFonts w:ascii="Calibri" w:hAnsi="Calibri" w:cs="Calibri"/>
          <w:sz w:val="24"/>
          <w:szCs w:val="24"/>
          <w:lang w:val="en-GB"/>
        </w:rPr>
        <w:t xml:space="preserve"> </w:t>
      </w:r>
      <w:r w:rsidR="00F116CA" w:rsidRPr="00A4601B">
        <w:rPr>
          <w:rFonts w:ascii="Calibri" w:eastAsiaTheme="minorEastAsia" w:hAnsi="Calibri" w:cs="Calibri"/>
          <w:sz w:val="24"/>
          <w:szCs w:val="24"/>
          <w:lang w:val="en-GB"/>
        </w:rPr>
        <w:t xml:space="preserve">The use of electrode boundary conditions enables </w:t>
      </w:r>
      <w:r w:rsidR="00CA392A" w:rsidRPr="00A4601B">
        <w:rPr>
          <w:rFonts w:ascii="Calibri" w:eastAsiaTheme="minorEastAsia" w:hAnsi="Calibri" w:cs="Calibri"/>
          <w:sz w:val="24"/>
          <w:szCs w:val="24"/>
          <w:lang w:val="en-GB"/>
        </w:rPr>
        <w:t xml:space="preserve">the </w:t>
      </w:r>
      <w:r w:rsidR="00F116CA" w:rsidRPr="00A4601B">
        <w:rPr>
          <w:rFonts w:ascii="Calibri" w:eastAsiaTheme="minorEastAsia" w:hAnsi="Calibri" w:cs="Calibri"/>
          <w:sz w:val="24"/>
          <w:szCs w:val="24"/>
          <w:lang w:val="en-GB"/>
        </w:rPr>
        <w:t xml:space="preserve">isolation of a single junction with electrodes at equilibrium with electron reservoirs providing an accurate description of the charge transfer processes at the material interface forming the junction. </w:t>
      </w:r>
      <w:r w:rsidR="00372693" w:rsidRPr="00A4601B">
        <w:rPr>
          <w:rFonts w:ascii="Calibri" w:eastAsiaTheme="minorEastAsia" w:hAnsi="Calibri" w:cs="Calibri"/>
          <w:sz w:val="24"/>
          <w:szCs w:val="24"/>
          <w:lang w:val="en-GB"/>
        </w:rPr>
        <w:t xml:space="preserve"> </w:t>
      </w:r>
      <w:r w:rsidR="00CD5F27" w:rsidRPr="00A4601B">
        <w:rPr>
          <w:rFonts w:ascii="Calibri" w:eastAsiaTheme="minorEastAsia" w:hAnsi="Calibri" w:cs="Calibri"/>
          <w:sz w:val="24"/>
          <w:szCs w:val="24"/>
          <w:lang w:val="en-GB"/>
        </w:rPr>
        <w:t>Recursion iterative scheme has been used for calculating the self-energies</w:t>
      </w:r>
      <w:r w:rsidR="00C137A8" w:rsidRPr="00A4601B">
        <w:rPr>
          <w:rFonts w:ascii="Calibri" w:eastAsiaTheme="minorEastAsia" w:hAnsi="Calibri" w:cs="Calibri"/>
          <w:sz w:val="24"/>
          <w:szCs w:val="24"/>
          <w:lang w:val="en-GB"/>
        </w:rPr>
        <w:fldChar w:fldCharType="begin"/>
      </w:r>
      <w:r w:rsidR="00A4601B" w:rsidRPr="00A4601B">
        <w:rPr>
          <w:rFonts w:ascii="Calibri" w:eastAsiaTheme="minorEastAsia" w:hAnsi="Calibri" w:cs="Calibri"/>
          <w:sz w:val="24"/>
          <w:szCs w:val="24"/>
          <w:lang w:val="en-GB"/>
        </w:rPr>
        <w:instrText xml:space="preserve"> ADDIN ZOTERO_ITEM CSL_CITATION {"citationID":"NO2vWMMF","properties":{"formattedCitation":"\\super 7\\nosupersub{}","plainCitation":"7","noteIndex":0},"citationItems":[{"id":647,"uris":["http://zotero.org/users/local/NQ3o5CYF/items/KFNSDWMY"],"itemData":{"id":647,"type":"article-journal","abstract":"The surface and bulk densities of states of a solid described by the stacking of principal layers are obtained by means of an iterative procedure which allows (i) the inclusion of 2n layers after n iterations, (ii) the simultaneous calculation of the Green functions for both the 'right' and 'left' surfaces as well as for the bulk (or central) principal layer, and (iii) the use of imaginary parts eta as small as one wishes in the energy without any large increase in computing time, so that the limit eta to 0 can really be obtained. As a by-product the authors obtain (i) the 'right' and 'left' transfer matrices of the 'effective field' or continuous fraction approach and (ii) a factorisation theorem which relates the Green functions of both surfaces to the Green functions of both surfaces to the Green functions of the bulk and the free metal atom.","container-title":"Journal of Physics F: Metal Physics","DOI":"10.1088/0305-4608/15/4/009","ISSN":"0305-4608","issue":"4","journalAbbreviation":"J. Phys. F: Met. Phys.","language":"en","page":"851","source":"Institute of Physics","title":"Highly convergent schemes for the calculation of bulk and surface Green functions","volume":"15","author":[{"family":"Sancho","given":"M. P. Lopez"},{"family":"Sancho","given":"J. M. Lopez"},{"family":"Sancho","given":"J. M. L."},{"family":"Rubio","given":"J."}],"issued":{"date-parts":[["1985",4]]}}}],"schema":"https://github.com/citation-style-language/schema/raw/master/csl-citation.json"} </w:instrText>
      </w:r>
      <w:r w:rsidR="00C137A8" w:rsidRPr="00A4601B">
        <w:rPr>
          <w:rFonts w:ascii="Calibri" w:eastAsiaTheme="minorEastAsia" w:hAnsi="Calibri" w:cs="Calibri"/>
          <w:sz w:val="24"/>
          <w:szCs w:val="24"/>
          <w:lang w:val="en-GB"/>
        </w:rPr>
        <w:fldChar w:fldCharType="separate"/>
      </w:r>
      <w:r w:rsidR="00A4601B" w:rsidRPr="00B0117D">
        <w:rPr>
          <w:rFonts w:ascii="Calibri" w:hAnsi="Calibri" w:cs="Calibri"/>
          <w:kern w:val="0"/>
          <w:sz w:val="24"/>
          <w:vertAlign w:val="superscript"/>
          <w:lang w:val="en-GB"/>
        </w:rPr>
        <w:t>7</w:t>
      </w:r>
      <w:r w:rsidR="00C137A8" w:rsidRPr="00A4601B">
        <w:rPr>
          <w:rFonts w:ascii="Calibri" w:eastAsiaTheme="minorEastAsia" w:hAnsi="Calibri" w:cs="Calibri"/>
          <w:sz w:val="24"/>
          <w:szCs w:val="24"/>
          <w:lang w:val="en-GB"/>
        </w:rPr>
        <w:fldChar w:fldCharType="end"/>
      </w:r>
      <w:r w:rsidR="00CD5F27" w:rsidRPr="00A4601B">
        <w:rPr>
          <w:rFonts w:ascii="Calibri" w:eastAsiaTheme="minorEastAsia" w:hAnsi="Calibri" w:cs="Calibri"/>
          <w:sz w:val="24"/>
          <w:szCs w:val="24"/>
          <w:lang w:val="en-GB"/>
        </w:rPr>
        <w:t>. Energy integral to obtain density matrix within the NEGF framework is performed through a complex contour integration, which includes integral over equilibrium states and non-equilibrium states. The integral over the equilibrium states has been done using semi-circular complex contou</w:t>
      </w:r>
      <w:r w:rsidR="00D05298" w:rsidRPr="00A4601B">
        <w:rPr>
          <w:rFonts w:ascii="Calibri" w:eastAsiaTheme="minorEastAsia" w:hAnsi="Calibri" w:cs="Calibri"/>
          <w:sz w:val="24"/>
          <w:szCs w:val="24"/>
          <w:lang w:val="en-GB"/>
        </w:rPr>
        <w:t>r</w:t>
      </w:r>
      <w:r w:rsidR="00C137A8" w:rsidRPr="00A4601B">
        <w:rPr>
          <w:rFonts w:ascii="Calibri" w:eastAsiaTheme="minorEastAsia" w:hAnsi="Calibri" w:cs="Calibri"/>
          <w:sz w:val="24"/>
          <w:szCs w:val="24"/>
          <w:vertAlign w:val="superscript"/>
          <w:lang w:val="en-GB"/>
        </w:rPr>
        <w:fldChar w:fldCharType="begin"/>
      </w:r>
      <w:r w:rsidR="00A4601B" w:rsidRPr="00A4601B">
        <w:rPr>
          <w:rFonts w:ascii="Calibri" w:eastAsiaTheme="minorEastAsia" w:hAnsi="Calibri" w:cs="Calibri"/>
          <w:sz w:val="24"/>
          <w:szCs w:val="24"/>
          <w:vertAlign w:val="superscript"/>
          <w:lang w:val="en-GB"/>
        </w:rPr>
        <w:instrText xml:space="preserve"> ADDIN ZOTERO_ITEM CSL_CITATION {"citationID":"xbhOwBIA","properties":{"formattedCitation":"\\super 8\\nosupersub{}","plainCitation":"8","noteIndex":0},"citationItems":[{"id":648,"uris":["http://zotero.org/users/local/NQ3o5CYF/items/L2SSCV9U"],"itemData":{"id":648,"type":"article-journal","abstract":"We describe an ab initio method for calculating the electronic structure, electronic transport, and forces acting on the atoms, for atomic scale systems connected to semi-infinite electrodes and with an applied voltage bias. Our method is based on the density-functional theory (DFT) as implemented in the well tested SIESTA approach (which uses nonlocal norm-conserving pseudopotentials to describe the effect of the core electrons, and linear combination of finite-range numerical atomic orbitals to describe the valence states). We fully deal with the atomistic structure of the whole system, treating both the contact and the electrodes on the same footing. The effect of the finite bias (including self-consistency and the solution of the electrostatic problem) is taken into account using nonequilibrium Green’s functions. We relate the nonequilibrium Green’s function expressions to the more transparent scheme involving the scattering states. As an illustration, the method is applied to three systems where we are able to compare our results to earlier ab initio DFT calculations or experiments, and we point out differences between this method and existing schemes. The systems considered are: (i) single atom carbon wires connected to aluminum electrodes with extended or finite cross section, (ii) single atom gold wires, and finally (iii) large carbon nanotube systems with point defects., This article appears in the following collection:","container-title":"Physical Review B","DOI":"10.1103/PhysRevB.65.165401","issue":"16","journalAbbreviation":"Phys. Rev. B","note":"publisher: American Physical Society","page":"165401","source":"APS","title":"Density-functional method for nonequilibrium electron transport","volume":"65","author":[{"family":"Brandbyge","given":"Mads"},{"family":"Mozos","given":"José-Luis"},{"family":"Ordejón","given":"Pablo"},{"family":"Taylor","given":"Jeremy"},{"family":"Stokbro","given":"Kurt"}],"issued":{"date-parts":[["2002",3,22]]}}}],"schema":"https://github.com/citation-style-language/schema/raw/master/csl-citation.json"} </w:instrText>
      </w:r>
      <w:r w:rsidR="00C137A8" w:rsidRPr="00A4601B">
        <w:rPr>
          <w:rFonts w:ascii="Calibri" w:eastAsiaTheme="minorEastAsia" w:hAnsi="Calibri" w:cs="Calibri"/>
          <w:sz w:val="24"/>
          <w:szCs w:val="24"/>
          <w:vertAlign w:val="superscript"/>
          <w:lang w:val="en-GB"/>
        </w:rPr>
        <w:fldChar w:fldCharType="separate"/>
      </w:r>
      <w:r w:rsidR="00A4601B" w:rsidRPr="00B0117D">
        <w:rPr>
          <w:rFonts w:ascii="Calibri" w:hAnsi="Calibri" w:cs="Calibri"/>
          <w:kern w:val="0"/>
          <w:sz w:val="24"/>
          <w:vertAlign w:val="superscript"/>
          <w:lang w:val="en-GB"/>
        </w:rPr>
        <w:t>8</w:t>
      </w:r>
      <w:r w:rsidR="00C137A8" w:rsidRPr="00A4601B">
        <w:rPr>
          <w:rFonts w:ascii="Calibri" w:eastAsiaTheme="minorEastAsia" w:hAnsi="Calibri" w:cs="Calibri"/>
          <w:sz w:val="24"/>
          <w:szCs w:val="24"/>
          <w:vertAlign w:val="superscript"/>
          <w:lang w:val="en-GB"/>
        </w:rPr>
        <w:fldChar w:fldCharType="end"/>
      </w:r>
      <w:r w:rsidR="00D05298" w:rsidRPr="00A4601B">
        <w:rPr>
          <w:rFonts w:ascii="Calibri" w:eastAsiaTheme="minorEastAsia" w:hAnsi="Calibri" w:cs="Calibri"/>
          <w:sz w:val="24"/>
          <w:szCs w:val="24"/>
          <w:lang w:val="en-GB"/>
        </w:rPr>
        <w:t>.</w:t>
      </w:r>
      <w:r w:rsidR="00C137A8" w:rsidRPr="00A4601B">
        <w:rPr>
          <w:rFonts w:ascii="Calibri" w:eastAsiaTheme="minorEastAsia" w:hAnsi="Calibri" w:cs="Calibri"/>
          <w:sz w:val="24"/>
          <w:szCs w:val="24"/>
          <w:vertAlign w:val="superscript"/>
          <w:lang w:val="en-GB"/>
        </w:rPr>
        <w:t xml:space="preserve"> </w:t>
      </w:r>
      <w:r w:rsidR="00CD5F27" w:rsidRPr="00A4601B">
        <w:rPr>
          <w:rFonts w:ascii="Calibri" w:eastAsiaTheme="minorEastAsia" w:hAnsi="Calibri" w:cs="Calibri"/>
          <w:sz w:val="24"/>
          <w:szCs w:val="24"/>
          <w:lang w:val="en-GB"/>
        </w:rPr>
        <w:t>The integral over the non-equilibrium states along the real axis is performed using single contour method</w:t>
      </w:r>
      <w:r w:rsidR="00C137A8" w:rsidRPr="00A4601B">
        <w:rPr>
          <w:rFonts w:ascii="Calibri" w:eastAsiaTheme="minorEastAsia" w:hAnsi="Calibri" w:cs="Calibri"/>
          <w:sz w:val="24"/>
          <w:szCs w:val="24"/>
          <w:lang w:val="en-GB"/>
        </w:rPr>
        <w:fldChar w:fldCharType="begin"/>
      </w:r>
      <w:r w:rsidR="00A4601B" w:rsidRPr="00A4601B">
        <w:rPr>
          <w:rFonts w:ascii="Calibri" w:eastAsiaTheme="minorEastAsia" w:hAnsi="Calibri" w:cs="Calibri"/>
          <w:sz w:val="24"/>
          <w:szCs w:val="24"/>
          <w:lang w:val="en-GB"/>
        </w:rPr>
        <w:instrText xml:space="preserve"> ADDIN ZOTERO_ITEM CSL_CITATION {"citationID":"anakKxan","properties":{"formattedCitation":"\\super 8\\nosupersub{}","plainCitation":"8","noteIndex":0},"citationItems":[{"id":648,"uris":["http://zotero.org/users/local/NQ3o5CYF/items/L2SSCV9U"],"itemData":{"id":648,"type":"article-journal","abstract":"We describe an ab initio method for calculating the electronic structure, electronic transport, and forces acting on the atoms, for atomic scale systems connected to semi-infinite electrodes and with an applied voltage bias. Our method is based on the density-functional theory (DFT) as implemented in the well tested SIESTA approach (which uses nonlocal norm-conserving pseudopotentials to describe the effect of the core electrons, and linear combination of finite-range numerical atomic orbitals to describe the valence states). We fully deal with the atomistic structure of the whole system, treating both the contact and the electrodes on the same footing. The effect of the finite bias (including self-consistency and the solution of the electrostatic problem) is taken into account using nonequilibrium Green’s functions. We relate the nonequilibrium Green’s function expressions to the more transparent scheme involving the scattering states. As an illustration, the method is applied to three systems where we are able to compare our results to earlier ab initio DFT calculations or experiments, and we point out differences between this method and existing schemes. The systems considered are: (i) single atom carbon wires connected to aluminum electrodes with extended or finite cross section, (ii) single atom gold wires, and finally (iii) large carbon nanotube systems with point defects., This article appears in the following collection:","container-title":"Physical Review B","DOI":"10.1103/PhysRevB.65.165401","issue":"16","journalAbbreviation":"Phys. Rev. B","note":"publisher: American Physical Society","page":"165401","source":"APS","title":"Density-functional method for nonequilibrium electron transport","volume":"65","author":[{"family":"Brandbyge","given":"Mads"},{"family":"Mozos","given":"José-Luis"},{"family":"Ordejón","given":"Pablo"},{"family":"Taylor","given":"Jeremy"},{"family":"Stokbro","given":"Kurt"}],"issued":{"date-parts":[["2002",3,22]]}}}],"schema":"https://github.com/citation-style-language/schema/raw/master/csl-citation.json"} </w:instrText>
      </w:r>
      <w:r w:rsidR="00C137A8" w:rsidRPr="00A4601B">
        <w:rPr>
          <w:rFonts w:ascii="Calibri" w:eastAsiaTheme="minorEastAsia" w:hAnsi="Calibri" w:cs="Calibri"/>
          <w:sz w:val="24"/>
          <w:szCs w:val="24"/>
          <w:lang w:val="en-GB"/>
        </w:rPr>
        <w:fldChar w:fldCharType="separate"/>
      </w:r>
      <w:r w:rsidR="00A4601B" w:rsidRPr="00B0117D">
        <w:rPr>
          <w:rFonts w:ascii="Calibri" w:hAnsi="Calibri" w:cs="Calibri"/>
          <w:kern w:val="0"/>
          <w:sz w:val="24"/>
          <w:vertAlign w:val="superscript"/>
          <w:lang w:val="en-GB"/>
        </w:rPr>
        <w:t>8</w:t>
      </w:r>
      <w:r w:rsidR="00C137A8" w:rsidRPr="00A4601B">
        <w:rPr>
          <w:rFonts w:ascii="Calibri" w:eastAsiaTheme="minorEastAsia" w:hAnsi="Calibri" w:cs="Calibri"/>
          <w:sz w:val="24"/>
          <w:szCs w:val="24"/>
          <w:lang w:val="en-GB"/>
        </w:rPr>
        <w:fldChar w:fldCharType="end"/>
      </w:r>
      <w:r w:rsidR="00D05298" w:rsidRPr="00A4601B">
        <w:rPr>
          <w:rFonts w:ascii="Calibri" w:eastAsiaTheme="minorEastAsia" w:hAnsi="Calibri" w:cs="Calibri"/>
          <w:sz w:val="24"/>
          <w:szCs w:val="24"/>
          <w:lang w:val="en-GB"/>
        </w:rPr>
        <w:t>.</w:t>
      </w:r>
      <w:r w:rsidR="00CD5F27" w:rsidRPr="00A4601B">
        <w:rPr>
          <w:rFonts w:ascii="Calibri" w:eastAsiaTheme="minorEastAsia" w:hAnsi="Calibri" w:cs="Calibri"/>
          <w:sz w:val="24"/>
          <w:szCs w:val="24"/>
          <w:lang w:val="en-GB"/>
        </w:rPr>
        <w:t xml:space="preserve"> </w:t>
      </w:r>
      <w:r w:rsidR="00372693" w:rsidRPr="00AA51E5">
        <w:rPr>
          <w:rFonts w:ascii="Calibri" w:eastAsiaTheme="minorEastAsia" w:hAnsi="Calibri" w:cs="Calibri"/>
          <w:sz w:val="24"/>
          <w:szCs w:val="24"/>
          <w:lang w:val="en-GB"/>
        </w:rPr>
        <w:t xml:space="preserve">Linear combination of numerical atomic-orbital basis set and generalized gradient approximation (GGA) norm-conserving pseudopotentials from </w:t>
      </w:r>
      <w:proofErr w:type="spellStart"/>
      <w:r w:rsidR="00372693" w:rsidRPr="00AA51E5">
        <w:rPr>
          <w:rFonts w:ascii="Calibri" w:eastAsiaTheme="minorEastAsia" w:hAnsi="Calibri" w:cs="Calibri"/>
          <w:sz w:val="24"/>
          <w:szCs w:val="24"/>
          <w:lang w:val="en-GB"/>
        </w:rPr>
        <w:t>PseudoDojo</w:t>
      </w:r>
      <w:proofErr w:type="spellEnd"/>
      <w:r w:rsidR="00372693" w:rsidRPr="00AA51E5">
        <w:rPr>
          <w:rFonts w:ascii="Calibri" w:eastAsiaTheme="minorEastAsia" w:hAnsi="Calibri" w:cs="Calibri"/>
          <w:sz w:val="24"/>
          <w:szCs w:val="24"/>
          <w:lang w:val="en-GB"/>
        </w:rPr>
        <w:t xml:space="preserve"> with medium basis sets</w:t>
      </w:r>
      <w:r w:rsidR="00372693" w:rsidRPr="00AA51E5">
        <w:rPr>
          <w:rFonts w:ascii="Calibri" w:eastAsiaTheme="minorEastAsia" w:hAnsi="Calibri" w:cs="Calibri"/>
          <w:sz w:val="24"/>
          <w:szCs w:val="24"/>
          <w:lang w:val="en-GB"/>
        </w:rPr>
        <w:fldChar w:fldCharType="begin"/>
      </w:r>
      <w:r w:rsidR="00A4601B">
        <w:rPr>
          <w:rFonts w:ascii="Calibri" w:eastAsiaTheme="minorEastAsia" w:hAnsi="Calibri" w:cs="Calibri"/>
          <w:sz w:val="24"/>
          <w:szCs w:val="24"/>
          <w:lang w:val="en-GB"/>
        </w:rPr>
        <w:instrText xml:space="preserve"> ADDIN ZOTERO_ITEM CSL_CITATION {"citationID":"xkHYUJzy","properties":{"formattedCitation":"\\super 9\\nosupersub{}","plainCitation":"9","noteIndex":0},"citationItems":[{"id":503,"uris":["http://zotero.org/users/local/NQ3o5CYF/items/AK3KZ2SK"],"itemData":{"id":503,"type":"article-journal","abstract":"First-principles calculations in crystalline structures are often performed with a planewave basis set. To make the number of basis functions tractable two approximations are usually introduced: core electrons are frozen and the diverging Coulomb potential near the nucleus is replaced by a smoother expression. The norm-conserving pseudopotential was the first successful method to apply these approximations in a fully ab initio way. Later on, more efficient and more exact approaches were developed based on the ultrasoft and the projector augmented wave formalisms. These formalisms are however more complex and developing new features in these frameworks is usually more difficult than in the norm-conserving framework. Most of the existing tables of norm-conserving pseudopotentials, generated long ago, do not include the latest developments, are not systematically tested or are not designed primarily for high precision. In this paper, we present our PseudoDojo framework for developing and testing full tables of pseudopotentials, and demonstrate it with a new table generated with the ONCVPSP approach. The PseudoDojo is an open source project, building on the AbiPy package, for developing and systematically testing pseudopotentials. At present it contains 7 different batteries of tests executed with ABINIT, which are performed as a function of the energy cutoff. The results of these tests are then used to provide hints for the energy cutoff for actual production calculations. Our final set contains 141 pseudopotentials split into a standard and a stringent accuracy table. In total around 70,000 calculations were performed to test the pseudopotentials. The process of developing the final table led to new insights into the effects of both the core-valence partitioning and the non-linear core corrections on the stability, convergence, and transferability of norm-conserving pseudopotentials. The PseudoDojo hence provides a set of pseudopotentials and general purpose tools for further testing and development, focusing on highly accurate calculations and their use in the development of ab initio packages. The pseudopotential files are available on the PseudoDojo web-interface pseudo-dojo.org under the name NC (ONCVPSP) v0.4 in the psp8, UPF2, and PSML 1.1 formats. The webinterface also provides the inputs, which are compatible with the 3.3.1 and higher versions of ONCVPSP. All tests have been performed with ABINIT 8.4.","container-title":"Computer Physics Communications","DOI":"10.1016/j.cpc.2018.01.012","ISSN":"0010-4655","journalAbbreviation":"Computer Physics Communications","page":"39-54","source":"ScienceDirect","title":"The PseudoDojo: Training and grading a 85 element optimized norm-conserving pseudopotential table","title-short":"The PseudoDojo","volume":"226","author":[{"family":"Setten","given":"M. J.","non-dropping-particle":"van"},{"family":"Giantomassi","given":"M."},{"family":"Bousquet","given":"E."},{"family":"Verstraete","given":"M. J."},{"family":"Hamann","given":"D. R."},{"family":"Gonze","given":"X."},{"family":"Rignanese","given":"G. -M."}],"issued":{"date-parts":[["2018",5,1]]}}}],"schema":"https://github.com/citation-style-language/schema/raw/master/csl-citation.json"} </w:instrText>
      </w:r>
      <w:r w:rsidR="00372693" w:rsidRPr="00AA51E5">
        <w:rPr>
          <w:rFonts w:ascii="Calibri" w:eastAsiaTheme="minorEastAsia" w:hAnsi="Calibri" w:cs="Calibri"/>
          <w:sz w:val="24"/>
          <w:szCs w:val="24"/>
          <w:lang w:val="en-GB"/>
        </w:rPr>
        <w:fldChar w:fldCharType="separate"/>
      </w:r>
      <w:r w:rsidR="00A4601B" w:rsidRPr="00A4601B">
        <w:rPr>
          <w:rFonts w:ascii="Calibri" w:hAnsi="Calibri" w:cs="Calibri"/>
          <w:kern w:val="0"/>
          <w:sz w:val="24"/>
          <w:vertAlign w:val="superscript"/>
          <w:lang w:val="en-GB"/>
        </w:rPr>
        <w:t>9</w:t>
      </w:r>
      <w:r w:rsidR="00372693" w:rsidRPr="00AA51E5">
        <w:rPr>
          <w:rFonts w:ascii="Calibri" w:eastAsiaTheme="minorEastAsia" w:hAnsi="Calibri" w:cs="Calibri"/>
          <w:sz w:val="24"/>
          <w:szCs w:val="24"/>
          <w:lang w:val="en-GB"/>
        </w:rPr>
        <w:fldChar w:fldCharType="end"/>
      </w:r>
      <w:r w:rsidR="00372693" w:rsidRPr="00AA51E5">
        <w:rPr>
          <w:rFonts w:ascii="Calibri" w:eastAsiaTheme="minorEastAsia" w:hAnsi="Calibri" w:cs="Calibri"/>
          <w:sz w:val="24"/>
          <w:szCs w:val="24"/>
          <w:lang w:val="en-GB"/>
        </w:rPr>
        <w:t xml:space="preserve"> are employed in the simulations. Brillouin zone integrations are performed over a grid of k-points generated according to the </w:t>
      </w:r>
      <w:proofErr w:type="spellStart"/>
      <w:r w:rsidR="00372693" w:rsidRPr="00AA51E5">
        <w:rPr>
          <w:rFonts w:ascii="Calibri" w:eastAsiaTheme="minorEastAsia" w:hAnsi="Calibri" w:cs="Calibri"/>
          <w:sz w:val="24"/>
          <w:szCs w:val="24"/>
          <w:lang w:val="en-GB"/>
        </w:rPr>
        <w:t>Monkhorst</w:t>
      </w:r>
      <w:proofErr w:type="spellEnd"/>
      <w:r w:rsidR="00372693" w:rsidRPr="00AA51E5">
        <w:rPr>
          <w:rFonts w:ascii="Calibri" w:eastAsiaTheme="minorEastAsia" w:hAnsi="Calibri" w:cs="Calibri"/>
          <w:sz w:val="24"/>
          <w:szCs w:val="24"/>
          <w:lang w:val="en-GB"/>
        </w:rPr>
        <w:t>-Pack scheme</w:t>
      </w:r>
      <w:r w:rsidR="00372693" w:rsidRPr="00AA51E5">
        <w:rPr>
          <w:rFonts w:ascii="Calibri" w:eastAsiaTheme="minorEastAsia" w:hAnsi="Calibri" w:cs="Calibri"/>
          <w:sz w:val="24"/>
          <w:szCs w:val="24"/>
          <w:lang w:val="en-GB"/>
        </w:rPr>
        <w:fldChar w:fldCharType="begin"/>
      </w:r>
      <w:r w:rsidR="00A4601B">
        <w:rPr>
          <w:rFonts w:ascii="Calibri" w:eastAsiaTheme="minorEastAsia" w:hAnsi="Calibri" w:cs="Calibri"/>
          <w:sz w:val="24"/>
          <w:szCs w:val="24"/>
          <w:lang w:val="en-GB"/>
        </w:rPr>
        <w:instrText xml:space="preserve"> ADDIN ZOTERO_ITEM CSL_CITATION {"citationID":"OZWhBt7U","properties":{"formattedCitation":"\\super 10\\nosupersub{}","plainCitation":"10","noteIndex":0},"citationItems":[{"id":505,"uris":["http://zotero.org/users/local/NQ3o5CYF/items/9BXXCTDB"],"itemData":{"id":505,"type":"article-journal","abstract":"A method is given for generating sets of special points in the Brillouin zone which provides an efficient means of integrating periodic functions of the wave vector. The integration can be over the entire Brillouin zone or over specified portions thereof. This method also has applications in spectral and density-of-state calculations. The relationships to the Chadi-Cohen and Gilat-Raubenheimer methods are indicated.","container-title":"Physical Review B","DOI":"10.1103/PhysRevB.13.5188","issue":"12","journalAbbreviation":"Phys. Rev. B","note":"publisher: American Physical Society","page":"5188-5192","source":"APS","title":"Special points for Brillouin-zone integrations","volume":"13","author":[{"family":"Monkhorst","given":"Hendrik J."},{"family":"Pack","given":"James D."}],"issued":{"date-parts":[["1976",6,15]]}}}],"schema":"https://github.com/citation-style-language/schema/raw/master/csl-citation.json"} </w:instrText>
      </w:r>
      <w:r w:rsidR="00372693" w:rsidRPr="00AA51E5">
        <w:rPr>
          <w:rFonts w:ascii="Calibri" w:eastAsiaTheme="minorEastAsia" w:hAnsi="Calibri" w:cs="Calibri"/>
          <w:sz w:val="24"/>
          <w:szCs w:val="24"/>
          <w:lang w:val="en-GB"/>
        </w:rPr>
        <w:fldChar w:fldCharType="separate"/>
      </w:r>
      <w:r w:rsidR="00A4601B" w:rsidRPr="00A4601B">
        <w:rPr>
          <w:rFonts w:ascii="Calibri" w:hAnsi="Calibri" w:cs="Calibri"/>
          <w:kern w:val="0"/>
          <w:sz w:val="24"/>
          <w:vertAlign w:val="superscript"/>
          <w:lang w:val="en-GB"/>
        </w:rPr>
        <w:t>10</w:t>
      </w:r>
      <w:r w:rsidR="00372693" w:rsidRPr="00AA51E5">
        <w:rPr>
          <w:rFonts w:ascii="Calibri" w:eastAsiaTheme="minorEastAsia" w:hAnsi="Calibri" w:cs="Calibri"/>
          <w:sz w:val="24"/>
          <w:szCs w:val="24"/>
          <w:lang w:val="en-GB"/>
        </w:rPr>
        <w:fldChar w:fldCharType="end"/>
      </w:r>
      <w:r w:rsidR="00372693" w:rsidRPr="00AA51E5">
        <w:rPr>
          <w:rFonts w:ascii="Calibri" w:eastAsiaTheme="minorEastAsia" w:hAnsi="Calibri" w:cs="Calibri"/>
          <w:sz w:val="24"/>
          <w:szCs w:val="24"/>
          <w:lang w:val="en-GB"/>
        </w:rPr>
        <w:t>, with a density of approximately 10 k-points per angstrom. An energy cut-off of 110 Ha is considered for the discretized grid, and all structural relaxation is performed with a maximum force of less than 0.02 eV Å</w:t>
      </w:r>
      <w:r w:rsidR="00372693" w:rsidRPr="00B0117D">
        <w:rPr>
          <w:rFonts w:ascii="Calibri" w:eastAsiaTheme="minorEastAsia" w:hAnsi="Calibri" w:cs="Calibri"/>
          <w:sz w:val="24"/>
          <w:szCs w:val="24"/>
          <w:vertAlign w:val="superscript"/>
          <w:lang w:val="en-GB"/>
        </w:rPr>
        <w:t>−1</w:t>
      </w:r>
      <w:r w:rsidR="00372693" w:rsidRPr="00AA51E5">
        <w:rPr>
          <w:rFonts w:ascii="Calibri" w:eastAsiaTheme="minorEastAsia" w:hAnsi="Calibri" w:cs="Calibri"/>
          <w:sz w:val="24"/>
          <w:szCs w:val="24"/>
          <w:lang w:val="en-GB"/>
        </w:rPr>
        <w:t xml:space="preserve">. For discretized grid, </w:t>
      </w:r>
      <w:r w:rsidR="00372693" w:rsidRPr="00AA51E5">
        <w:rPr>
          <w:rFonts w:ascii="Cambria Math" w:eastAsiaTheme="minorEastAsia" w:hAnsi="Cambria Math" w:cs="Cambria Math"/>
          <w:sz w:val="24"/>
          <w:szCs w:val="24"/>
          <w:lang w:val="en-GB"/>
        </w:rPr>
        <w:t>∼</w:t>
      </w:r>
      <w:r w:rsidR="00372693" w:rsidRPr="00AA51E5">
        <w:rPr>
          <w:rFonts w:ascii="Calibri" w:eastAsiaTheme="minorEastAsia" w:hAnsi="Calibri" w:cs="Calibri"/>
          <w:sz w:val="24"/>
          <w:szCs w:val="24"/>
          <w:lang w:val="en-GB"/>
        </w:rPr>
        <w:t xml:space="preserve">700 k-point per angstrom have been used for the Green’s function calculations, in the direction normal to the interface plane. </w:t>
      </w:r>
      <w:r w:rsidR="00AA51E5" w:rsidRPr="00A4601B">
        <w:rPr>
          <w:rFonts w:ascii="Calibri" w:eastAsiaTheme="minorEastAsia" w:hAnsi="Calibri" w:cs="Calibri"/>
          <w:sz w:val="24"/>
          <w:szCs w:val="24"/>
          <w:lang w:val="en-GB"/>
        </w:rPr>
        <w:t>Van-der-Waals (</w:t>
      </w:r>
      <w:proofErr w:type="spellStart"/>
      <w:r w:rsidR="00AA51E5" w:rsidRPr="00A4601B">
        <w:rPr>
          <w:rFonts w:ascii="Calibri" w:eastAsiaTheme="minorEastAsia" w:hAnsi="Calibri" w:cs="Calibri"/>
          <w:sz w:val="24"/>
          <w:szCs w:val="24"/>
          <w:lang w:val="en-GB"/>
        </w:rPr>
        <w:t>vdW</w:t>
      </w:r>
      <w:proofErr w:type="spellEnd"/>
      <w:r w:rsidR="00AA51E5" w:rsidRPr="00A4601B">
        <w:rPr>
          <w:rFonts w:ascii="Calibri" w:eastAsiaTheme="minorEastAsia" w:hAnsi="Calibri" w:cs="Calibri"/>
          <w:sz w:val="24"/>
          <w:szCs w:val="24"/>
          <w:lang w:val="en-GB"/>
        </w:rPr>
        <w:t xml:space="preserve">) interactions </w:t>
      </w:r>
      <w:r w:rsidR="00CA392A" w:rsidRPr="00A4601B">
        <w:rPr>
          <w:rFonts w:ascii="Calibri" w:eastAsiaTheme="minorEastAsia" w:hAnsi="Calibri" w:cs="Calibri"/>
          <w:sz w:val="24"/>
          <w:szCs w:val="24"/>
          <w:lang w:val="en-GB"/>
        </w:rPr>
        <w:t>are</w:t>
      </w:r>
      <w:r w:rsidR="00AA51E5" w:rsidRPr="00A4601B">
        <w:rPr>
          <w:rFonts w:ascii="Calibri" w:eastAsiaTheme="minorEastAsia" w:hAnsi="Calibri" w:cs="Calibri"/>
          <w:sz w:val="24"/>
          <w:szCs w:val="24"/>
          <w:lang w:val="en-GB"/>
        </w:rPr>
        <w:t xml:space="preserve"> included by adding a nonlocal </w:t>
      </w:r>
      <w:proofErr w:type="spellStart"/>
      <w:r w:rsidR="00AA51E5" w:rsidRPr="00A4601B">
        <w:rPr>
          <w:rFonts w:ascii="Calibri" w:eastAsiaTheme="minorEastAsia" w:hAnsi="Calibri" w:cs="Calibri"/>
          <w:sz w:val="24"/>
          <w:szCs w:val="24"/>
          <w:lang w:val="en-GB"/>
        </w:rPr>
        <w:t>vdW</w:t>
      </w:r>
      <w:proofErr w:type="spellEnd"/>
      <w:r w:rsidR="00AA51E5" w:rsidRPr="00A4601B">
        <w:rPr>
          <w:rFonts w:ascii="Calibri" w:eastAsiaTheme="minorEastAsia" w:hAnsi="Calibri" w:cs="Calibri"/>
          <w:sz w:val="24"/>
          <w:szCs w:val="24"/>
          <w:lang w:val="en-GB"/>
        </w:rPr>
        <w:t xml:space="preserve"> term to the local and the semi-local exchange correlation functionals utilizing Grimme’s dispersion correction</w:t>
      </w:r>
      <w:r w:rsidR="00C137A8" w:rsidRPr="00A4601B">
        <w:rPr>
          <w:rFonts w:ascii="Calibri" w:eastAsiaTheme="minorEastAsia" w:hAnsi="Calibri" w:cs="Calibri"/>
          <w:sz w:val="24"/>
          <w:szCs w:val="24"/>
          <w:lang w:val="en-GB"/>
        </w:rPr>
        <w:t>.</w:t>
      </w:r>
      <w:r w:rsidR="00C137A8" w:rsidRPr="00A4601B">
        <w:rPr>
          <w:rFonts w:ascii="Calibri" w:eastAsiaTheme="minorEastAsia" w:hAnsi="Calibri" w:cs="Calibri"/>
          <w:sz w:val="24"/>
          <w:szCs w:val="24"/>
          <w:lang w:val="en-GB"/>
        </w:rPr>
        <w:fldChar w:fldCharType="begin"/>
      </w:r>
      <w:r w:rsidR="00A4601B" w:rsidRPr="00A4601B">
        <w:rPr>
          <w:rFonts w:ascii="Calibri" w:eastAsiaTheme="minorEastAsia" w:hAnsi="Calibri" w:cs="Calibri"/>
          <w:sz w:val="24"/>
          <w:szCs w:val="24"/>
          <w:lang w:val="en-GB"/>
        </w:rPr>
        <w:instrText xml:space="preserve"> ADDIN ZOTERO_ITEM CSL_CITATION {"citationID":"wBCGHcMZ","properties":{"formattedCitation":"\\super 11\\nosupersub{}","plainCitation":"11","noteIndex":0},"citationItems":[{"id":651,"uris":["http://zotero.org/users/local/NQ3o5CYF/items/WPWFBS3Z"],"itemData":{"id":651,"type":"article-journal","abstract":"The method of dispersion correction as an add-on to standard Kohn–Sham density functional theory (DFT-D) has been refined regarding higher accuracy, broader range of applicability, and less empiricism. The main new ingredients are atom-pairwise specific dispersion coefficients and cutoff radii that are both computed from first principles. The coefficients for new eighth-order dispersion terms are computed using established recursion relations. System (geometry) dependent information is used for the first time in a DFT-D type approach by employing the new concept of fractional coordination numbers (CN). They are used to interpolate between dispersion coefficients of atoms in different chemical environments. The method only requires adjustment of two global parameters for each density functional, is asymptotically exact for a gas of weakly interacting neutral atoms, and easily allows the computation of atomic forces. Three-body nonadditivity terms are considered. The method has been assessed on standard benchmark sets for inter- and intramolecular noncovalent interactions with a particular emphasis on a consistent description of light and heavy element systems. The mean absolute deviations for the S22 benchmark set of noncovalent interactions for 11 standard density functionals decrease by 15%–40% compared to the previous (already accurate) DFT-D version. Spectacular improvements are found for a tripeptide-folding model and all tested metallic systems. The rectification of the long-range behavior and the use of more accurate C6 coefficients also lead to a much better description of large (infinite) systems as shown for graphene sheets and the adsorption of benzene on an Ag(111) surface. For graphene it is found that the inclusion of three-body terms substantially (by about 10%) weakens the interlayer binding. We propose the revised DFT-D method as a general tool for the computation of the dispersion energy in molecules and solids of any kind with DFT and related (low-cost) electronic structure methods for large systems.","container-title":"The Journal of Chemical Physics","DOI":"10.1063/1.3382344","ISSN":"0021-9606","issue":"15","journalAbbreviation":"The Journal of Chemical Physics","page":"154104","source":"Silverchair","title":"A consistent and accurate ab initio parametrization of density functional dispersion correction (DFT-D) for the 94 elements H-Pu","volume":"132","author":[{"family":"Grimme","given":"Stefan"},{"family":"Antony","given":"Jens"},{"family":"Ehrlich","given":"Stephan"},{"family":"Krieg","given":"Helge"}],"issued":{"date-parts":[["2010",4,16]]}}}],"schema":"https://github.com/citation-style-language/schema/raw/master/csl-citation.json"} </w:instrText>
      </w:r>
      <w:r w:rsidR="00C137A8" w:rsidRPr="00A4601B">
        <w:rPr>
          <w:rFonts w:ascii="Calibri" w:eastAsiaTheme="minorEastAsia" w:hAnsi="Calibri" w:cs="Calibri"/>
          <w:sz w:val="24"/>
          <w:szCs w:val="24"/>
          <w:lang w:val="en-GB"/>
        </w:rPr>
        <w:fldChar w:fldCharType="separate"/>
      </w:r>
      <w:r w:rsidR="00A4601B" w:rsidRPr="00A4601B">
        <w:rPr>
          <w:rFonts w:ascii="Calibri" w:hAnsi="Calibri" w:cs="Calibri"/>
          <w:kern w:val="0"/>
          <w:sz w:val="24"/>
          <w:vertAlign w:val="superscript"/>
          <w:lang w:val="en-GB"/>
        </w:rPr>
        <w:t>11</w:t>
      </w:r>
      <w:r w:rsidR="00C137A8" w:rsidRPr="00A4601B">
        <w:rPr>
          <w:rFonts w:ascii="Calibri" w:eastAsiaTheme="minorEastAsia" w:hAnsi="Calibri" w:cs="Calibri"/>
          <w:sz w:val="24"/>
          <w:szCs w:val="24"/>
          <w:lang w:val="en-GB"/>
        </w:rPr>
        <w:fldChar w:fldCharType="end"/>
      </w:r>
      <w:r w:rsidR="00C11EAB" w:rsidRPr="00A4601B">
        <w:rPr>
          <w:rFonts w:ascii="Calibri" w:eastAsiaTheme="minorEastAsia" w:hAnsi="Calibri" w:cs="Calibri"/>
          <w:sz w:val="24"/>
          <w:szCs w:val="24"/>
          <w:lang w:val="en-GB"/>
        </w:rPr>
        <w:t xml:space="preserve"> </w:t>
      </w:r>
      <w:r w:rsidR="00372693" w:rsidRPr="00A4601B">
        <w:rPr>
          <w:rFonts w:ascii="Calibri" w:eastAsiaTheme="minorEastAsia" w:hAnsi="Calibri" w:cs="Calibri"/>
          <w:sz w:val="24"/>
          <w:szCs w:val="24"/>
          <w:lang w:val="en-GB"/>
        </w:rPr>
        <w:t>The strain arising from the lattice constant mismatch between the materials at the ReS</w:t>
      </w:r>
      <w:r w:rsidR="00372693" w:rsidRPr="00A4601B">
        <w:rPr>
          <w:rFonts w:ascii="Calibri" w:eastAsiaTheme="minorEastAsia" w:hAnsi="Calibri" w:cs="Calibri"/>
          <w:sz w:val="24"/>
          <w:szCs w:val="24"/>
          <w:vertAlign w:val="subscript"/>
          <w:lang w:val="en-GB"/>
        </w:rPr>
        <w:t>2</w:t>
      </w:r>
      <w:r w:rsidR="00372693" w:rsidRPr="00A4601B">
        <w:rPr>
          <w:rFonts w:ascii="Calibri" w:eastAsiaTheme="minorEastAsia" w:hAnsi="Calibri" w:cs="Calibri"/>
          <w:sz w:val="24"/>
          <w:szCs w:val="24"/>
          <w:lang w:val="en-GB"/>
        </w:rPr>
        <w:t>/Si interface, leading to 0.5% biaxial strain, is applied to the ReS</w:t>
      </w:r>
      <w:r w:rsidR="00372693" w:rsidRPr="00A4601B">
        <w:rPr>
          <w:rFonts w:ascii="Calibri" w:eastAsiaTheme="minorEastAsia" w:hAnsi="Calibri" w:cs="Calibri"/>
          <w:sz w:val="24"/>
          <w:szCs w:val="24"/>
          <w:vertAlign w:val="subscript"/>
          <w:lang w:val="en-GB"/>
        </w:rPr>
        <w:t>2</w:t>
      </w:r>
      <w:r w:rsidR="00372693" w:rsidRPr="00A4601B">
        <w:rPr>
          <w:rFonts w:ascii="Calibri" w:eastAsiaTheme="minorEastAsia" w:hAnsi="Calibri" w:cs="Calibri"/>
          <w:sz w:val="24"/>
          <w:szCs w:val="24"/>
          <w:lang w:val="en-GB"/>
        </w:rPr>
        <w:t xml:space="preserve"> lattice. In the Ni/Si structure, the metal crystallographic orientation with common supercell with minimal strain for Ni[111] has been considered for commensurable interface leading to 1.9% strain which has been applied to the metal electrodes</w:t>
      </w:r>
      <w:r w:rsidR="00C137A8" w:rsidRPr="00A4601B">
        <w:rPr>
          <w:rFonts w:ascii="Calibri" w:eastAsiaTheme="minorEastAsia" w:hAnsi="Calibri" w:cs="Calibri"/>
          <w:sz w:val="24"/>
          <w:szCs w:val="24"/>
          <w:lang w:val="en-GB"/>
        </w:rPr>
        <w:t>.</w:t>
      </w:r>
      <w:r w:rsidR="00372693" w:rsidRPr="00A4601B">
        <w:rPr>
          <w:rFonts w:ascii="Calibri" w:eastAsiaTheme="minorEastAsia" w:hAnsi="Calibri" w:cs="Calibri"/>
          <w:sz w:val="24"/>
          <w:szCs w:val="24"/>
          <w:lang w:val="en-GB"/>
        </w:rPr>
        <w:fldChar w:fldCharType="begin"/>
      </w:r>
      <w:r w:rsidR="00A4601B" w:rsidRPr="00A4601B">
        <w:rPr>
          <w:rFonts w:ascii="Calibri" w:eastAsiaTheme="minorEastAsia" w:hAnsi="Calibri" w:cs="Calibri"/>
          <w:sz w:val="24"/>
          <w:szCs w:val="24"/>
          <w:lang w:val="en-GB"/>
        </w:rPr>
        <w:instrText xml:space="preserve"> ADDIN ZOTERO_ITEM CSL_CITATION {"citationID":"CezD8U6R","properties":{"formattedCitation":"\\super 12\\uc0\\u8211{}14\\nosupersub{}","plainCitation":"12–14","noteIndex":0},"citationItems":[{"id":509,"uris":["http://zotero.org/users/local/NQ3o5CYF/items/NSK3W983"],"itemData":{"id":509,"type":"article-journal","abstract":"The formation of a Schottky barrier at the interface between a metal and hexagonal boron nitride (h−BN) is studied using density functional theory. For metals whose work functions range from 4.2 to 6.0 eV, we find Schottky barrier heights for holes between 1.2 and 2.3 eV. A central role in determining the Schottky barrier height is played by a potential step of between 0.4 and 1.8 eV that is formed at the metal|h−BN interface and effectively lowers the metal work function. If h−BN is physisorbed, as is the case on fcc Cu, Al, Au, Ag, and Pt(111) substrates, the interface potential step is described well by a universal function that depends only on the distance separating h−BN from the metal surface. The interface potential step is largest when h−BN is chemisorbed, which is the case for hcp Co and Ti (0001) and for fcc Ni and Pd (111) substrates.","container-title":"Physical Review B","DOI":"10.1103/PhysRevB.90.085415","issue":"8","journalAbbreviation":"Phys. Rev. B","note":"publisher: American Physical Society","page":"085415","source":"APS","title":"Schottky barriers at hexagonal boron nitride/metal interfaces: A first-principles study","title-short":"Schottky barriers at hexagonal boron nitride/metal interfaces","volume":"90","author":[{"family":"Bokdam","given":"Menno"},{"family":"Brocks","given":"Geert"},{"family":"Katsnelson","given":"M. I."},{"family":"Kelly","given":"Paul J."}],"issued":{"date-parts":[["2014",8,13]]}}},{"id":498,"uris":["http://zotero.org/users/local/NQ3o5CYF/items/B5BB7CRY"],"itemData":{"id":498,"type":"article-journal","abstract":"The properties and performance of 2D nanostructures are known to be critically affected by localized edge states. Here, platinum diselenide (PtSe2) films, synthesized by thermally assisted conversion, are characterized by a variety of spectroscopic and microscopic methods, including scanning tunneling microscopy and spectroscopy, and scanning transmission electron microscopy. We report the presence of distinct edge states, and use surface Green's function methodology in atomistic modeling of different edge atomic structures, together with other theoretical tools, to investigate their origin. Our results indicate that the edges, inherent and abundant in polycrystalline films, can be semiconducting or semimetallic in nature depending on the edge configuration. Experimental results in conjunction with first-principles calculations demonstrate a mapped band profile of the atomically-sharp step edges of PtSe2, which form lateral heterojunctions possessing large asymmetric band offsets in the conduction and valence bands. We further explore the viability of a single step monomaterial heterojunction based field-effect transistor, through atomistic quantum transport simulations. This reveals the critical role of the edge states in creating a wider energy band for carrier transport in the ON-state and hence enabling a remarkably large ION/IOFF ratio &gt; 1010 and near-ideal subthreshold slope, fulfilling the requirements for low-power applications.","container-title":"Applied Materials Today","DOI":"10.1016/j.apmt.2023.101926","ISSN":"2352-9407","journalAbbreviation":"Applied Materials Today","page":"101926","source":"ScienceDirect","title":"Revealing the influence of edge states on the electronic properties of PtSe2","volume":"35","author":[{"family":"Zhussupbekov","given":"Kuanysh"},{"family":"Ansari","given":"Lida"},{"family":"Elibol","given":"Kenan"},{"family":"Zhussupbekova","given":"Ainur"},{"family":"Kotakoski","given":"Jani"},{"family":"Shvets","given":"Igor V."},{"family":"Duesberg","given":"Georg S."},{"family":"Hurley","given":"Paul K."},{"family":"McEvoy","given":"Niall"},{"family":"Ó Coileáin","given":"Cormac"},{"family":"Gity","given":"Farzan"}],"issued":{"date-parts":[["2023",12,1]]}}},{"id":653,"uris":["http://zotero.org/users/local/NQ3o5CYF/items/9D7T5TNR"],"itemData":{"id":653,"type":"article-journal","abstract":"Metal-semiconductor contacts are a pillar of modern semiconductor technology. Historically, their microscopic understanding has been hampered by the inability of traditional analytical and numerical methods to fully capture the complex physics governing their operating principles. Here we introduce an atomistic approach based on density functional theory and nonequilibrium Green's function, which includes all the relevant ingredients required to model realistic metal-semiconductor interfaces and allows for a direct comparison between theory and experiments via </w:instrText>
      </w:r>
      <w:r w:rsidR="00A4601B" w:rsidRPr="00A4601B">
        <w:rPr>
          <w:rFonts w:ascii="Cambria Math" w:eastAsiaTheme="minorEastAsia" w:hAnsi="Cambria Math" w:cs="Cambria Math"/>
          <w:sz w:val="24"/>
          <w:szCs w:val="24"/>
          <w:lang w:val="en-GB"/>
        </w:rPr>
        <w:instrText>𝐼</w:instrText>
      </w:r>
      <w:r w:rsidR="00A4601B" w:rsidRPr="00A4601B">
        <w:rPr>
          <w:rFonts w:ascii="Calibri" w:eastAsiaTheme="minorEastAsia" w:hAnsi="Calibri" w:cs="Calibri"/>
          <w:sz w:val="24"/>
          <w:szCs w:val="24"/>
          <w:lang w:val="en-GB"/>
        </w:rPr>
        <w:instrText>−</w:instrText>
      </w:r>
      <w:r w:rsidR="00A4601B" w:rsidRPr="00A4601B">
        <w:rPr>
          <w:rFonts w:ascii="Cambria Math" w:eastAsiaTheme="minorEastAsia" w:hAnsi="Cambria Math" w:cs="Cambria Math"/>
          <w:sz w:val="24"/>
          <w:szCs w:val="24"/>
          <w:lang w:val="en-GB"/>
        </w:rPr>
        <w:instrText>𝑉</w:instrText>
      </w:r>
      <w:r w:rsidR="00A4601B" w:rsidRPr="00A4601B">
        <w:rPr>
          <w:rFonts w:ascii="Calibri" w:eastAsiaTheme="minorEastAsia" w:hAnsi="Calibri" w:cs="Calibri"/>
          <w:sz w:val="24"/>
          <w:szCs w:val="24"/>
          <w:lang w:val="en-GB"/>
        </w:rPr>
        <w:instrText xml:space="preserve">bias curve simulations. We apply this method to characterize an Ag/Si interface relevant for photovoltaic applications and study the rectifying-to-Ohmic transition as a function of the semiconductor doping. We also demonstrate that the standard “activation energy” method for the analysis of </w:instrText>
      </w:r>
      <w:r w:rsidR="00A4601B" w:rsidRPr="00A4601B">
        <w:rPr>
          <w:rFonts w:ascii="Cambria Math" w:eastAsiaTheme="minorEastAsia" w:hAnsi="Cambria Math" w:cs="Cambria Math"/>
          <w:sz w:val="24"/>
          <w:szCs w:val="24"/>
          <w:lang w:val="en-GB"/>
        </w:rPr>
        <w:instrText>𝐼</w:instrText>
      </w:r>
      <w:r w:rsidR="00A4601B" w:rsidRPr="00A4601B">
        <w:rPr>
          <w:rFonts w:ascii="Calibri" w:eastAsiaTheme="minorEastAsia" w:hAnsi="Calibri" w:cs="Calibri"/>
          <w:sz w:val="24"/>
          <w:szCs w:val="24"/>
          <w:lang w:val="en-GB"/>
        </w:rPr>
        <w:instrText>−</w:instrText>
      </w:r>
      <w:r w:rsidR="00A4601B" w:rsidRPr="00A4601B">
        <w:rPr>
          <w:rFonts w:ascii="Cambria Math" w:eastAsiaTheme="minorEastAsia" w:hAnsi="Cambria Math" w:cs="Cambria Math"/>
          <w:sz w:val="24"/>
          <w:szCs w:val="24"/>
          <w:lang w:val="en-GB"/>
        </w:rPr>
        <w:instrText>𝑉</w:instrText>
      </w:r>
      <w:r w:rsidR="00A4601B" w:rsidRPr="00A4601B">
        <w:rPr>
          <w:rFonts w:ascii="Calibri" w:eastAsiaTheme="minorEastAsia" w:hAnsi="Calibri" w:cs="Calibri"/>
          <w:sz w:val="24"/>
          <w:szCs w:val="24"/>
          <w:lang w:val="en-GB"/>
        </w:rPr>
        <w:instrText xml:space="preserve">bias data might be inaccurate for nonideal interfaces as it neglects electron tunneling, and that finite-size atomistic models have problems in describing these interfaces in the presence of doping due to a poor representation of space-charge effects. Conversely, the present method deals effectively with both issues, thus representing a valid alternative to conventional procedures for the accurate characterization of metal-semiconductor interfaces.","container-title":"Physical Review B","DOI":"10.1103/PhysRevB.93.155302","issue":"15","journalAbbreviation":"Phys. Rev. B","note":"publisher: American Physical Society","page":"155302","source":"APS","title":"General atomistic approach for modeling metal-semiconductor interfaces using density functional theory and nonequilibrium Green's function","volume":"93","author":[{"family":"Stradi","given":"Daniele"},{"family":"Martinez","given":"Umberto"},{"family":"Blom","given":"Anders"},{"family":"Brandbyge","given":"Mads"},{"family":"Stokbro","given":"Kurt"}],"issued":{"date-parts":[["2016",4,7]]}}}],"schema":"https://github.com/citation-style-language/schema/raw/master/csl-citation.json"} </w:instrText>
      </w:r>
      <w:r w:rsidR="00372693" w:rsidRPr="00A4601B">
        <w:rPr>
          <w:rFonts w:ascii="Calibri" w:eastAsiaTheme="minorEastAsia" w:hAnsi="Calibri" w:cs="Calibri"/>
          <w:sz w:val="24"/>
          <w:szCs w:val="24"/>
          <w:lang w:val="en-GB"/>
        </w:rPr>
        <w:fldChar w:fldCharType="separate"/>
      </w:r>
      <w:r w:rsidR="00A4601B" w:rsidRPr="00A4601B">
        <w:rPr>
          <w:rFonts w:ascii="Calibri" w:hAnsi="Calibri" w:cs="Calibri"/>
          <w:kern w:val="0"/>
          <w:sz w:val="24"/>
          <w:vertAlign w:val="superscript"/>
          <w:lang w:val="en-GB"/>
        </w:rPr>
        <w:t>12–14</w:t>
      </w:r>
      <w:r w:rsidR="00372693" w:rsidRPr="00A4601B">
        <w:rPr>
          <w:rFonts w:ascii="Calibri" w:eastAsiaTheme="minorEastAsia" w:hAnsi="Calibri" w:cs="Calibri"/>
          <w:sz w:val="24"/>
          <w:szCs w:val="24"/>
          <w:lang w:val="en-GB"/>
        </w:rPr>
        <w:fldChar w:fldCharType="end"/>
      </w:r>
      <w:r w:rsidR="00372693" w:rsidRPr="00A4601B">
        <w:rPr>
          <w:rFonts w:ascii="Calibri" w:eastAsiaTheme="minorEastAsia" w:hAnsi="Calibri" w:cs="Calibri"/>
          <w:sz w:val="24"/>
          <w:szCs w:val="24"/>
          <w:lang w:val="en-GB"/>
        </w:rPr>
        <w:t>.</w:t>
      </w:r>
      <w:r w:rsidR="00CA392A" w:rsidRPr="00A4601B">
        <w:rPr>
          <w:rFonts w:ascii="Calibri" w:hAnsi="Calibri" w:cs="Calibri"/>
          <w:sz w:val="24"/>
          <w:szCs w:val="24"/>
          <w:lang w:val="en-GB"/>
        </w:rPr>
        <w:t xml:space="preserve">The </w:t>
      </w:r>
      <w:r w:rsidR="00F116CA" w:rsidRPr="00A4601B">
        <w:rPr>
          <w:rFonts w:ascii="Calibri" w:hAnsi="Calibri" w:cs="Calibri"/>
          <w:sz w:val="24"/>
          <w:szCs w:val="24"/>
          <w:lang w:val="en-GB"/>
        </w:rPr>
        <w:t xml:space="preserve">Ni/Si interface structure </w:t>
      </w:r>
      <w:r w:rsidR="00CA392A" w:rsidRPr="00A4601B">
        <w:rPr>
          <w:rFonts w:ascii="Calibri" w:hAnsi="Calibri" w:cs="Calibri"/>
          <w:sz w:val="24"/>
          <w:szCs w:val="24"/>
          <w:lang w:val="en-GB"/>
        </w:rPr>
        <w:t>consists of</w:t>
      </w:r>
      <w:r w:rsidR="00F116CA" w:rsidRPr="00A4601B">
        <w:rPr>
          <w:rFonts w:ascii="Calibri" w:hAnsi="Calibri" w:cs="Calibri"/>
          <w:sz w:val="24"/>
          <w:szCs w:val="24"/>
          <w:lang w:val="en-GB"/>
        </w:rPr>
        <w:t xml:space="preserve"> </w:t>
      </w:r>
      <w:r w:rsidR="00CA392A" w:rsidRPr="00A4601B">
        <w:rPr>
          <w:rFonts w:ascii="Calibri" w:hAnsi="Calibri" w:cs="Calibri"/>
          <w:sz w:val="24"/>
          <w:szCs w:val="24"/>
          <w:lang w:val="en-GB"/>
        </w:rPr>
        <w:t>224 Ni atoms and 1416 Si atoms (</w:t>
      </w:r>
      <w:r w:rsidR="00F116CA" w:rsidRPr="00A4601B">
        <w:rPr>
          <w:rFonts w:ascii="Calibri" w:hAnsi="Calibri" w:cs="Calibri"/>
          <w:sz w:val="24"/>
          <w:szCs w:val="24"/>
          <w:lang w:val="en-GB"/>
        </w:rPr>
        <w:t>total 1640</w:t>
      </w:r>
      <w:r w:rsidR="00CA392A" w:rsidRPr="00A4601B">
        <w:rPr>
          <w:rFonts w:ascii="Calibri" w:hAnsi="Calibri" w:cs="Calibri"/>
          <w:sz w:val="24"/>
          <w:szCs w:val="24"/>
          <w:lang w:val="en-GB"/>
        </w:rPr>
        <w:t>)</w:t>
      </w:r>
      <w:r w:rsidR="00F116CA" w:rsidRPr="00A4601B">
        <w:rPr>
          <w:rFonts w:ascii="Calibri" w:hAnsi="Calibri" w:cs="Calibri"/>
          <w:sz w:val="24"/>
          <w:szCs w:val="24"/>
          <w:lang w:val="en-GB"/>
        </w:rPr>
        <w:t xml:space="preserve">. </w:t>
      </w:r>
      <w:r w:rsidR="00CA392A" w:rsidRPr="00A4601B">
        <w:rPr>
          <w:rFonts w:ascii="Calibri" w:hAnsi="Calibri" w:cs="Calibri"/>
          <w:sz w:val="24"/>
          <w:szCs w:val="24"/>
          <w:lang w:val="en-GB"/>
        </w:rPr>
        <w:t xml:space="preserve">The </w:t>
      </w:r>
      <w:r w:rsidR="00F116CA" w:rsidRPr="00A4601B">
        <w:rPr>
          <w:rFonts w:ascii="Calibri" w:hAnsi="Calibri" w:cs="Calibri"/>
          <w:sz w:val="24"/>
          <w:szCs w:val="24"/>
          <w:lang w:val="en-GB"/>
        </w:rPr>
        <w:t>ReS</w:t>
      </w:r>
      <w:r w:rsidR="00F116CA" w:rsidRPr="00A4601B">
        <w:rPr>
          <w:rFonts w:ascii="Calibri" w:hAnsi="Calibri" w:cs="Calibri"/>
          <w:sz w:val="24"/>
          <w:szCs w:val="24"/>
          <w:vertAlign w:val="subscript"/>
          <w:lang w:val="en-GB"/>
        </w:rPr>
        <w:t>2</w:t>
      </w:r>
      <w:r w:rsidR="00F116CA" w:rsidRPr="00A4601B">
        <w:rPr>
          <w:rFonts w:ascii="Calibri" w:hAnsi="Calibri" w:cs="Calibri"/>
          <w:sz w:val="24"/>
          <w:szCs w:val="24"/>
          <w:lang w:val="en-GB"/>
        </w:rPr>
        <w:t xml:space="preserve">/Si interface </w:t>
      </w:r>
      <w:r w:rsidR="00D510D7" w:rsidRPr="00A4601B">
        <w:rPr>
          <w:rFonts w:ascii="Calibri" w:hAnsi="Calibri" w:cs="Calibri"/>
          <w:sz w:val="24"/>
          <w:szCs w:val="24"/>
          <w:lang w:val="en-GB"/>
        </w:rPr>
        <w:t xml:space="preserve">includes total 1090 atoms </w:t>
      </w:r>
      <w:r w:rsidR="00CA392A" w:rsidRPr="00A4601B">
        <w:rPr>
          <w:rFonts w:ascii="Calibri" w:hAnsi="Calibri" w:cs="Calibri"/>
          <w:sz w:val="24"/>
          <w:szCs w:val="24"/>
          <w:lang w:val="en-GB"/>
        </w:rPr>
        <w:t>(</w:t>
      </w:r>
      <w:r w:rsidR="00D510D7" w:rsidRPr="00A4601B">
        <w:rPr>
          <w:rFonts w:ascii="Calibri" w:hAnsi="Calibri" w:cs="Calibri"/>
          <w:sz w:val="24"/>
          <w:szCs w:val="24"/>
          <w:lang w:val="en-GB"/>
        </w:rPr>
        <w:t>384 ReS2 atoms, 701 Si atoms and 5 hydrogen atoms</w:t>
      </w:r>
      <w:r w:rsidR="00CA392A" w:rsidRPr="00A4601B">
        <w:rPr>
          <w:rFonts w:ascii="Calibri" w:hAnsi="Calibri" w:cs="Calibri"/>
          <w:sz w:val="24"/>
          <w:szCs w:val="24"/>
          <w:lang w:val="en-GB"/>
        </w:rPr>
        <w:t>)</w:t>
      </w:r>
      <w:r w:rsidR="00D510D7" w:rsidRPr="00A4601B">
        <w:rPr>
          <w:rFonts w:ascii="Calibri" w:hAnsi="Calibri" w:cs="Calibri"/>
          <w:sz w:val="24"/>
          <w:szCs w:val="24"/>
          <w:lang w:val="en-GB"/>
        </w:rPr>
        <w:t>.</w:t>
      </w:r>
      <w:r w:rsidR="00C137A8" w:rsidRPr="00A4601B">
        <w:rPr>
          <w:rFonts w:ascii="Calibri" w:hAnsi="Calibri" w:cs="Calibri"/>
          <w:sz w:val="24"/>
          <w:szCs w:val="24"/>
          <w:lang w:val="en-GB"/>
        </w:rPr>
        <w:t xml:space="preserve"> </w:t>
      </w:r>
      <w:r w:rsidR="00372693" w:rsidRPr="00AA51E5">
        <w:rPr>
          <w:rFonts w:ascii="Calibri" w:eastAsiaTheme="minorEastAsia" w:hAnsi="Calibri" w:cs="Calibri"/>
          <w:sz w:val="24"/>
          <w:szCs w:val="24"/>
          <w:lang w:val="en-GB"/>
        </w:rPr>
        <w:t>To reflect the impact of Si exposure to HF prior to ReS</w:t>
      </w:r>
      <w:r w:rsidR="00372693" w:rsidRPr="00AA51E5">
        <w:rPr>
          <w:rFonts w:ascii="Calibri" w:eastAsiaTheme="minorEastAsia" w:hAnsi="Calibri" w:cs="Calibri"/>
          <w:sz w:val="24"/>
          <w:szCs w:val="24"/>
          <w:vertAlign w:val="subscript"/>
          <w:lang w:val="en-GB"/>
        </w:rPr>
        <w:t>2</w:t>
      </w:r>
      <w:r w:rsidR="00372693" w:rsidRPr="00AA51E5">
        <w:rPr>
          <w:rFonts w:ascii="Calibri" w:eastAsiaTheme="minorEastAsia" w:hAnsi="Calibri" w:cs="Calibri"/>
          <w:sz w:val="24"/>
          <w:szCs w:val="24"/>
          <w:lang w:val="en-GB"/>
        </w:rPr>
        <w:t xml:space="preserve"> exfoliation the Si surface dangling bonds are passivated with hydrogen.</w:t>
      </w:r>
    </w:p>
    <w:p w14:paraId="1987AA70" w14:textId="77777777" w:rsidR="00A4601B" w:rsidRDefault="00A4601B" w:rsidP="008E076A">
      <w:pPr>
        <w:jc w:val="both"/>
        <w:rPr>
          <w:rFonts w:ascii="Calibri" w:eastAsiaTheme="minorEastAsia" w:hAnsi="Calibri" w:cs="Calibri"/>
          <w:sz w:val="24"/>
          <w:szCs w:val="24"/>
          <w:lang w:val="en-GB"/>
        </w:rPr>
      </w:pPr>
    </w:p>
    <w:p w14:paraId="2CCB95F1" w14:textId="77777777" w:rsidR="00A4601B" w:rsidRDefault="00A4601B" w:rsidP="008E076A">
      <w:pPr>
        <w:jc w:val="both"/>
        <w:rPr>
          <w:rFonts w:ascii="Calibri" w:eastAsiaTheme="minorEastAsia" w:hAnsi="Calibri" w:cs="Calibri"/>
          <w:sz w:val="24"/>
          <w:szCs w:val="24"/>
          <w:lang w:val="en-GB"/>
        </w:rPr>
      </w:pPr>
    </w:p>
    <w:p w14:paraId="3ED22C3F" w14:textId="77777777" w:rsidR="00A4601B" w:rsidRDefault="00A4601B" w:rsidP="008E076A">
      <w:pPr>
        <w:jc w:val="both"/>
        <w:rPr>
          <w:rFonts w:ascii="Calibri" w:eastAsiaTheme="minorEastAsia" w:hAnsi="Calibri" w:cs="Calibri"/>
          <w:sz w:val="24"/>
          <w:szCs w:val="24"/>
          <w:lang w:val="en-GB"/>
        </w:rPr>
      </w:pPr>
    </w:p>
    <w:p w14:paraId="53125412" w14:textId="77777777" w:rsidR="00A4601B" w:rsidRDefault="00A4601B" w:rsidP="008E076A">
      <w:pPr>
        <w:jc w:val="both"/>
        <w:rPr>
          <w:rFonts w:ascii="Calibri" w:eastAsiaTheme="minorEastAsia" w:hAnsi="Calibri" w:cs="Calibri"/>
          <w:sz w:val="24"/>
          <w:szCs w:val="24"/>
          <w:lang w:val="en-GB"/>
        </w:rPr>
      </w:pPr>
    </w:p>
    <w:p w14:paraId="38B34CC7" w14:textId="77777777" w:rsidR="00A4601B" w:rsidRDefault="00A4601B" w:rsidP="008E076A">
      <w:pPr>
        <w:jc w:val="both"/>
        <w:rPr>
          <w:rFonts w:ascii="Calibri" w:eastAsiaTheme="minorEastAsia" w:hAnsi="Calibri" w:cs="Calibri"/>
          <w:sz w:val="24"/>
          <w:szCs w:val="24"/>
          <w:lang w:val="en-GB"/>
        </w:rPr>
      </w:pPr>
    </w:p>
    <w:p w14:paraId="67EA4A11" w14:textId="77777777" w:rsidR="00A4601B" w:rsidRDefault="00A4601B" w:rsidP="008E076A">
      <w:pPr>
        <w:jc w:val="both"/>
        <w:rPr>
          <w:rFonts w:ascii="Calibri" w:eastAsiaTheme="minorEastAsia" w:hAnsi="Calibri" w:cs="Calibri"/>
          <w:sz w:val="24"/>
          <w:szCs w:val="24"/>
          <w:lang w:val="en-GB"/>
        </w:rPr>
      </w:pPr>
    </w:p>
    <w:p w14:paraId="7C2B0977" w14:textId="77777777" w:rsidR="00A4601B" w:rsidRDefault="00A4601B" w:rsidP="008E076A">
      <w:pPr>
        <w:jc w:val="both"/>
        <w:rPr>
          <w:rFonts w:ascii="Calibri" w:eastAsiaTheme="minorEastAsia" w:hAnsi="Calibri" w:cs="Calibri"/>
          <w:sz w:val="24"/>
          <w:szCs w:val="24"/>
          <w:lang w:val="en-GB"/>
        </w:rPr>
      </w:pPr>
    </w:p>
    <w:p w14:paraId="6113736D" w14:textId="77777777" w:rsidR="00A4601B" w:rsidRPr="00AA51E5" w:rsidRDefault="00A4601B" w:rsidP="008E076A">
      <w:pPr>
        <w:jc w:val="both"/>
        <w:rPr>
          <w:rFonts w:ascii="Calibri" w:eastAsiaTheme="minorEastAsia" w:hAnsi="Calibri" w:cs="Calibri"/>
          <w:sz w:val="24"/>
          <w:szCs w:val="24"/>
          <w:lang w:val="en-GB"/>
        </w:rPr>
      </w:pPr>
    </w:p>
    <w:p w14:paraId="327FAE52" w14:textId="77777777" w:rsidR="00136FA6" w:rsidRPr="00AA51E5" w:rsidRDefault="00136FA6" w:rsidP="008E076A">
      <w:pPr>
        <w:jc w:val="both"/>
        <w:rPr>
          <w:rFonts w:ascii="Calibri" w:eastAsiaTheme="minorEastAsia" w:hAnsi="Calibri" w:cs="Calibri"/>
          <w:sz w:val="24"/>
          <w:szCs w:val="24"/>
          <w:lang w:val="en-GB"/>
        </w:rPr>
      </w:pPr>
    </w:p>
    <w:p w14:paraId="4070156E" w14:textId="6803D7F3" w:rsidR="007A2CC9" w:rsidRPr="002E10EA" w:rsidRDefault="007A2CC9" w:rsidP="002E10EA">
      <w:pPr>
        <w:pStyle w:val="Paragrafoelenco"/>
        <w:numPr>
          <w:ilvl w:val="0"/>
          <w:numId w:val="1"/>
        </w:numPr>
        <w:jc w:val="both"/>
        <w:rPr>
          <w:rFonts w:ascii="Calibri" w:hAnsi="Calibri" w:cs="Calibri"/>
          <w:b/>
          <w:bCs/>
          <w:sz w:val="24"/>
          <w:szCs w:val="24"/>
          <w:lang w:val="en-GB"/>
        </w:rPr>
      </w:pPr>
      <w:r w:rsidRPr="002E10EA">
        <w:rPr>
          <w:rFonts w:ascii="Calibri" w:hAnsi="Calibri" w:cs="Calibri"/>
          <w:b/>
          <w:bCs/>
          <w:sz w:val="24"/>
          <w:szCs w:val="24"/>
          <w:lang w:val="en-GB"/>
        </w:rPr>
        <w:lastRenderedPageBreak/>
        <w:t xml:space="preserve">Equilibrium band diagram of the Ni/Si structure </w:t>
      </w:r>
    </w:p>
    <w:p w14:paraId="0EC2BB27" w14:textId="77777777" w:rsidR="00862A30" w:rsidRPr="000E4C7F" w:rsidRDefault="00862A30" w:rsidP="00862A30">
      <w:pPr>
        <w:ind w:left="360"/>
        <w:jc w:val="both"/>
        <w:rPr>
          <w:rFonts w:ascii="Calibri" w:hAnsi="Calibri" w:cs="Calibri"/>
          <w:b/>
          <w:bCs/>
          <w:sz w:val="24"/>
          <w:szCs w:val="24"/>
          <w:lang w:val="en-GB"/>
        </w:rPr>
      </w:pPr>
    </w:p>
    <w:p w14:paraId="7D224057" w14:textId="3A0CE121" w:rsidR="00430CA3" w:rsidRPr="000E4C7F" w:rsidRDefault="007A401C" w:rsidP="00CA2DFF">
      <w:pPr>
        <w:jc w:val="center"/>
        <w:rPr>
          <w:rFonts w:ascii="Calibri" w:hAnsi="Calibri" w:cs="Calibri"/>
          <w:b/>
          <w:bCs/>
          <w:sz w:val="24"/>
          <w:szCs w:val="24"/>
          <w:lang w:val="en-GB"/>
        </w:rPr>
      </w:pPr>
      <w:r>
        <w:rPr>
          <w:noProof/>
          <w:sz w:val="16"/>
          <w:szCs w:val="16"/>
          <w:lang w:val="en-GB" w:eastAsia="en-GB"/>
        </w:rPr>
        <w:drawing>
          <wp:inline distT="0" distB="0" distL="0" distR="0" wp14:anchorId="1B2574AD" wp14:editId="503B0396">
            <wp:extent cx="3828011" cy="2880360"/>
            <wp:effectExtent l="0" t="0" r="1270" b="0"/>
            <wp:docPr id="890624972" name="Immagine 1" descr="Immagine che contiene testo, schermata, Policromi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24972" name="Immagine 1" descr="Immagine che contiene testo, schermata, Policromia, linea&#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3828011" cy="2880360"/>
                    </a:xfrm>
                    <a:prstGeom prst="rect">
                      <a:avLst/>
                    </a:prstGeom>
                  </pic:spPr>
                </pic:pic>
              </a:graphicData>
            </a:graphic>
          </wp:inline>
        </w:drawing>
      </w:r>
    </w:p>
    <w:p w14:paraId="521C6152" w14:textId="77777777" w:rsidR="00043754" w:rsidRPr="000E4C7F" w:rsidRDefault="00043754" w:rsidP="00CA2DFF">
      <w:pPr>
        <w:jc w:val="center"/>
        <w:rPr>
          <w:rFonts w:ascii="Calibri" w:hAnsi="Calibri" w:cs="Calibri"/>
          <w:b/>
          <w:bCs/>
          <w:sz w:val="24"/>
          <w:szCs w:val="24"/>
          <w:lang w:val="en-GB"/>
        </w:rPr>
      </w:pPr>
    </w:p>
    <w:p w14:paraId="1DA7E70B" w14:textId="40EF4032" w:rsidR="00430CA3" w:rsidRDefault="00043754" w:rsidP="00430CA3">
      <w:pPr>
        <w:jc w:val="both"/>
        <w:rPr>
          <w:sz w:val="20"/>
          <w:szCs w:val="20"/>
          <w:lang w:val="en-GB"/>
        </w:rPr>
      </w:pPr>
      <w:r w:rsidRPr="009B78B2">
        <w:rPr>
          <w:rFonts w:ascii="Calibri" w:hAnsi="Calibri" w:cs="Calibri"/>
          <w:b/>
          <w:bCs/>
          <w:lang w:val="en-GB"/>
        </w:rPr>
        <w:t>Figure S.</w:t>
      </w:r>
      <w:r w:rsidR="007A2CC9">
        <w:rPr>
          <w:rFonts w:ascii="Calibri" w:hAnsi="Calibri" w:cs="Calibri"/>
          <w:b/>
          <w:bCs/>
          <w:lang w:val="en-GB"/>
        </w:rPr>
        <w:t>7.</w:t>
      </w:r>
      <w:r w:rsidR="003A7C60" w:rsidRPr="009B78B2">
        <w:rPr>
          <w:rFonts w:ascii="Calibri" w:hAnsi="Calibri" w:cs="Calibri"/>
          <w:b/>
          <w:bCs/>
          <w:lang w:val="en-GB"/>
        </w:rPr>
        <w:t xml:space="preserve"> </w:t>
      </w:r>
      <w:r w:rsidR="007A401C" w:rsidRPr="009B78B2">
        <w:rPr>
          <w:sz w:val="20"/>
          <w:szCs w:val="20"/>
          <w:lang w:val="en-GB"/>
        </w:rPr>
        <w:t xml:space="preserve">Planar-averaged CDD, atomic structure and energy-resolved </w:t>
      </w:r>
      <w:proofErr w:type="spellStart"/>
      <w:r w:rsidR="007A401C" w:rsidRPr="009B78B2">
        <w:rPr>
          <w:sz w:val="20"/>
          <w:szCs w:val="20"/>
          <w:lang w:val="en-GB"/>
        </w:rPr>
        <w:t>LDoS</w:t>
      </w:r>
      <w:proofErr w:type="spellEnd"/>
      <w:r w:rsidR="007A401C" w:rsidRPr="009B78B2">
        <w:rPr>
          <w:sz w:val="20"/>
          <w:szCs w:val="20"/>
          <w:lang w:val="en-GB"/>
        </w:rPr>
        <w:t xml:space="preserve"> of Ni/Si.</w:t>
      </w:r>
    </w:p>
    <w:p w14:paraId="71FB4410" w14:textId="77777777" w:rsidR="002E10EA" w:rsidRDefault="002E10EA" w:rsidP="00430CA3">
      <w:pPr>
        <w:jc w:val="both"/>
        <w:rPr>
          <w:rFonts w:ascii="Calibri" w:hAnsi="Calibri" w:cs="Calibri"/>
          <w:color w:val="FF0000"/>
          <w:lang w:val="en-GB"/>
        </w:rPr>
      </w:pPr>
    </w:p>
    <w:p w14:paraId="431A0EC0" w14:textId="50E4FBB4" w:rsidR="00B424A6" w:rsidRPr="00B424A6" w:rsidRDefault="00B424A6" w:rsidP="00B424A6">
      <w:pPr>
        <w:pStyle w:val="Paragrafoelenco"/>
        <w:numPr>
          <w:ilvl w:val="0"/>
          <w:numId w:val="1"/>
        </w:numPr>
        <w:jc w:val="both"/>
        <w:rPr>
          <w:rFonts w:ascii="Calibri" w:hAnsi="Calibri" w:cs="Calibri"/>
          <w:b/>
          <w:bCs/>
          <w:sz w:val="24"/>
          <w:szCs w:val="24"/>
          <w:lang w:val="en-GB"/>
        </w:rPr>
      </w:pPr>
      <w:r w:rsidRPr="00B424A6">
        <w:rPr>
          <w:rFonts w:ascii="Calibri" w:hAnsi="Calibri" w:cs="Calibri"/>
          <w:b/>
          <w:bCs/>
          <w:sz w:val="24"/>
          <w:szCs w:val="24"/>
          <w:lang w:val="en-GB"/>
        </w:rPr>
        <w:t>Experimental details</w:t>
      </w:r>
    </w:p>
    <w:p w14:paraId="230128A7" w14:textId="26C10BE6" w:rsidR="008A21E9" w:rsidRPr="008E076A" w:rsidRDefault="00B424A6" w:rsidP="008E076A">
      <w:pPr>
        <w:jc w:val="both"/>
        <w:rPr>
          <w:rFonts w:ascii="Calibri" w:eastAsiaTheme="minorEastAsia" w:hAnsi="Calibri" w:cs="Calibri"/>
          <w:sz w:val="24"/>
          <w:szCs w:val="24"/>
          <w:lang w:val="en-GB"/>
        </w:rPr>
      </w:pPr>
      <w:r w:rsidRPr="008E076A">
        <w:rPr>
          <w:rFonts w:ascii="Calibri" w:eastAsiaTheme="minorEastAsia" w:hAnsi="Calibri" w:cs="Calibri"/>
          <w:sz w:val="24"/>
          <w:szCs w:val="24"/>
          <w:lang w:val="en-GB"/>
        </w:rPr>
        <w:t>The large area 2D ReS2 flakes were mechanically exfoliated and subsequently transferred onto a low-doped n-type Si substrate</w:t>
      </w:r>
      <w:r w:rsidR="00902A37" w:rsidRPr="008E076A">
        <w:rPr>
          <w:rFonts w:ascii="Calibri" w:eastAsiaTheme="minorEastAsia" w:hAnsi="Calibri" w:cs="Calibri"/>
          <w:sz w:val="24"/>
          <w:szCs w:val="24"/>
          <w:lang w:val="en-GB"/>
        </w:rPr>
        <w:t>,</w:t>
      </w:r>
      <w:r w:rsidRPr="008E076A">
        <w:rPr>
          <w:rFonts w:ascii="Calibri" w:eastAsiaTheme="minorEastAsia" w:hAnsi="Calibri" w:cs="Calibri"/>
          <w:sz w:val="24"/>
          <w:szCs w:val="24"/>
          <w:lang w:val="en-GB"/>
        </w:rPr>
        <w:t xml:space="preserve"> post-dipping the Si into dilute HF to etch the Si native oxide. </w:t>
      </w:r>
      <w:r w:rsidR="00BA40F3" w:rsidRPr="008E076A">
        <w:rPr>
          <w:rFonts w:ascii="Calibri" w:eastAsiaTheme="minorEastAsia" w:hAnsi="Calibri" w:cs="Calibri"/>
          <w:sz w:val="24"/>
          <w:szCs w:val="24"/>
          <w:lang w:val="en-GB"/>
        </w:rPr>
        <w:t>The low-doped n-Si wafer was chosen to allow a broad depletion region leading to reduced dark current and increased photocurrent</w:t>
      </w:r>
      <w:r w:rsidR="0030217B">
        <w:rPr>
          <w:rFonts w:ascii="Calibri" w:eastAsiaTheme="minorEastAsia" w:hAnsi="Calibri" w:cs="Calibri"/>
          <w:sz w:val="24"/>
          <w:szCs w:val="24"/>
          <w:lang w:val="en-GB"/>
        </w:rPr>
        <w:t>.</w:t>
      </w:r>
      <w:r w:rsidR="00BA40F3" w:rsidRPr="008E076A">
        <w:rPr>
          <w:rFonts w:ascii="Calibri" w:eastAsiaTheme="minorEastAsia" w:hAnsi="Calibri" w:cs="Calibri"/>
          <w:sz w:val="24"/>
          <w:szCs w:val="24"/>
          <w:lang w:val="en-GB"/>
        </w:rPr>
        <w:t xml:space="preserve"> </w:t>
      </w:r>
      <w:r w:rsidRPr="008E076A">
        <w:rPr>
          <w:rFonts w:ascii="Calibri" w:eastAsiaTheme="minorEastAsia" w:hAnsi="Calibri" w:cs="Calibri"/>
          <w:sz w:val="24"/>
          <w:szCs w:val="24"/>
          <w:lang w:val="en-GB"/>
        </w:rPr>
        <w:t xml:space="preserve">Ni (15 nm) /Au (150 nm) metal contacts were then patterned on the flake surfaces using standard lithography and metal lift-off process. </w:t>
      </w:r>
    </w:p>
    <w:p w14:paraId="0EFF04C8" w14:textId="58F7AF74" w:rsidR="004B1B03" w:rsidRPr="00FE2394" w:rsidRDefault="00B424A6" w:rsidP="008E076A">
      <w:pPr>
        <w:jc w:val="both"/>
        <w:rPr>
          <w:rFonts w:ascii="Calibri" w:eastAsiaTheme="minorEastAsia" w:hAnsi="Calibri" w:cs="Calibri"/>
          <w:sz w:val="24"/>
          <w:szCs w:val="24"/>
          <w:lang w:val="en-GB"/>
        </w:rPr>
      </w:pPr>
      <w:r w:rsidRPr="008E076A">
        <w:rPr>
          <w:rFonts w:ascii="Calibri" w:eastAsiaTheme="minorEastAsia" w:hAnsi="Calibri" w:cs="Calibri"/>
          <w:sz w:val="24"/>
          <w:szCs w:val="24"/>
          <w:lang w:val="en-GB"/>
        </w:rPr>
        <w:t xml:space="preserve">Temperature-dependent current-voltage (I-V) measurements were performed on-wafer in a cryogenic probe station (Lake Shore </w:t>
      </w:r>
      <w:proofErr w:type="spellStart"/>
      <w:r w:rsidRPr="008E076A">
        <w:rPr>
          <w:rFonts w:ascii="Calibri" w:eastAsiaTheme="minorEastAsia" w:hAnsi="Calibri" w:cs="Calibri"/>
          <w:sz w:val="24"/>
          <w:szCs w:val="24"/>
          <w:lang w:val="en-GB"/>
        </w:rPr>
        <w:t>Cryotronics</w:t>
      </w:r>
      <w:proofErr w:type="spellEnd"/>
      <w:r w:rsidRPr="008E076A">
        <w:rPr>
          <w:rFonts w:ascii="Calibri" w:eastAsiaTheme="minorEastAsia" w:hAnsi="Calibri" w:cs="Calibri"/>
          <w:sz w:val="24"/>
          <w:szCs w:val="24"/>
          <w:lang w:val="en-GB"/>
        </w:rPr>
        <w:t xml:space="preserve">, Inc.) connected to a Keithley 4200 SCS parameter </w:t>
      </w:r>
      <w:proofErr w:type="spellStart"/>
      <w:r w:rsidRPr="008E076A">
        <w:rPr>
          <w:rFonts w:ascii="Calibri" w:eastAsiaTheme="minorEastAsia" w:hAnsi="Calibri" w:cs="Calibri"/>
          <w:sz w:val="24"/>
          <w:szCs w:val="24"/>
          <w:lang w:val="en-GB"/>
        </w:rPr>
        <w:t>analyzer</w:t>
      </w:r>
      <w:proofErr w:type="spellEnd"/>
      <w:r w:rsidRPr="008E076A">
        <w:rPr>
          <w:rFonts w:ascii="Calibri" w:eastAsiaTheme="minorEastAsia" w:hAnsi="Calibri" w:cs="Calibri"/>
          <w:sz w:val="24"/>
          <w:szCs w:val="24"/>
          <w:lang w:val="en-GB"/>
        </w:rPr>
        <w:t xml:space="preserve">. The </w:t>
      </w:r>
      <w:proofErr w:type="spellStart"/>
      <w:r w:rsidRPr="008E076A">
        <w:rPr>
          <w:rFonts w:ascii="Calibri" w:eastAsiaTheme="minorEastAsia" w:hAnsi="Calibri" w:cs="Calibri"/>
          <w:sz w:val="24"/>
          <w:szCs w:val="24"/>
          <w:lang w:val="en-GB"/>
        </w:rPr>
        <w:t>photoresponse</w:t>
      </w:r>
      <w:proofErr w:type="spellEnd"/>
      <w:r w:rsidRPr="008E076A">
        <w:rPr>
          <w:rFonts w:ascii="Calibri" w:eastAsiaTheme="minorEastAsia" w:hAnsi="Calibri" w:cs="Calibri"/>
          <w:sz w:val="24"/>
          <w:szCs w:val="24"/>
          <w:lang w:val="en-GB"/>
        </w:rPr>
        <w:t xml:space="preserve"> of the device was investigated under local illumination using a nano-positioned optical </w:t>
      </w:r>
      <w:proofErr w:type="spellStart"/>
      <w:r w:rsidRPr="008E076A">
        <w:rPr>
          <w:rFonts w:ascii="Calibri" w:eastAsiaTheme="minorEastAsia" w:hAnsi="Calibri" w:cs="Calibri"/>
          <w:sz w:val="24"/>
          <w:szCs w:val="24"/>
          <w:lang w:val="en-GB"/>
        </w:rPr>
        <w:t>fiber</w:t>
      </w:r>
      <w:proofErr w:type="spellEnd"/>
      <w:r w:rsidRPr="008E076A">
        <w:rPr>
          <w:rFonts w:ascii="Calibri" w:eastAsiaTheme="minorEastAsia" w:hAnsi="Calibri" w:cs="Calibri"/>
          <w:sz w:val="24"/>
          <w:szCs w:val="24"/>
          <w:lang w:val="en-GB"/>
        </w:rPr>
        <w:t xml:space="preserve"> connected to a supercontinuum white laser with a maximum nominal power of 110 </w:t>
      </w:r>
      <w:proofErr w:type="spellStart"/>
      <w:r w:rsidRPr="008E076A">
        <w:rPr>
          <w:rFonts w:ascii="Calibri" w:eastAsiaTheme="minorEastAsia" w:hAnsi="Calibri" w:cs="Calibri"/>
          <w:sz w:val="24"/>
          <w:szCs w:val="24"/>
          <w:lang w:val="en-GB"/>
        </w:rPr>
        <w:t>mW</w:t>
      </w:r>
      <w:proofErr w:type="spellEnd"/>
      <w:r w:rsidRPr="008E076A">
        <w:rPr>
          <w:rFonts w:ascii="Calibri" w:eastAsiaTheme="minorEastAsia" w:hAnsi="Calibri" w:cs="Calibri"/>
          <w:sz w:val="24"/>
          <w:szCs w:val="24"/>
          <w:lang w:val="en-GB"/>
        </w:rPr>
        <w:t xml:space="preserve"> and a spectrum in the range of 450-2400 nm</w:t>
      </w:r>
      <w:r>
        <w:rPr>
          <w:sz w:val="24"/>
          <w:szCs w:val="24"/>
          <w:lang w:val="en-GB"/>
        </w:rPr>
        <w:t>.</w:t>
      </w:r>
      <w:r w:rsidR="004B1B03">
        <w:rPr>
          <w:sz w:val="24"/>
          <w:szCs w:val="24"/>
          <w:lang w:val="en-GB"/>
        </w:rPr>
        <w:t xml:space="preserve"> </w:t>
      </w:r>
      <w:r w:rsidR="00675B76" w:rsidRPr="00FE2394">
        <w:rPr>
          <w:rFonts w:ascii="Calibri" w:eastAsiaTheme="minorEastAsia" w:hAnsi="Calibri" w:cs="Calibri"/>
          <w:sz w:val="24"/>
          <w:szCs w:val="24"/>
          <w:lang w:val="en-GB"/>
        </w:rPr>
        <w:t>Rise and fall time were measured by using a digital oscilloscope (GW</w:t>
      </w:r>
      <w:r w:rsidR="00675B76">
        <w:rPr>
          <w:rFonts w:ascii="Calibri" w:eastAsiaTheme="minorEastAsia" w:hAnsi="Calibri" w:cs="Calibri"/>
          <w:sz w:val="24"/>
          <w:szCs w:val="24"/>
          <w:lang w:val="en-GB"/>
        </w:rPr>
        <w:t xml:space="preserve"> </w:t>
      </w:r>
      <w:r w:rsidR="00675B76" w:rsidRPr="00FE2394">
        <w:rPr>
          <w:rFonts w:ascii="Calibri" w:eastAsiaTheme="minorEastAsia" w:hAnsi="Calibri" w:cs="Calibri"/>
          <w:sz w:val="24"/>
          <w:szCs w:val="24"/>
          <w:lang w:val="en-GB"/>
        </w:rPr>
        <w:t>INSTEK MSO-2204E)</w:t>
      </w:r>
      <w:r w:rsidR="00FE2394">
        <w:rPr>
          <w:rFonts w:ascii="Calibri" w:eastAsiaTheme="minorEastAsia" w:hAnsi="Calibri" w:cs="Calibri"/>
          <w:sz w:val="24"/>
          <w:szCs w:val="24"/>
          <w:lang w:val="en-GB"/>
        </w:rPr>
        <w:t>.</w:t>
      </w:r>
    </w:p>
    <w:p w14:paraId="74D88F85" w14:textId="77777777" w:rsidR="00B424A6" w:rsidRPr="009B78B2" w:rsidRDefault="00B424A6" w:rsidP="00430CA3">
      <w:pPr>
        <w:jc w:val="both"/>
        <w:rPr>
          <w:rFonts w:ascii="Calibri" w:hAnsi="Calibri" w:cs="Calibri"/>
          <w:color w:val="FF0000"/>
          <w:lang w:val="en-GB"/>
        </w:rPr>
      </w:pPr>
    </w:p>
    <w:p w14:paraId="3D8E5E15" w14:textId="7E58636A" w:rsidR="00D83E6A" w:rsidRPr="000E4C7F" w:rsidRDefault="00D83E6A" w:rsidP="00430CA3">
      <w:pPr>
        <w:jc w:val="both"/>
        <w:rPr>
          <w:rFonts w:ascii="Calibri" w:hAnsi="Calibri" w:cs="Calibri"/>
          <w:b/>
          <w:bCs/>
          <w:sz w:val="24"/>
          <w:szCs w:val="24"/>
          <w:lang w:val="en-GB"/>
        </w:rPr>
      </w:pPr>
      <w:r w:rsidRPr="000E4C7F">
        <w:rPr>
          <w:rFonts w:ascii="Calibri" w:hAnsi="Calibri" w:cs="Calibri"/>
          <w:b/>
          <w:bCs/>
          <w:sz w:val="24"/>
          <w:szCs w:val="24"/>
          <w:lang w:val="en-GB"/>
        </w:rPr>
        <w:t>References</w:t>
      </w:r>
    </w:p>
    <w:p w14:paraId="7A107D48" w14:textId="77777777" w:rsidR="00A4601B" w:rsidRPr="00A4601B" w:rsidRDefault="00D83E6A" w:rsidP="00A4601B">
      <w:pPr>
        <w:pStyle w:val="Bibliografia"/>
        <w:rPr>
          <w:rFonts w:ascii="Calibri" w:hAnsi="Calibri" w:cs="Calibri"/>
          <w:sz w:val="24"/>
          <w:lang w:val="en-GB"/>
        </w:rPr>
      </w:pPr>
      <w:r w:rsidRPr="000E4C7F">
        <w:rPr>
          <w:rFonts w:ascii="Calibri" w:hAnsi="Calibri" w:cs="Calibri"/>
          <w:b/>
          <w:bCs/>
          <w:lang w:val="en-GB"/>
        </w:rPr>
        <w:fldChar w:fldCharType="begin"/>
      </w:r>
      <w:r w:rsidR="00A4601B">
        <w:rPr>
          <w:rFonts w:ascii="Calibri" w:hAnsi="Calibri" w:cs="Calibri"/>
          <w:b/>
          <w:bCs/>
          <w:lang w:val="en-GB"/>
        </w:rPr>
        <w:instrText xml:space="preserve"> ADDIN ZOTERO_BIBL {"uncited":[],"omitted":[],"custom":[]} CSL_BIBLIOGRAPHY </w:instrText>
      </w:r>
      <w:r w:rsidRPr="000E4C7F">
        <w:rPr>
          <w:rFonts w:ascii="Calibri" w:hAnsi="Calibri" w:cs="Calibri"/>
          <w:b/>
          <w:bCs/>
          <w:lang w:val="en-GB"/>
        </w:rPr>
        <w:fldChar w:fldCharType="separate"/>
      </w:r>
      <w:r w:rsidR="00A4601B" w:rsidRPr="00A4601B">
        <w:rPr>
          <w:rFonts w:ascii="Calibri" w:hAnsi="Calibri" w:cs="Calibri"/>
          <w:sz w:val="24"/>
          <w:lang w:val="en-GB"/>
        </w:rPr>
        <w:t>(1)</w:t>
      </w:r>
      <w:r w:rsidR="00A4601B" w:rsidRPr="00A4601B">
        <w:rPr>
          <w:rFonts w:ascii="Calibri" w:hAnsi="Calibri" w:cs="Calibri"/>
          <w:sz w:val="24"/>
          <w:lang w:val="en-GB"/>
        </w:rPr>
        <w:tab/>
        <w:t xml:space="preserve">Di Bartolomeo, A. Graphene Schottky Diodes: An Experimental Review of the Rectifying Graphene/Semiconductor Heterojunction. </w:t>
      </w:r>
      <w:r w:rsidR="00A4601B" w:rsidRPr="00A4601B">
        <w:rPr>
          <w:rFonts w:ascii="Calibri" w:hAnsi="Calibri" w:cs="Calibri"/>
          <w:i/>
          <w:iCs/>
          <w:sz w:val="24"/>
          <w:lang w:val="en-GB"/>
        </w:rPr>
        <w:t>Physics Reports</w:t>
      </w:r>
      <w:r w:rsidR="00A4601B" w:rsidRPr="00A4601B">
        <w:rPr>
          <w:rFonts w:ascii="Calibri" w:hAnsi="Calibri" w:cs="Calibri"/>
          <w:sz w:val="24"/>
          <w:lang w:val="en-GB"/>
        </w:rPr>
        <w:t xml:space="preserve"> </w:t>
      </w:r>
      <w:r w:rsidR="00A4601B" w:rsidRPr="00A4601B">
        <w:rPr>
          <w:rFonts w:ascii="Calibri" w:hAnsi="Calibri" w:cs="Calibri"/>
          <w:b/>
          <w:bCs/>
          <w:sz w:val="24"/>
          <w:lang w:val="en-GB"/>
        </w:rPr>
        <w:t>2016</w:t>
      </w:r>
      <w:r w:rsidR="00A4601B" w:rsidRPr="00A4601B">
        <w:rPr>
          <w:rFonts w:ascii="Calibri" w:hAnsi="Calibri" w:cs="Calibri"/>
          <w:sz w:val="24"/>
          <w:lang w:val="en-GB"/>
        </w:rPr>
        <w:t xml:space="preserve">, </w:t>
      </w:r>
      <w:r w:rsidR="00A4601B" w:rsidRPr="00A4601B">
        <w:rPr>
          <w:rFonts w:ascii="Calibri" w:hAnsi="Calibri" w:cs="Calibri"/>
          <w:i/>
          <w:iCs/>
          <w:sz w:val="24"/>
          <w:lang w:val="en-GB"/>
        </w:rPr>
        <w:t>606</w:t>
      </w:r>
      <w:r w:rsidR="00A4601B" w:rsidRPr="00A4601B">
        <w:rPr>
          <w:rFonts w:ascii="Calibri" w:hAnsi="Calibri" w:cs="Calibri"/>
          <w:sz w:val="24"/>
          <w:lang w:val="en-GB"/>
        </w:rPr>
        <w:t>, 1–58. https://doi.org/10.1016/j.physrep.2015.10.003.</w:t>
      </w:r>
    </w:p>
    <w:p w14:paraId="65A33CB9"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(2)</w:t>
      </w:r>
      <w:r w:rsidRPr="00A4601B">
        <w:rPr>
          <w:rFonts w:ascii="Calibri" w:hAnsi="Calibri" w:cs="Calibri"/>
          <w:sz w:val="24"/>
          <w:lang w:val="en-GB"/>
        </w:rPr>
        <w:tab/>
        <w:t xml:space="preserve">Moun, M.; Kumar, M.; Garg, M.; Pathak, R.; Singh, R. Understanding of MoS2/GaN Heterojunction Diode and Its Photodetection Properties. </w:t>
      </w:r>
      <w:r w:rsidRPr="00A4601B">
        <w:rPr>
          <w:rFonts w:ascii="Calibri" w:hAnsi="Calibri" w:cs="Calibri"/>
          <w:i/>
          <w:iCs/>
          <w:sz w:val="24"/>
          <w:lang w:val="en-GB"/>
        </w:rPr>
        <w:t>Sci Rep</w:t>
      </w:r>
      <w:r w:rsidRPr="00A4601B">
        <w:rPr>
          <w:rFonts w:ascii="Calibri" w:hAnsi="Calibri" w:cs="Calibri"/>
          <w:sz w:val="24"/>
          <w:lang w:val="en-GB"/>
        </w:rPr>
        <w:t xml:space="preserve"> </w:t>
      </w:r>
      <w:r w:rsidRPr="00A4601B">
        <w:rPr>
          <w:rFonts w:ascii="Calibri" w:hAnsi="Calibri" w:cs="Calibri"/>
          <w:b/>
          <w:bCs/>
          <w:sz w:val="24"/>
          <w:lang w:val="en-GB"/>
        </w:rPr>
        <w:t>2018</w:t>
      </w:r>
      <w:r w:rsidRPr="00A4601B">
        <w:rPr>
          <w:rFonts w:ascii="Calibri" w:hAnsi="Calibri" w:cs="Calibri"/>
          <w:sz w:val="24"/>
          <w:lang w:val="en-GB"/>
        </w:rPr>
        <w:t xml:space="preserve">, </w:t>
      </w:r>
      <w:r w:rsidRPr="00A4601B">
        <w:rPr>
          <w:rFonts w:ascii="Calibri" w:hAnsi="Calibri" w:cs="Calibri"/>
          <w:i/>
          <w:iCs/>
          <w:sz w:val="24"/>
          <w:lang w:val="en-GB"/>
        </w:rPr>
        <w:t>8</w:t>
      </w:r>
      <w:r w:rsidRPr="00A4601B">
        <w:rPr>
          <w:rFonts w:ascii="Calibri" w:hAnsi="Calibri" w:cs="Calibri"/>
          <w:sz w:val="24"/>
          <w:lang w:val="en-GB"/>
        </w:rPr>
        <w:t xml:space="preserve"> (1), 11799. https://doi.org/10.1038/s41598-018-30237-8.</w:t>
      </w:r>
    </w:p>
    <w:p w14:paraId="425D71EE"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lastRenderedPageBreak/>
        <w:t>(3)</w:t>
      </w:r>
      <w:r w:rsidRPr="00A4601B">
        <w:rPr>
          <w:rFonts w:ascii="Calibri" w:hAnsi="Calibri" w:cs="Calibri"/>
          <w:sz w:val="24"/>
          <w:lang w:val="en-GB"/>
        </w:rPr>
        <w:tab/>
        <w:t xml:space="preserve">Jadhav, A.; Lyle, L. A. M.; Xu, Z.; Das, K. K.; Porter, L. M.; Sarkar, B. Temperature Dependence of Barrier Height Inhomogeneity in </w:t>
      </w:r>
      <w:r w:rsidRPr="00A4601B">
        <w:rPr>
          <w:rFonts w:ascii="Calibri" w:hAnsi="Calibri" w:cs="Calibri"/>
          <w:i/>
          <w:iCs/>
          <w:sz w:val="24"/>
        </w:rPr>
        <w:t>β</w:t>
      </w:r>
      <w:r w:rsidRPr="00A4601B">
        <w:rPr>
          <w:rFonts w:ascii="Calibri" w:hAnsi="Calibri" w:cs="Calibri"/>
          <w:sz w:val="24"/>
          <w:lang w:val="en-GB"/>
        </w:rPr>
        <w:t xml:space="preserve"> -Ga2O3 Schottky Barrier Diodes. </w:t>
      </w:r>
      <w:r w:rsidRPr="00A4601B">
        <w:rPr>
          <w:rFonts w:ascii="Calibri" w:hAnsi="Calibri" w:cs="Calibri"/>
          <w:i/>
          <w:iCs/>
          <w:sz w:val="24"/>
          <w:lang w:val="en-GB"/>
        </w:rPr>
        <w:t>Journal of Vacuum Science &amp; Technology B, Nanotechnology and Microelectronics: Materials, Processing, Measurement, and Phenomena</w:t>
      </w:r>
      <w:r w:rsidRPr="00A4601B">
        <w:rPr>
          <w:rFonts w:ascii="Calibri" w:hAnsi="Calibri" w:cs="Calibri"/>
          <w:sz w:val="24"/>
          <w:lang w:val="en-GB"/>
        </w:rPr>
        <w:t xml:space="preserve"> </w:t>
      </w:r>
      <w:r w:rsidRPr="00A4601B">
        <w:rPr>
          <w:rFonts w:ascii="Calibri" w:hAnsi="Calibri" w:cs="Calibri"/>
          <w:b/>
          <w:bCs/>
          <w:sz w:val="24"/>
          <w:lang w:val="en-GB"/>
        </w:rPr>
        <w:t>2021</w:t>
      </w:r>
      <w:r w:rsidRPr="00A4601B">
        <w:rPr>
          <w:rFonts w:ascii="Calibri" w:hAnsi="Calibri" w:cs="Calibri"/>
          <w:sz w:val="24"/>
          <w:lang w:val="en-GB"/>
        </w:rPr>
        <w:t xml:space="preserve">, </w:t>
      </w:r>
      <w:r w:rsidRPr="00A4601B">
        <w:rPr>
          <w:rFonts w:ascii="Calibri" w:hAnsi="Calibri" w:cs="Calibri"/>
          <w:i/>
          <w:iCs/>
          <w:sz w:val="24"/>
          <w:lang w:val="en-GB"/>
        </w:rPr>
        <w:t>39</w:t>
      </w:r>
      <w:r w:rsidRPr="00A4601B">
        <w:rPr>
          <w:rFonts w:ascii="Calibri" w:hAnsi="Calibri" w:cs="Calibri"/>
          <w:sz w:val="24"/>
          <w:lang w:val="en-GB"/>
        </w:rPr>
        <w:t xml:space="preserve"> (4), 040601. https://doi.org/10.1116/6.0001059.</w:t>
      </w:r>
    </w:p>
    <w:p w14:paraId="15E88072"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(4)</w:t>
      </w:r>
      <w:r w:rsidRPr="00A4601B">
        <w:rPr>
          <w:rFonts w:ascii="Calibri" w:hAnsi="Calibri" w:cs="Calibri"/>
          <w:sz w:val="24"/>
          <w:lang w:val="en-GB"/>
        </w:rPr>
        <w:tab/>
        <w:t xml:space="preserve">Di Bartolomeo, A.; Giubileo, F.; Luongo, G.; Iemmo, L.; Martucciello, N.; Niu, G.; Fraschke, M.; Skibitzki, O.; Schroeder, T.; Lupina, G. Tunable Schottky Barrier and High Responsivity in Graphene/Si-Nanotip Optoelectronic Device. </w:t>
      </w:r>
      <w:r w:rsidRPr="00A4601B">
        <w:rPr>
          <w:rFonts w:ascii="Calibri" w:hAnsi="Calibri" w:cs="Calibri"/>
          <w:i/>
          <w:iCs/>
          <w:sz w:val="24"/>
          <w:lang w:val="en-GB"/>
        </w:rPr>
        <w:t>2D Mater.</w:t>
      </w:r>
      <w:r w:rsidRPr="00A4601B">
        <w:rPr>
          <w:rFonts w:ascii="Calibri" w:hAnsi="Calibri" w:cs="Calibri"/>
          <w:sz w:val="24"/>
          <w:lang w:val="en-GB"/>
        </w:rPr>
        <w:t xml:space="preserve"> </w:t>
      </w:r>
      <w:r w:rsidRPr="00A4601B">
        <w:rPr>
          <w:rFonts w:ascii="Calibri" w:hAnsi="Calibri" w:cs="Calibri"/>
          <w:b/>
          <w:bCs/>
          <w:sz w:val="24"/>
          <w:lang w:val="en-GB"/>
        </w:rPr>
        <w:t>2016</w:t>
      </w:r>
      <w:r w:rsidRPr="00A4601B">
        <w:rPr>
          <w:rFonts w:ascii="Calibri" w:hAnsi="Calibri" w:cs="Calibri"/>
          <w:sz w:val="24"/>
          <w:lang w:val="en-GB"/>
        </w:rPr>
        <w:t xml:space="preserve">, </w:t>
      </w:r>
      <w:r w:rsidRPr="00A4601B">
        <w:rPr>
          <w:rFonts w:ascii="Calibri" w:hAnsi="Calibri" w:cs="Calibri"/>
          <w:i/>
          <w:iCs/>
          <w:sz w:val="24"/>
          <w:lang w:val="en-GB"/>
        </w:rPr>
        <w:t>4</w:t>
      </w:r>
      <w:r w:rsidRPr="00A4601B">
        <w:rPr>
          <w:rFonts w:ascii="Calibri" w:hAnsi="Calibri" w:cs="Calibri"/>
          <w:sz w:val="24"/>
          <w:lang w:val="en-GB"/>
        </w:rPr>
        <w:t xml:space="preserve"> (1), 015024. https://doi.org/10.1088/2053-1583/4/1/015024.</w:t>
      </w:r>
    </w:p>
    <w:p w14:paraId="139445BF"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(5)</w:t>
      </w:r>
      <w:r w:rsidRPr="00A4601B">
        <w:rPr>
          <w:rFonts w:ascii="Calibri" w:hAnsi="Calibri" w:cs="Calibri"/>
          <w:sz w:val="24"/>
          <w:lang w:val="en-GB"/>
        </w:rPr>
        <w:tab/>
        <w:t xml:space="preserve">Al-Ahmadi, N. A. Schottky Barrier Inhomogeneities at the Interface of Different Epitaxial Layer Thicknesses of N-GaAs/Ti/Au/Si: Al0.33Ga0.67As. </w:t>
      </w:r>
      <w:r w:rsidRPr="00A4601B">
        <w:rPr>
          <w:rFonts w:ascii="Calibri" w:hAnsi="Calibri" w:cs="Calibri"/>
          <w:i/>
          <w:iCs/>
          <w:sz w:val="24"/>
          <w:lang w:val="en-GB"/>
        </w:rPr>
        <w:t>Heliyon</w:t>
      </w:r>
      <w:r w:rsidRPr="00A4601B">
        <w:rPr>
          <w:rFonts w:ascii="Calibri" w:hAnsi="Calibri" w:cs="Calibri"/>
          <w:sz w:val="24"/>
          <w:lang w:val="en-GB"/>
        </w:rPr>
        <w:t xml:space="preserve"> </w:t>
      </w:r>
      <w:r w:rsidRPr="00A4601B">
        <w:rPr>
          <w:rFonts w:ascii="Calibri" w:hAnsi="Calibri" w:cs="Calibri"/>
          <w:b/>
          <w:bCs/>
          <w:sz w:val="24"/>
          <w:lang w:val="en-GB"/>
        </w:rPr>
        <w:t>2020</w:t>
      </w:r>
      <w:r w:rsidRPr="00A4601B">
        <w:rPr>
          <w:rFonts w:ascii="Calibri" w:hAnsi="Calibri" w:cs="Calibri"/>
          <w:sz w:val="24"/>
          <w:lang w:val="en-GB"/>
        </w:rPr>
        <w:t xml:space="preserve">, </w:t>
      </w:r>
      <w:r w:rsidRPr="00A4601B">
        <w:rPr>
          <w:rFonts w:ascii="Calibri" w:hAnsi="Calibri" w:cs="Calibri"/>
          <w:i/>
          <w:iCs/>
          <w:sz w:val="24"/>
          <w:lang w:val="en-GB"/>
        </w:rPr>
        <w:t>6</w:t>
      </w:r>
      <w:r w:rsidRPr="00A4601B">
        <w:rPr>
          <w:rFonts w:ascii="Calibri" w:hAnsi="Calibri" w:cs="Calibri"/>
          <w:sz w:val="24"/>
          <w:lang w:val="en-GB"/>
        </w:rPr>
        <w:t xml:space="preserve"> (9), e04852. https://doi.org/10.1016/j.heliyon.2020.e04852.</w:t>
      </w:r>
    </w:p>
    <w:p w14:paraId="3A4469EF"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(6)</w:t>
      </w:r>
      <w:r w:rsidRPr="00A4601B">
        <w:rPr>
          <w:rFonts w:ascii="Calibri" w:hAnsi="Calibri" w:cs="Calibri"/>
          <w:sz w:val="24"/>
          <w:lang w:val="en-GB"/>
        </w:rPr>
        <w:tab/>
        <w:t xml:space="preserve">Smidstrup, S.; Markussen, T.; Vancraeyveld, P.; Wellendorff, J.; Schneider, J.; Gunst, T.; Verstichel, B.; Stradi, D.; Khomyakov, P. A.; Vej-Hansen, U. G.; Lee, M.-E.; Chill, S. T.; Rasmussen, F.; Penazzi, G.; Corsetti, F.; Ojanperä, A.; Jensen, K.; Palsgaard, M. L. N.; Martinez, U.; Blom, A.; Brandbyge, M.; Stokbro, K. QuantumATK: An Integrated Platform of Electronic and Atomic-Scale Modelling Tools. </w:t>
      </w:r>
      <w:r w:rsidRPr="00A4601B">
        <w:rPr>
          <w:rFonts w:ascii="Calibri" w:hAnsi="Calibri" w:cs="Calibri"/>
          <w:i/>
          <w:iCs/>
          <w:sz w:val="24"/>
          <w:lang w:val="en-GB"/>
        </w:rPr>
        <w:t>J. Phys.: Condens. Matter</w:t>
      </w:r>
      <w:r w:rsidRPr="00A4601B">
        <w:rPr>
          <w:rFonts w:ascii="Calibri" w:hAnsi="Calibri" w:cs="Calibri"/>
          <w:sz w:val="24"/>
          <w:lang w:val="en-GB"/>
        </w:rPr>
        <w:t xml:space="preserve"> </w:t>
      </w:r>
      <w:r w:rsidRPr="00A4601B">
        <w:rPr>
          <w:rFonts w:ascii="Calibri" w:hAnsi="Calibri" w:cs="Calibri"/>
          <w:b/>
          <w:bCs/>
          <w:sz w:val="24"/>
          <w:lang w:val="en-GB"/>
        </w:rPr>
        <w:t>2019</w:t>
      </w:r>
      <w:r w:rsidRPr="00A4601B">
        <w:rPr>
          <w:rFonts w:ascii="Calibri" w:hAnsi="Calibri" w:cs="Calibri"/>
          <w:sz w:val="24"/>
          <w:lang w:val="en-GB"/>
        </w:rPr>
        <w:t xml:space="preserve">, </w:t>
      </w:r>
      <w:r w:rsidRPr="00A4601B">
        <w:rPr>
          <w:rFonts w:ascii="Calibri" w:hAnsi="Calibri" w:cs="Calibri"/>
          <w:i/>
          <w:iCs/>
          <w:sz w:val="24"/>
          <w:lang w:val="en-GB"/>
        </w:rPr>
        <w:t>32</w:t>
      </w:r>
      <w:r w:rsidRPr="00A4601B">
        <w:rPr>
          <w:rFonts w:ascii="Calibri" w:hAnsi="Calibri" w:cs="Calibri"/>
          <w:sz w:val="24"/>
          <w:lang w:val="en-GB"/>
        </w:rPr>
        <w:t xml:space="preserve"> (1), 015901. https://doi.org/10.1088/1361-648X/ab4007.</w:t>
      </w:r>
    </w:p>
    <w:p w14:paraId="6DA0BC7B"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(7)</w:t>
      </w:r>
      <w:r w:rsidRPr="00A4601B">
        <w:rPr>
          <w:rFonts w:ascii="Calibri" w:hAnsi="Calibri" w:cs="Calibri"/>
          <w:sz w:val="24"/>
          <w:lang w:val="en-GB"/>
        </w:rPr>
        <w:tab/>
        <w:t xml:space="preserve">Sancho, M. P. L.; Sancho, J. M. L.; Sancho, J. M. L.; Rubio, J. Highly Convergent Schemes for the Calculation of Bulk and Surface Green Functions. </w:t>
      </w:r>
      <w:r w:rsidRPr="00A4601B">
        <w:rPr>
          <w:rFonts w:ascii="Calibri" w:hAnsi="Calibri" w:cs="Calibri"/>
          <w:i/>
          <w:iCs/>
          <w:sz w:val="24"/>
          <w:lang w:val="en-GB"/>
        </w:rPr>
        <w:t>J. Phys. F: Met. Phys.</w:t>
      </w:r>
      <w:r w:rsidRPr="00A4601B">
        <w:rPr>
          <w:rFonts w:ascii="Calibri" w:hAnsi="Calibri" w:cs="Calibri"/>
          <w:sz w:val="24"/>
          <w:lang w:val="en-GB"/>
        </w:rPr>
        <w:t xml:space="preserve"> </w:t>
      </w:r>
      <w:r w:rsidRPr="00A4601B">
        <w:rPr>
          <w:rFonts w:ascii="Calibri" w:hAnsi="Calibri" w:cs="Calibri"/>
          <w:b/>
          <w:bCs/>
          <w:sz w:val="24"/>
          <w:lang w:val="en-GB"/>
        </w:rPr>
        <w:t>1985</w:t>
      </w:r>
      <w:r w:rsidRPr="00A4601B">
        <w:rPr>
          <w:rFonts w:ascii="Calibri" w:hAnsi="Calibri" w:cs="Calibri"/>
          <w:sz w:val="24"/>
          <w:lang w:val="en-GB"/>
        </w:rPr>
        <w:t xml:space="preserve">, </w:t>
      </w:r>
      <w:r w:rsidRPr="00A4601B">
        <w:rPr>
          <w:rFonts w:ascii="Calibri" w:hAnsi="Calibri" w:cs="Calibri"/>
          <w:i/>
          <w:iCs/>
          <w:sz w:val="24"/>
          <w:lang w:val="en-GB"/>
        </w:rPr>
        <w:t>15</w:t>
      </w:r>
      <w:r w:rsidRPr="00A4601B">
        <w:rPr>
          <w:rFonts w:ascii="Calibri" w:hAnsi="Calibri" w:cs="Calibri"/>
          <w:sz w:val="24"/>
          <w:lang w:val="en-GB"/>
        </w:rPr>
        <w:t xml:space="preserve"> (4), 851. https://doi.org/10.1088/0305-4608/15/4/009.</w:t>
      </w:r>
    </w:p>
    <w:p w14:paraId="4A6B9F89"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(8)</w:t>
      </w:r>
      <w:r w:rsidRPr="00A4601B">
        <w:rPr>
          <w:rFonts w:ascii="Calibri" w:hAnsi="Calibri" w:cs="Calibri"/>
          <w:sz w:val="24"/>
          <w:lang w:val="en-GB"/>
        </w:rPr>
        <w:tab/>
        <w:t xml:space="preserve">Brandbyge, M.; Mozos, J.-L.; Ordejón, P.; Taylor, J.; Stokbro, K. Density-Functional Method for Nonequilibrium Electron Transport. </w:t>
      </w:r>
      <w:r w:rsidRPr="00A4601B">
        <w:rPr>
          <w:rFonts w:ascii="Calibri" w:hAnsi="Calibri" w:cs="Calibri"/>
          <w:i/>
          <w:iCs/>
          <w:sz w:val="24"/>
          <w:lang w:val="en-GB"/>
        </w:rPr>
        <w:t>Phys. Rev. B</w:t>
      </w:r>
      <w:r w:rsidRPr="00A4601B">
        <w:rPr>
          <w:rFonts w:ascii="Calibri" w:hAnsi="Calibri" w:cs="Calibri"/>
          <w:sz w:val="24"/>
          <w:lang w:val="en-GB"/>
        </w:rPr>
        <w:t xml:space="preserve"> </w:t>
      </w:r>
      <w:r w:rsidRPr="00A4601B">
        <w:rPr>
          <w:rFonts w:ascii="Calibri" w:hAnsi="Calibri" w:cs="Calibri"/>
          <w:b/>
          <w:bCs/>
          <w:sz w:val="24"/>
          <w:lang w:val="en-GB"/>
        </w:rPr>
        <w:t>2002</w:t>
      </w:r>
      <w:r w:rsidRPr="00A4601B">
        <w:rPr>
          <w:rFonts w:ascii="Calibri" w:hAnsi="Calibri" w:cs="Calibri"/>
          <w:sz w:val="24"/>
          <w:lang w:val="en-GB"/>
        </w:rPr>
        <w:t xml:space="preserve">, </w:t>
      </w:r>
      <w:r w:rsidRPr="00A4601B">
        <w:rPr>
          <w:rFonts w:ascii="Calibri" w:hAnsi="Calibri" w:cs="Calibri"/>
          <w:i/>
          <w:iCs/>
          <w:sz w:val="24"/>
          <w:lang w:val="en-GB"/>
        </w:rPr>
        <w:t>65</w:t>
      </w:r>
      <w:r w:rsidRPr="00A4601B">
        <w:rPr>
          <w:rFonts w:ascii="Calibri" w:hAnsi="Calibri" w:cs="Calibri"/>
          <w:sz w:val="24"/>
          <w:lang w:val="en-GB"/>
        </w:rPr>
        <w:t xml:space="preserve"> (16), 165401. https://doi.org/10.1103/PhysRevB.65.165401.</w:t>
      </w:r>
    </w:p>
    <w:p w14:paraId="1DD4377E" w14:textId="7777777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(9)</w:t>
      </w:r>
      <w:r w:rsidRPr="00A4601B">
        <w:rPr>
          <w:rFonts w:ascii="Calibri" w:hAnsi="Calibri" w:cs="Calibri"/>
          <w:sz w:val="24"/>
          <w:lang w:val="en-GB"/>
        </w:rPr>
        <w:tab/>
        <w:t xml:space="preserve">van Setten, M. J.; Giantomassi, M.; Bousquet, E.; Verstraete, M. J.; Hamann, D. R.; Gonze, X.; Rignanese, G.-M. The PseudoDojo: Training and Grading a 85 Element Optimized Norm-Conserving Pseudopotential Table. </w:t>
      </w:r>
      <w:r w:rsidRPr="00A4601B">
        <w:rPr>
          <w:rFonts w:ascii="Calibri" w:hAnsi="Calibri" w:cs="Calibri"/>
          <w:i/>
          <w:iCs/>
          <w:sz w:val="24"/>
          <w:lang w:val="en-GB"/>
        </w:rPr>
        <w:t>Computer Physics Communications</w:t>
      </w:r>
      <w:r w:rsidRPr="00A4601B">
        <w:rPr>
          <w:rFonts w:ascii="Calibri" w:hAnsi="Calibri" w:cs="Calibri"/>
          <w:sz w:val="24"/>
          <w:lang w:val="en-GB"/>
        </w:rPr>
        <w:t xml:space="preserve"> </w:t>
      </w:r>
      <w:r w:rsidRPr="00A4601B">
        <w:rPr>
          <w:rFonts w:ascii="Calibri" w:hAnsi="Calibri" w:cs="Calibri"/>
          <w:b/>
          <w:bCs/>
          <w:sz w:val="24"/>
          <w:lang w:val="en-GB"/>
        </w:rPr>
        <w:t>2018</w:t>
      </w:r>
      <w:r w:rsidRPr="00A4601B">
        <w:rPr>
          <w:rFonts w:ascii="Calibri" w:hAnsi="Calibri" w:cs="Calibri"/>
          <w:sz w:val="24"/>
          <w:lang w:val="en-GB"/>
        </w:rPr>
        <w:t xml:space="preserve">, </w:t>
      </w:r>
      <w:r w:rsidRPr="00A4601B">
        <w:rPr>
          <w:rFonts w:ascii="Calibri" w:hAnsi="Calibri" w:cs="Calibri"/>
          <w:i/>
          <w:iCs/>
          <w:sz w:val="24"/>
          <w:lang w:val="en-GB"/>
        </w:rPr>
        <w:t>226</w:t>
      </w:r>
      <w:r w:rsidRPr="00A4601B">
        <w:rPr>
          <w:rFonts w:ascii="Calibri" w:hAnsi="Calibri" w:cs="Calibri"/>
          <w:sz w:val="24"/>
          <w:lang w:val="en-GB"/>
        </w:rPr>
        <w:t>, 39–54. https://doi.org/10.1016/j.cpc.2018.01.012.</w:t>
      </w:r>
    </w:p>
    <w:p w14:paraId="7161A5C0" w14:textId="2E7144ED"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(10)</w:t>
      </w:r>
      <w:r>
        <w:rPr>
          <w:rFonts w:ascii="Calibri" w:hAnsi="Calibri" w:cs="Calibri"/>
          <w:sz w:val="24"/>
          <w:lang w:val="en-GB"/>
        </w:rPr>
        <w:t xml:space="preserve"> </w:t>
      </w:r>
      <w:r w:rsidRPr="00A4601B">
        <w:rPr>
          <w:rFonts w:ascii="Calibri" w:hAnsi="Calibri" w:cs="Calibri"/>
          <w:sz w:val="24"/>
          <w:lang w:val="en-GB"/>
        </w:rPr>
        <w:t xml:space="preserve">Monkhorst, H. J.; Pack, J. D. Special Points for Brillouin-Zone Integrations. </w:t>
      </w:r>
      <w:r w:rsidRPr="00A4601B">
        <w:rPr>
          <w:rFonts w:ascii="Calibri" w:hAnsi="Calibri" w:cs="Calibri"/>
          <w:i/>
          <w:iCs/>
          <w:sz w:val="24"/>
          <w:lang w:val="en-GB"/>
        </w:rPr>
        <w:t>Phys. Rev. B</w:t>
      </w:r>
      <w:r w:rsidRPr="00A4601B">
        <w:rPr>
          <w:rFonts w:ascii="Calibri" w:hAnsi="Calibri" w:cs="Calibri"/>
          <w:sz w:val="24"/>
          <w:lang w:val="en-GB"/>
        </w:rPr>
        <w:t xml:space="preserve"> </w:t>
      </w:r>
      <w:r w:rsidRPr="00A4601B">
        <w:rPr>
          <w:rFonts w:ascii="Calibri" w:hAnsi="Calibri" w:cs="Calibri"/>
          <w:b/>
          <w:bCs/>
          <w:sz w:val="24"/>
          <w:lang w:val="en-GB"/>
        </w:rPr>
        <w:t>1976</w:t>
      </w:r>
      <w:r w:rsidRPr="00A4601B">
        <w:rPr>
          <w:rFonts w:ascii="Calibri" w:hAnsi="Calibri" w:cs="Calibri"/>
          <w:sz w:val="24"/>
          <w:lang w:val="en-GB"/>
        </w:rPr>
        <w:t xml:space="preserve">, </w:t>
      </w:r>
      <w:r w:rsidRPr="00A4601B">
        <w:rPr>
          <w:rFonts w:ascii="Calibri" w:hAnsi="Calibri" w:cs="Calibri"/>
          <w:i/>
          <w:iCs/>
          <w:sz w:val="24"/>
          <w:lang w:val="en-GB"/>
        </w:rPr>
        <w:t>13</w:t>
      </w:r>
      <w:r w:rsidRPr="00A4601B">
        <w:rPr>
          <w:rFonts w:ascii="Calibri" w:hAnsi="Calibri" w:cs="Calibri"/>
          <w:sz w:val="24"/>
          <w:lang w:val="en-GB"/>
        </w:rPr>
        <w:t xml:space="preserve"> (12), 5188–5192. https://doi.org/10.1103/PhysRevB.13.5188.</w:t>
      </w:r>
    </w:p>
    <w:p w14:paraId="4A20B3CE" w14:textId="5836A2B7"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(11)</w:t>
      </w:r>
      <w:r>
        <w:rPr>
          <w:rFonts w:ascii="Calibri" w:hAnsi="Calibri" w:cs="Calibri"/>
          <w:sz w:val="24"/>
          <w:lang w:val="en-GB"/>
        </w:rPr>
        <w:t xml:space="preserve"> </w:t>
      </w:r>
      <w:r w:rsidRPr="00A4601B">
        <w:rPr>
          <w:rFonts w:ascii="Calibri" w:hAnsi="Calibri" w:cs="Calibri"/>
          <w:sz w:val="24"/>
          <w:lang w:val="en-GB"/>
        </w:rPr>
        <w:t xml:space="preserve">Grimme, S.; Antony, J.; Ehrlich, S.; Krieg, H. A Consistent and Accurate Ab Initio Parametrization of Density Functional Dispersion Correction (DFT-D) for the 94 Elements H-Pu. </w:t>
      </w:r>
      <w:r w:rsidRPr="00A4601B">
        <w:rPr>
          <w:rFonts w:ascii="Calibri" w:hAnsi="Calibri" w:cs="Calibri"/>
          <w:i/>
          <w:iCs/>
          <w:sz w:val="24"/>
          <w:lang w:val="en-GB"/>
        </w:rPr>
        <w:t>The Journal of Chemical Physics</w:t>
      </w:r>
      <w:r w:rsidRPr="00A4601B">
        <w:rPr>
          <w:rFonts w:ascii="Calibri" w:hAnsi="Calibri" w:cs="Calibri"/>
          <w:sz w:val="24"/>
          <w:lang w:val="en-GB"/>
        </w:rPr>
        <w:t xml:space="preserve"> </w:t>
      </w:r>
      <w:r w:rsidRPr="00A4601B">
        <w:rPr>
          <w:rFonts w:ascii="Calibri" w:hAnsi="Calibri" w:cs="Calibri"/>
          <w:b/>
          <w:bCs/>
          <w:sz w:val="24"/>
          <w:lang w:val="en-GB"/>
        </w:rPr>
        <w:t>2010</w:t>
      </w:r>
      <w:r w:rsidRPr="00A4601B">
        <w:rPr>
          <w:rFonts w:ascii="Calibri" w:hAnsi="Calibri" w:cs="Calibri"/>
          <w:sz w:val="24"/>
          <w:lang w:val="en-GB"/>
        </w:rPr>
        <w:t xml:space="preserve">, </w:t>
      </w:r>
      <w:r w:rsidRPr="00A4601B">
        <w:rPr>
          <w:rFonts w:ascii="Calibri" w:hAnsi="Calibri" w:cs="Calibri"/>
          <w:i/>
          <w:iCs/>
          <w:sz w:val="24"/>
          <w:lang w:val="en-GB"/>
        </w:rPr>
        <w:t>132</w:t>
      </w:r>
      <w:r w:rsidRPr="00A4601B">
        <w:rPr>
          <w:rFonts w:ascii="Calibri" w:hAnsi="Calibri" w:cs="Calibri"/>
          <w:sz w:val="24"/>
          <w:lang w:val="en-GB"/>
        </w:rPr>
        <w:t xml:space="preserve"> (15), 154104. https://doi.org/10.1063/1.3382344.</w:t>
      </w:r>
    </w:p>
    <w:p w14:paraId="639EC5D1" w14:textId="4BFE9042"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(12)</w:t>
      </w:r>
      <w:r>
        <w:rPr>
          <w:rFonts w:ascii="Calibri" w:hAnsi="Calibri" w:cs="Calibri"/>
          <w:sz w:val="24"/>
          <w:lang w:val="en-GB"/>
        </w:rPr>
        <w:t xml:space="preserve"> </w:t>
      </w:r>
      <w:r w:rsidRPr="00A4601B">
        <w:rPr>
          <w:rFonts w:ascii="Calibri" w:hAnsi="Calibri" w:cs="Calibri"/>
          <w:sz w:val="24"/>
          <w:lang w:val="en-GB"/>
        </w:rPr>
        <w:t xml:space="preserve">Bokdam, M.; Brocks, G.; Katsnelson, M. I.; Kelly, P. J. Schottky Barriers at Hexagonal Boron Nitride/Metal Interfaces: A First-Principles Study. </w:t>
      </w:r>
      <w:r w:rsidRPr="00A4601B">
        <w:rPr>
          <w:rFonts w:ascii="Calibri" w:hAnsi="Calibri" w:cs="Calibri"/>
          <w:i/>
          <w:iCs/>
          <w:sz w:val="24"/>
          <w:lang w:val="en-GB"/>
        </w:rPr>
        <w:t>Phys. Rev. B</w:t>
      </w:r>
      <w:r w:rsidRPr="00A4601B">
        <w:rPr>
          <w:rFonts w:ascii="Calibri" w:hAnsi="Calibri" w:cs="Calibri"/>
          <w:sz w:val="24"/>
          <w:lang w:val="en-GB"/>
        </w:rPr>
        <w:t xml:space="preserve"> </w:t>
      </w:r>
      <w:r w:rsidRPr="00A4601B">
        <w:rPr>
          <w:rFonts w:ascii="Calibri" w:hAnsi="Calibri" w:cs="Calibri"/>
          <w:b/>
          <w:bCs/>
          <w:sz w:val="24"/>
          <w:lang w:val="en-GB"/>
        </w:rPr>
        <w:t>2014</w:t>
      </w:r>
      <w:r w:rsidRPr="00A4601B">
        <w:rPr>
          <w:rFonts w:ascii="Calibri" w:hAnsi="Calibri" w:cs="Calibri"/>
          <w:sz w:val="24"/>
          <w:lang w:val="en-GB"/>
        </w:rPr>
        <w:t xml:space="preserve">, </w:t>
      </w:r>
      <w:r w:rsidRPr="00A4601B">
        <w:rPr>
          <w:rFonts w:ascii="Calibri" w:hAnsi="Calibri" w:cs="Calibri"/>
          <w:i/>
          <w:iCs/>
          <w:sz w:val="24"/>
          <w:lang w:val="en-GB"/>
        </w:rPr>
        <w:t>90</w:t>
      </w:r>
      <w:r w:rsidRPr="00A4601B">
        <w:rPr>
          <w:rFonts w:ascii="Calibri" w:hAnsi="Calibri" w:cs="Calibri"/>
          <w:sz w:val="24"/>
          <w:lang w:val="en-GB"/>
        </w:rPr>
        <w:t xml:space="preserve"> (8), 085415. https://doi.org/10.1103/PhysRevB.90.085415.</w:t>
      </w:r>
    </w:p>
    <w:p w14:paraId="5D17D6EA" w14:textId="6E745436"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(13)</w:t>
      </w:r>
      <w:r>
        <w:rPr>
          <w:rFonts w:ascii="Calibri" w:hAnsi="Calibri" w:cs="Calibri"/>
          <w:sz w:val="24"/>
          <w:lang w:val="en-GB"/>
        </w:rPr>
        <w:t xml:space="preserve"> </w:t>
      </w:r>
      <w:r w:rsidRPr="00A4601B">
        <w:rPr>
          <w:rFonts w:ascii="Calibri" w:hAnsi="Calibri" w:cs="Calibri"/>
          <w:sz w:val="24"/>
          <w:lang w:val="en-GB"/>
        </w:rPr>
        <w:t xml:space="preserve">Zhussupbekov, K.; Ansari, L.; Elibol, K.; Zhussupbekova, A.; Kotakoski, J.; Shvets, I. V.; Duesberg, G. S.; Hurley, P. K.; McEvoy, N.; Ó Coileáin, C.; Gity, F. Revealing the Influence of Edge States on the Electronic Properties of PtSe2. </w:t>
      </w:r>
      <w:r w:rsidRPr="00A4601B">
        <w:rPr>
          <w:rFonts w:ascii="Calibri" w:hAnsi="Calibri" w:cs="Calibri"/>
          <w:i/>
          <w:iCs/>
          <w:sz w:val="24"/>
          <w:lang w:val="en-GB"/>
        </w:rPr>
        <w:t>Applied Materials Today</w:t>
      </w:r>
      <w:r w:rsidRPr="00A4601B">
        <w:rPr>
          <w:rFonts w:ascii="Calibri" w:hAnsi="Calibri" w:cs="Calibri"/>
          <w:sz w:val="24"/>
          <w:lang w:val="en-GB"/>
        </w:rPr>
        <w:t xml:space="preserve"> </w:t>
      </w:r>
      <w:r w:rsidRPr="00A4601B">
        <w:rPr>
          <w:rFonts w:ascii="Calibri" w:hAnsi="Calibri" w:cs="Calibri"/>
          <w:b/>
          <w:bCs/>
          <w:sz w:val="24"/>
          <w:lang w:val="en-GB"/>
        </w:rPr>
        <w:t>2023</w:t>
      </w:r>
      <w:r w:rsidRPr="00A4601B">
        <w:rPr>
          <w:rFonts w:ascii="Calibri" w:hAnsi="Calibri" w:cs="Calibri"/>
          <w:sz w:val="24"/>
          <w:lang w:val="en-GB"/>
        </w:rPr>
        <w:t xml:space="preserve">, </w:t>
      </w:r>
      <w:r w:rsidRPr="00A4601B">
        <w:rPr>
          <w:rFonts w:ascii="Calibri" w:hAnsi="Calibri" w:cs="Calibri"/>
          <w:i/>
          <w:iCs/>
          <w:sz w:val="24"/>
          <w:lang w:val="en-GB"/>
        </w:rPr>
        <w:t>35</w:t>
      </w:r>
      <w:r w:rsidRPr="00A4601B">
        <w:rPr>
          <w:rFonts w:ascii="Calibri" w:hAnsi="Calibri" w:cs="Calibri"/>
          <w:sz w:val="24"/>
          <w:lang w:val="en-GB"/>
        </w:rPr>
        <w:t>, 101926. https://doi.org/10.1016/j.apmt.2023.101926.</w:t>
      </w:r>
    </w:p>
    <w:p w14:paraId="769CAFBD" w14:textId="1143CA6D" w:rsidR="00A4601B" w:rsidRPr="00A4601B" w:rsidRDefault="00A4601B" w:rsidP="00A4601B">
      <w:pPr>
        <w:pStyle w:val="Bibliografia"/>
        <w:rPr>
          <w:rFonts w:ascii="Calibri" w:hAnsi="Calibri" w:cs="Calibri"/>
          <w:sz w:val="24"/>
          <w:lang w:val="en-GB"/>
        </w:rPr>
      </w:pPr>
      <w:r w:rsidRPr="00A4601B">
        <w:rPr>
          <w:rFonts w:ascii="Calibri" w:hAnsi="Calibri" w:cs="Calibri"/>
          <w:sz w:val="24"/>
          <w:lang w:val="en-GB"/>
        </w:rPr>
        <w:t>(14)</w:t>
      </w:r>
      <w:r>
        <w:rPr>
          <w:rFonts w:ascii="Calibri" w:hAnsi="Calibri" w:cs="Calibri"/>
          <w:sz w:val="24"/>
          <w:lang w:val="en-GB"/>
        </w:rPr>
        <w:t xml:space="preserve"> </w:t>
      </w:r>
      <w:r w:rsidRPr="00A4601B">
        <w:rPr>
          <w:rFonts w:ascii="Calibri" w:hAnsi="Calibri" w:cs="Calibri"/>
          <w:sz w:val="24"/>
          <w:lang w:val="en-GB"/>
        </w:rPr>
        <w:t xml:space="preserve">Stradi, D.; Martinez, U.; Blom, A.; Brandbyge, M.; Stokbro, K. General Atomistic Approach for Modeling Metal-Semiconductor Interfaces Using Density Functional Theory and Nonequilibrium Green’s Function. </w:t>
      </w:r>
      <w:r w:rsidRPr="00A4601B">
        <w:rPr>
          <w:rFonts w:ascii="Calibri" w:hAnsi="Calibri" w:cs="Calibri"/>
          <w:i/>
          <w:iCs/>
          <w:sz w:val="24"/>
          <w:lang w:val="en-GB"/>
        </w:rPr>
        <w:t>Phys. Rev. B</w:t>
      </w:r>
      <w:r w:rsidRPr="00A4601B">
        <w:rPr>
          <w:rFonts w:ascii="Calibri" w:hAnsi="Calibri" w:cs="Calibri"/>
          <w:sz w:val="24"/>
          <w:lang w:val="en-GB"/>
        </w:rPr>
        <w:t xml:space="preserve"> </w:t>
      </w:r>
      <w:r w:rsidRPr="00A4601B">
        <w:rPr>
          <w:rFonts w:ascii="Calibri" w:hAnsi="Calibri" w:cs="Calibri"/>
          <w:b/>
          <w:bCs/>
          <w:sz w:val="24"/>
          <w:lang w:val="en-GB"/>
        </w:rPr>
        <w:t>2016</w:t>
      </w:r>
      <w:r w:rsidRPr="00A4601B">
        <w:rPr>
          <w:rFonts w:ascii="Calibri" w:hAnsi="Calibri" w:cs="Calibri"/>
          <w:sz w:val="24"/>
          <w:lang w:val="en-GB"/>
        </w:rPr>
        <w:t xml:space="preserve">, </w:t>
      </w:r>
      <w:r w:rsidRPr="00A4601B">
        <w:rPr>
          <w:rFonts w:ascii="Calibri" w:hAnsi="Calibri" w:cs="Calibri"/>
          <w:i/>
          <w:iCs/>
          <w:sz w:val="24"/>
          <w:lang w:val="en-GB"/>
        </w:rPr>
        <w:t>93</w:t>
      </w:r>
      <w:r w:rsidRPr="00A4601B">
        <w:rPr>
          <w:rFonts w:ascii="Calibri" w:hAnsi="Calibri" w:cs="Calibri"/>
          <w:sz w:val="24"/>
          <w:lang w:val="en-GB"/>
        </w:rPr>
        <w:t xml:space="preserve"> (15), 155302. https://doi.org/10.1103/PhysRevB.93.155302.</w:t>
      </w:r>
    </w:p>
    <w:p w14:paraId="6C2B4652" w14:textId="77B26257" w:rsidR="00862A30" w:rsidRPr="000E4C7F" w:rsidRDefault="00D83E6A" w:rsidP="00430CA3">
      <w:pPr>
        <w:jc w:val="both"/>
        <w:rPr>
          <w:rFonts w:ascii="Calibri" w:hAnsi="Calibri" w:cs="Calibri"/>
          <w:sz w:val="24"/>
          <w:szCs w:val="24"/>
          <w:lang w:val="en-GB"/>
        </w:rPr>
      </w:pPr>
      <w:r w:rsidRPr="000E4C7F">
        <w:rPr>
          <w:rFonts w:ascii="Calibri" w:hAnsi="Calibri" w:cs="Calibri"/>
          <w:b/>
          <w:bCs/>
          <w:sz w:val="24"/>
          <w:szCs w:val="24"/>
          <w:lang w:val="en-GB"/>
        </w:rPr>
        <w:fldChar w:fldCharType="end"/>
      </w:r>
    </w:p>
    <w:sectPr w:rsidR="00862A30" w:rsidRPr="000E4C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65CEF"/>
    <w:multiLevelType w:val="hybridMultilevel"/>
    <w:tmpl w:val="B28AC9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DF7EB7"/>
    <w:multiLevelType w:val="hybridMultilevel"/>
    <w:tmpl w:val="B28AC9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1011D9"/>
    <w:multiLevelType w:val="hybridMultilevel"/>
    <w:tmpl w:val="08DC33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FEA4C59"/>
    <w:multiLevelType w:val="hybridMultilevel"/>
    <w:tmpl w:val="B28AC9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D5B1962"/>
    <w:multiLevelType w:val="hybridMultilevel"/>
    <w:tmpl w:val="B28AC9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3165704"/>
    <w:multiLevelType w:val="hybridMultilevel"/>
    <w:tmpl w:val="B28AC9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673543">
    <w:abstractNumId w:val="2"/>
  </w:num>
  <w:num w:numId="2" w16cid:durableId="1646549112">
    <w:abstractNumId w:val="5"/>
  </w:num>
  <w:num w:numId="3" w16cid:durableId="1309435465">
    <w:abstractNumId w:val="4"/>
  </w:num>
  <w:num w:numId="4" w16cid:durableId="2003582731">
    <w:abstractNumId w:val="1"/>
  </w:num>
  <w:num w:numId="5" w16cid:durableId="217480556">
    <w:abstractNumId w:val="3"/>
  </w:num>
  <w:num w:numId="6" w16cid:durableId="64778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DD7"/>
    <w:rsid w:val="00027E85"/>
    <w:rsid w:val="00043754"/>
    <w:rsid w:val="00053654"/>
    <w:rsid w:val="00081979"/>
    <w:rsid w:val="000C38AB"/>
    <w:rsid w:val="000C7D57"/>
    <w:rsid w:val="000E4C7F"/>
    <w:rsid w:val="000F26FC"/>
    <w:rsid w:val="00136FA6"/>
    <w:rsid w:val="001459C9"/>
    <w:rsid w:val="00153C11"/>
    <w:rsid w:val="001B2F98"/>
    <w:rsid w:val="001B6101"/>
    <w:rsid w:val="001D7677"/>
    <w:rsid w:val="001E0C36"/>
    <w:rsid w:val="001E6953"/>
    <w:rsid w:val="001F127C"/>
    <w:rsid w:val="00203025"/>
    <w:rsid w:val="00206D34"/>
    <w:rsid w:val="00214CAA"/>
    <w:rsid w:val="00224CAA"/>
    <w:rsid w:val="002374DE"/>
    <w:rsid w:val="00266E72"/>
    <w:rsid w:val="002872E9"/>
    <w:rsid w:val="002913A7"/>
    <w:rsid w:val="0029416E"/>
    <w:rsid w:val="002C5C12"/>
    <w:rsid w:val="002D0215"/>
    <w:rsid w:val="002E10EA"/>
    <w:rsid w:val="002E6FBB"/>
    <w:rsid w:val="002F3729"/>
    <w:rsid w:val="0030217B"/>
    <w:rsid w:val="003105AF"/>
    <w:rsid w:val="00316DD7"/>
    <w:rsid w:val="00346579"/>
    <w:rsid w:val="00347C43"/>
    <w:rsid w:val="00347F6A"/>
    <w:rsid w:val="00371D6E"/>
    <w:rsid w:val="00372693"/>
    <w:rsid w:val="00377243"/>
    <w:rsid w:val="003912CF"/>
    <w:rsid w:val="003A7C60"/>
    <w:rsid w:val="003C1A0D"/>
    <w:rsid w:val="003F3F22"/>
    <w:rsid w:val="00401523"/>
    <w:rsid w:val="00403565"/>
    <w:rsid w:val="00415263"/>
    <w:rsid w:val="0042228B"/>
    <w:rsid w:val="004275FE"/>
    <w:rsid w:val="00430ADB"/>
    <w:rsid w:val="00430CA3"/>
    <w:rsid w:val="00431558"/>
    <w:rsid w:val="004562C2"/>
    <w:rsid w:val="00460BD8"/>
    <w:rsid w:val="00470211"/>
    <w:rsid w:val="00473987"/>
    <w:rsid w:val="004743C9"/>
    <w:rsid w:val="00474A75"/>
    <w:rsid w:val="00474DDC"/>
    <w:rsid w:val="00482317"/>
    <w:rsid w:val="00497908"/>
    <w:rsid w:val="004A0973"/>
    <w:rsid w:val="004B1B03"/>
    <w:rsid w:val="004C1896"/>
    <w:rsid w:val="004D7137"/>
    <w:rsid w:val="004E7FF8"/>
    <w:rsid w:val="004F1411"/>
    <w:rsid w:val="004F2247"/>
    <w:rsid w:val="004F7BE8"/>
    <w:rsid w:val="005030B3"/>
    <w:rsid w:val="00527665"/>
    <w:rsid w:val="0052780E"/>
    <w:rsid w:val="00533B8E"/>
    <w:rsid w:val="005342BC"/>
    <w:rsid w:val="00537ADE"/>
    <w:rsid w:val="005427A4"/>
    <w:rsid w:val="005448C3"/>
    <w:rsid w:val="00561A55"/>
    <w:rsid w:val="0058008E"/>
    <w:rsid w:val="00584156"/>
    <w:rsid w:val="005B3E74"/>
    <w:rsid w:val="005C4790"/>
    <w:rsid w:val="005C6E93"/>
    <w:rsid w:val="005C78D7"/>
    <w:rsid w:val="005D60AC"/>
    <w:rsid w:val="005E1558"/>
    <w:rsid w:val="005F07DD"/>
    <w:rsid w:val="00607291"/>
    <w:rsid w:val="00610B98"/>
    <w:rsid w:val="00612480"/>
    <w:rsid w:val="00626E91"/>
    <w:rsid w:val="006340F8"/>
    <w:rsid w:val="00653350"/>
    <w:rsid w:val="0066379A"/>
    <w:rsid w:val="00675B76"/>
    <w:rsid w:val="00676B7D"/>
    <w:rsid w:val="00682555"/>
    <w:rsid w:val="00692B23"/>
    <w:rsid w:val="006932F7"/>
    <w:rsid w:val="006A270A"/>
    <w:rsid w:val="006B2EB7"/>
    <w:rsid w:val="006C3558"/>
    <w:rsid w:val="00716592"/>
    <w:rsid w:val="0073723D"/>
    <w:rsid w:val="007679D4"/>
    <w:rsid w:val="00767CEB"/>
    <w:rsid w:val="00773554"/>
    <w:rsid w:val="007752EC"/>
    <w:rsid w:val="00793621"/>
    <w:rsid w:val="007A1804"/>
    <w:rsid w:val="007A2CC9"/>
    <w:rsid w:val="007A401C"/>
    <w:rsid w:val="007B4281"/>
    <w:rsid w:val="007C274B"/>
    <w:rsid w:val="007E22CB"/>
    <w:rsid w:val="00807540"/>
    <w:rsid w:val="00823C42"/>
    <w:rsid w:val="00824D74"/>
    <w:rsid w:val="00841A64"/>
    <w:rsid w:val="0085797F"/>
    <w:rsid w:val="008615E3"/>
    <w:rsid w:val="00862A30"/>
    <w:rsid w:val="008824A2"/>
    <w:rsid w:val="008A21E9"/>
    <w:rsid w:val="008B24EF"/>
    <w:rsid w:val="008B361B"/>
    <w:rsid w:val="008D3E6E"/>
    <w:rsid w:val="008D5B29"/>
    <w:rsid w:val="008E0180"/>
    <w:rsid w:val="008E076A"/>
    <w:rsid w:val="009024EC"/>
    <w:rsid w:val="00902A37"/>
    <w:rsid w:val="00931ADD"/>
    <w:rsid w:val="009346E8"/>
    <w:rsid w:val="00934ECF"/>
    <w:rsid w:val="00947E7C"/>
    <w:rsid w:val="00955C1D"/>
    <w:rsid w:val="00985CF4"/>
    <w:rsid w:val="009B121B"/>
    <w:rsid w:val="009B1C2A"/>
    <w:rsid w:val="009B5CAF"/>
    <w:rsid w:val="009B78B2"/>
    <w:rsid w:val="009D36A8"/>
    <w:rsid w:val="009E1318"/>
    <w:rsid w:val="009E7FB1"/>
    <w:rsid w:val="00A15F13"/>
    <w:rsid w:val="00A4601B"/>
    <w:rsid w:val="00A50F0B"/>
    <w:rsid w:val="00A65632"/>
    <w:rsid w:val="00A671F1"/>
    <w:rsid w:val="00A77627"/>
    <w:rsid w:val="00A80673"/>
    <w:rsid w:val="00A846D0"/>
    <w:rsid w:val="00AA3989"/>
    <w:rsid w:val="00AA51E5"/>
    <w:rsid w:val="00AA53D2"/>
    <w:rsid w:val="00AA58CF"/>
    <w:rsid w:val="00AC643F"/>
    <w:rsid w:val="00AD5D74"/>
    <w:rsid w:val="00AD619C"/>
    <w:rsid w:val="00AF1BC3"/>
    <w:rsid w:val="00B0117D"/>
    <w:rsid w:val="00B1797F"/>
    <w:rsid w:val="00B30490"/>
    <w:rsid w:val="00B424A6"/>
    <w:rsid w:val="00B83638"/>
    <w:rsid w:val="00BA0E46"/>
    <w:rsid w:val="00BA40F3"/>
    <w:rsid w:val="00BB2692"/>
    <w:rsid w:val="00BB429B"/>
    <w:rsid w:val="00BC6340"/>
    <w:rsid w:val="00BC69AB"/>
    <w:rsid w:val="00BD3AC5"/>
    <w:rsid w:val="00BE6E6F"/>
    <w:rsid w:val="00BF2919"/>
    <w:rsid w:val="00C00975"/>
    <w:rsid w:val="00C11EAB"/>
    <w:rsid w:val="00C12BB3"/>
    <w:rsid w:val="00C137A8"/>
    <w:rsid w:val="00C13D33"/>
    <w:rsid w:val="00C17747"/>
    <w:rsid w:val="00C2016F"/>
    <w:rsid w:val="00C4493E"/>
    <w:rsid w:val="00C60029"/>
    <w:rsid w:val="00C6386A"/>
    <w:rsid w:val="00C862E7"/>
    <w:rsid w:val="00CA2DFF"/>
    <w:rsid w:val="00CA392A"/>
    <w:rsid w:val="00CD5F27"/>
    <w:rsid w:val="00CD72EA"/>
    <w:rsid w:val="00D05298"/>
    <w:rsid w:val="00D07A3E"/>
    <w:rsid w:val="00D142A8"/>
    <w:rsid w:val="00D444B5"/>
    <w:rsid w:val="00D453D3"/>
    <w:rsid w:val="00D510D7"/>
    <w:rsid w:val="00D521DA"/>
    <w:rsid w:val="00D53F42"/>
    <w:rsid w:val="00D810BD"/>
    <w:rsid w:val="00D837E4"/>
    <w:rsid w:val="00D83E6A"/>
    <w:rsid w:val="00DA1458"/>
    <w:rsid w:val="00DA3F01"/>
    <w:rsid w:val="00DA5FF9"/>
    <w:rsid w:val="00DB087B"/>
    <w:rsid w:val="00DB2844"/>
    <w:rsid w:val="00DC1611"/>
    <w:rsid w:val="00DC3885"/>
    <w:rsid w:val="00DE00B8"/>
    <w:rsid w:val="00DE072F"/>
    <w:rsid w:val="00DE0A46"/>
    <w:rsid w:val="00E03CD3"/>
    <w:rsid w:val="00E07240"/>
    <w:rsid w:val="00E12E3B"/>
    <w:rsid w:val="00E16C61"/>
    <w:rsid w:val="00E36D32"/>
    <w:rsid w:val="00E45129"/>
    <w:rsid w:val="00E54F1C"/>
    <w:rsid w:val="00E567C6"/>
    <w:rsid w:val="00EA032C"/>
    <w:rsid w:val="00ED45B8"/>
    <w:rsid w:val="00EE1419"/>
    <w:rsid w:val="00EF290C"/>
    <w:rsid w:val="00F0210B"/>
    <w:rsid w:val="00F04144"/>
    <w:rsid w:val="00F116CA"/>
    <w:rsid w:val="00F314B0"/>
    <w:rsid w:val="00F63720"/>
    <w:rsid w:val="00F67013"/>
    <w:rsid w:val="00F73DD9"/>
    <w:rsid w:val="00FB47B3"/>
    <w:rsid w:val="00FB6BEA"/>
    <w:rsid w:val="00FD5CF6"/>
    <w:rsid w:val="00FE2394"/>
    <w:rsid w:val="00FE49AB"/>
    <w:rsid w:val="00FF1F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996CE"/>
  <w15:chartTrackingRefBased/>
  <w15:docId w15:val="{3F1B5C47-1ACE-4F4A-BA1B-0474D3BA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16DD7"/>
  </w:style>
  <w:style w:type="paragraph" w:styleId="Titolo1">
    <w:name w:val="heading 1"/>
    <w:basedOn w:val="Normale"/>
    <w:next w:val="Normale"/>
    <w:link w:val="Titolo1Carattere"/>
    <w:uiPriority w:val="9"/>
    <w:qFormat/>
    <w:rsid w:val="00316DD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316D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316DD7"/>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316DD7"/>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unhideWhenUsed/>
    <w:qFormat/>
    <w:rsid w:val="00316DD7"/>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316DD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16DD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16DD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16DD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6DD7"/>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316DD7"/>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316DD7"/>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316DD7"/>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rsid w:val="00316DD7"/>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316DD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16DD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16DD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16DD7"/>
    <w:rPr>
      <w:rFonts w:eastAsiaTheme="majorEastAsia" w:cstheme="majorBidi"/>
      <w:color w:val="272727" w:themeColor="text1" w:themeTint="D8"/>
    </w:rPr>
  </w:style>
  <w:style w:type="paragraph" w:styleId="Titolo">
    <w:name w:val="Title"/>
    <w:basedOn w:val="Normale"/>
    <w:next w:val="Normale"/>
    <w:link w:val="TitoloCarattere"/>
    <w:uiPriority w:val="10"/>
    <w:qFormat/>
    <w:rsid w:val="00316D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16DD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16DD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16DD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16DD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16DD7"/>
    <w:rPr>
      <w:i/>
      <w:iCs/>
      <w:color w:val="404040" w:themeColor="text1" w:themeTint="BF"/>
    </w:rPr>
  </w:style>
  <w:style w:type="paragraph" w:styleId="Paragrafoelenco">
    <w:name w:val="List Paragraph"/>
    <w:basedOn w:val="Normale"/>
    <w:uiPriority w:val="34"/>
    <w:qFormat/>
    <w:rsid w:val="00316DD7"/>
    <w:pPr>
      <w:ind w:left="720"/>
      <w:contextualSpacing/>
    </w:pPr>
  </w:style>
  <w:style w:type="character" w:styleId="Enfasiintensa">
    <w:name w:val="Intense Emphasis"/>
    <w:basedOn w:val="Carpredefinitoparagrafo"/>
    <w:uiPriority w:val="21"/>
    <w:qFormat/>
    <w:rsid w:val="00316DD7"/>
    <w:rPr>
      <w:i/>
      <w:iCs/>
      <w:color w:val="2E74B5" w:themeColor="accent1" w:themeShade="BF"/>
    </w:rPr>
  </w:style>
  <w:style w:type="paragraph" w:styleId="Citazioneintensa">
    <w:name w:val="Intense Quote"/>
    <w:basedOn w:val="Normale"/>
    <w:next w:val="Normale"/>
    <w:link w:val="CitazioneintensaCarattere"/>
    <w:uiPriority w:val="30"/>
    <w:qFormat/>
    <w:rsid w:val="00316DD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316DD7"/>
    <w:rPr>
      <w:i/>
      <w:iCs/>
      <w:color w:val="2E74B5" w:themeColor="accent1" w:themeShade="BF"/>
    </w:rPr>
  </w:style>
  <w:style w:type="character" w:styleId="Riferimentointenso">
    <w:name w:val="Intense Reference"/>
    <w:basedOn w:val="Carpredefinitoparagrafo"/>
    <w:uiPriority w:val="32"/>
    <w:qFormat/>
    <w:rsid w:val="00316DD7"/>
    <w:rPr>
      <w:b/>
      <w:bCs/>
      <w:smallCaps/>
      <w:color w:val="2E74B5" w:themeColor="accent1" w:themeShade="BF"/>
      <w:spacing w:val="5"/>
    </w:rPr>
  </w:style>
  <w:style w:type="paragraph" w:styleId="Revisione">
    <w:name w:val="Revision"/>
    <w:hidden/>
    <w:uiPriority w:val="99"/>
    <w:semiHidden/>
    <w:rsid w:val="002F3729"/>
    <w:pPr>
      <w:spacing w:after="0" w:line="240" w:lineRule="auto"/>
    </w:pPr>
  </w:style>
  <w:style w:type="paragraph" w:styleId="Bibliografia">
    <w:name w:val="Bibliography"/>
    <w:basedOn w:val="Normale"/>
    <w:next w:val="Normale"/>
    <w:uiPriority w:val="37"/>
    <w:unhideWhenUsed/>
    <w:rsid w:val="00D83E6A"/>
    <w:pPr>
      <w:tabs>
        <w:tab w:val="left" w:pos="384"/>
      </w:tabs>
      <w:spacing w:after="0" w:line="240" w:lineRule="auto"/>
      <w:ind w:left="384" w:hanging="384"/>
    </w:pPr>
  </w:style>
  <w:style w:type="character" w:styleId="Rimandocommento">
    <w:name w:val="annotation reference"/>
    <w:basedOn w:val="Carpredefinitoparagrafo"/>
    <w:uiPriority w:val="99"/>
    <w:semiHidden/>
    <w:unhideWhenUsed/>
    <w:rsid w:val="00BC6340"/>
    <w:rPr>
      <w:sz w:val="16"/>
      <w:szCs w:val="16"/>
    </w:rPr>
  </w:style>
  <w:style w:type="paragraph" w:styleId="Testocommento">
    <w:name w:val="annotation text"/>
    <w:basedOn w:val="Normale"/>
    <w:link w:val="TestocommentoCarattere"/>
    <w:uiPriority w:val="99"/>
    <w:unhideWhenUsed/>
    <w:rsid w:val="00BC6340"/>
    <w:pPr>
      <w:spacing w:line="240" w:lineRule="auto"/>
    </w:pPr>
    <w:rPr>
      <w:sz w:val="20"/>
      <w:szCs w:val="20"/>
    </w:rPr>
  </w:style>
  <w:style w:type="character" w:customStyle="1" w:styleId="TestocommentoCarattere">
    <w:name w:val="Testo commento Carattere"/>
    <w:basedOn w:val="Carpredefinitoparagrafo"/>
    <w:link w:val="Testocommento"/>
    <w:uiPriority w:val="99"/>
    <w:rsid w:val="00BC6340"/>
    <w:rPr>
      <w:sz w:val="20"/>
      <w:szCs w:val="20"/>
    </w:rPr>
  </w:style>
  <w:style w:type="paragraph" w:styleId="Soggettocommento">
    <w:name w:val="annotation subject"/>
    <w:basedOn w:val="Testocommento"/>
    <w:next w:val="Testocommento"/>
    <w:link w:val="SoggettocommentoCarattere"/>
    <w:uiPriority w:val="99"/>
    <w:semiHidden/>
    <w:unhideWhenUsed/>
    <w:rsid w:val="00BC6340"/>
    <w:rPr>
      <w:b/>
      <w:bCs/>
    </w:rPr>
  </w:style>
  <w:style w:type="character" w:customStyle="1" w:styleId="SoggettocommentoCarattere">
    <w:name w:val="Soggetto commento Carattere"/>
    <w:basedOn w:val="TestocommentoCarattere"/>
    <w:link w:val="Soggettocommento"/>
    <w:uiPriority w:val="99"/>
    <w:semiHidden/>
    <w:rsid w:val="00BC6340"/>
    <w:rPr>
      <w:b/>
      <w:bCs/>
      <w:sz w:val="20"/>
      <w:szCs w:val="20"/>
    </w:rPr>
  </w:style>
  <w:style w:type="character" w:styleId="Testosegnaposto">
    <w:name w:val="Placeholder Text"/>
    <w:basedOn w:val="Carpredefinitoparagrafo"/>
    <w:uiPriority w:val="99"/>
    <w:semiHidden/>
    <w:rsid w:val="00692B23"/>
    <w:rPr>
      <w:color w:val="666666"/>
    </w:rPr>
  </w:style>
  <w:style w:type="character" w:styleId="Collegamentoipertestuale">
    <w:name w:val="Hyperlink"/>
    <w:basedOn w:val="Carpredefinitoparagrafo"/>
    <w:uiPriority w:val="99"/>
    <w:unhideWhenUsed/>
    <w:rsid w:val="00AA51E5"/>
    <w:rPr>
      <w:color w:val="0563C1" w:themeColor="hyperlink"/>
      <w:u w:val="single"/>
    </w:rPr>
  </w:style>
  <w:style w:type="character" w:customStyle="1" w:styleId="UnresolvedMention1">
    <w:name w:val="Unresolved Mention1"/>
    <w:basedOn w:val="Carpredefinitoparagrafo"/>
    <w:uiPriority w:val="99"/>
    <w:semiHidden/>
    <w:unhideWhenUsed/>
    <w:rsid w:val="00AA51E5"/>
    <w:rPr>
      <w:color w:val="605E5C"/>
      <w:shd w:val="clear" w:color="auto" w:fill="E1DFDD"/>
    </w:rPr>
  </w:style>
  <w:style w:type="paragraph" w:styleId="Testofumetto">
    <w:name w:val="Balloon Text"/>
    <w:basedOn w:val="Normale"/>
    <w:link w:val="TestofumettoCarattere"/>
    <w:uiPriority w:val="99"/>
    <w:semiHidden/>
    <w:unhideWhenUsed/>
    <w:rsid w:val="00CA39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392A"/>
    <w:rPr>
      <w:rFonts w:ascii="Segoe UI" w:hAnsi="Segoe UI" w:cs="Segoe UI"/>
      <w:sz w:val="18"/>
      <w:szCs w:val="18"/>
    </w:rPr>
  </w:style>
  <w:style w:type="character" w:styleId="Menzionenonrisolta">
    <w:name w:val="Unresolved Mention"/>
    <w:basedOn w:val="Carpredefinitoparagrafo"/>
    <w:uiPriority w:val="99"/>
    <w:semiHidden/>
    <w:unhideWhenUsed/>
    <w:rsid w:val="00CD5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012318">
      <w:bodyDiv w:val="1"/>
      <w:marLeft w:val="0"/>
      <w:marRight w:val="0"/>
      <w:marTop w:val="0"/>
      <w:marBottom w:val="0"/>
      <w:divBdr>
        <w:top w:val="none" w:sz="0" w:space="0" w:color="auto"/>
        <w:left w:val="none" w:sz="0" w:space="0" w:color="auto"/>
        <w:bottom w:val="none" w:sz="0" w:space="0" w:color="auto"/>
        <w:right w:val="none" w:sz="0" w:space="0" w:color="auto"/>
      </w:divBdr>
    </w:div>
    <w:div w:id="168613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E58FA-5D29-4A24-9C3E-0F7E6C2A7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6212</Words>
  <Characters>35414</Characters>
  <Application>Microsoft Office Word</Application>
  <DocSecurity>0</DocSecurity>
  <Lines>295</Lines>
  <Paragraphs>83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INTONTI</dc:creator>
  <cp:keywords/>
  <dc:description/>
  <cp:lastModifiedBy>Kimberly INTONTI</cp:lastModifiedBy>
  <cp:revision>7</cp:revision>
  <cp:lastPrinted>2024-07-29T18:58:00Z</cp:lastPrinted>
  <dcterms:created xsi:type="dcterms:W3CDTF">2024-09-16T22:44:00Z</dcterms:created>
  <dcterms:modified xsi:type="dcterms:W3CDTF">2024-09-17T08:04:00Z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a3113658bb197f066d64ecb153bc2d2ce9dac16fb5a0df7cf140f6e33e1efa17</vt:lpwstr>
  </property>
  <property fmtid="{D5CDD505-2E9C-101B-9397-08002B2CF9AE}" pid="3" name="ZOTERO_PREF_1">
    <vt:lpwstr>&lt;data data-version="3" zotero-version="6.0.36"&gt;&lt;session id="9REKAua1"/&gt;&lt;style id="http://www.zotero.org/styles/american-chemical-society" hasBibliography="1" bibliographyStyleHasBeenSet="1"/&gt;&lt;prefs&gt;&lt;pref name="fieldType" value="Field"/&gt;&lt;/prefs&gt;&lt;/data&gt;</vt:lpwstr>
  </property>
</Properties>
</file>