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722A2F" w14:textId="1208BE5C" w:rsidR="002C514D" w:rsidRPr="002C514D" w:rsidRDefault="0052680A" w:rsidP="005942C3">
      <w:pPr>
        <w:jc w:val="both"/>
        <w:rPr>
          <w:b/>
          <w:bCs/>
          <w:color w:val="2E2E2E"/>
        </w:rPr>
      </w:pPr>
      <w:r>
        <w:rPr>
          <w:b/>
          <w:bCs/>
          <w:color w:val="2E2E2E"/>
        </w:rPr>
        <w:t>SUPPLEMENTARY METHODS</w:t>
      </w:r>
    </w:p>
    <w:p w14:paraId="7888C2C1" w14:textId="39DE86F7" w:rsidR="00B70055" w:rsidRPr="00BB6FC1" w:rsidRDefault="00FD646F" w:rsidP="00B70055">
      <w:pPr>
        <w:jc w:val="both"/>
      </w:pPr>
      <w:r>
        <w:t>The</w:t>
      </w:r>
      <w:r w:rsidR="00B70055" w:rsidRPr="00B70055">
        <w:t xml:space="preserve"> methodology used to perform differential expression (DE) analysis</w:t>
      </w:r>
      <w:r w:rsidR="001C555C">
        <w:t xml:space="preserve"> </w:t>
      </w:r>
      <w:r w:rsidR="00DF128D">
        <w:t>was</w:t>
      </w:r>
      <w:r w:rsidR="00B70055" w:rsidRPr="00B70055">
        <w:t xml:space="preserve"> carried out using the R programming language </w:t>
      </w:r>
      <w:r w:rsidR="00B70055" w:rsidRPr="00B70055">
        <w:fldChar w:fldCharType="begin"/>
      </w:r>
      <w:r w:rsidR="00B70055" w:rsidRPr="00B70055">
        <w:instrText xml:space="preserve"> ADDIN ZOTERO_ITEM CSL_CITATION {"citationID":"AebY2lKN","properties":{"formattedCitation":"(R Core Team, 2022)","plainCitation":"(R Core Team, 2022)","noteIndex":0},"citationItems":[{"id":3999,"uris":["http://zotero.org/users/6460751/items/EIX4DGM4"],"itemData":{"id":3999,"type":"software","event-place":"R Foundation for Statistical Computing, Vienna, Austria.","genre":"R","publisher-place":"R Foundation for Statistical Computing, Vienna, Austria.","title":"R: A language and environment for statistical computing.","URL":"https://www.R-project.org/","version":"4.2.0.","author":[{"family":"R Core Team","given":""}],"issued":{"date-parts":[["2022"]]}}}],"schema":"https://github.com/citation-style-language/schema/raw/master/csl-citation.json"} </w:instrText>
      </w:r>
      <w:r w:rsidR="00B70055" w:rsidRPr="00B70055">
        <w:fldChar w:fldCharType="separate"/>
      </w:r>
      <w:r w:rsidR="00B70055" w:rsidRPr="00B70055">
        <w:t>(R Core Team, 2022)</w:t>
      </w:r>
      <w:r w:rsidR="00B70055" w:rsidRPr="00B70055">
        <w:fldChar w:fldCharType="end"/>
      </w:r>
      <w:r w:rsidR="00B70055" w:rsidRPr="00B70055">
        <w:t xml:space="preserve"> and the RStudio integrated development environment (v2022.02.2+485). R packages were downloaded from </w:t>
      </w:r>
      <w:r>
        <w:t>t</w:t>
      </w:r>
      <w:r w:rsidR="00B70055" w:rsidRPr="00B70055">
        <w:t xml:space="preserve">he Comprehensive R Archive Network (CRAN; </w:t>
      </w:r>
      <w:hyperlink r:id="rId5" w:tgtFrame="_blank" w:history="1">
        <w:r w:rsidR="00B70055" w:rsidRPr="00B70055">
          <w:rPr>
            <w:rStyle w:val="Hyperlink"/>
          </w:rPr>
          <w:t>http://cran.r-project.org/</w:t>
        </w:r>
      </w:hyperlink>
      <w:r w:rsidR="00B70055" w:rsidRPr="00B70055">
        <w:t xml:space="preserve">; </w:t>
      </w:r>
      <w:r w:rsidR="00B70055" w:rsidRPr="00B70055">
        <w:fldChar w:fldCharType="begin"/>
      </w:r>
      <w:r w:rsidR="00B70055" w:rsidRPr="00B70055">
        <w:instrText xml:space="preserve"> ADDIN ZOTERO_ITEM CSL_CITATION {"citationID":"RGcTjis4","properties":{"formattedCitation":"(Hornik, 2012)","plainCitation":"(Hornik, 2012)","dontUpdate":true,"noteIndex":0},"citationItems":[{"id":1893,"uris":["http://zotero.org/users/6460751/items/K2S8VXWA"],"itemData":{"id":1893,"type":"article-journal","abstract":"The Comprehensive R Archive Network (CRAN) is a network of sites acting as the primary web service distributing R sources and binaries, extension packages, and documentation. We discuss this functionality in more detail, with particular emphasis on the CRAN package repository, and its underlying design and operation principles. WIREs Comput Stat 2012 doi: 10.1002/wics.1212 This article is categorized under: Applications of Computational Statistics &gt; Organizations and Publications","container-title":"WIREs Computational Statistics","DOI":"https://doi.org/10.1002/wics.1212","ISSN":"1939-0068","issue":"4","language":"en","license":"Copyright © 2012 Wiley Periodicals, Inc.","note":"_eprint: https://onlinelibrary.wiley.com/doi/pdf/10.1002/wics.1212","page":"394-398","source":"Wiley Online Library","title":"The Comprehensive R Archive Network","volume":"4","author":[{"family":"Hornik","given":"Kurt"}],"issued":{"date-parts":[["2012"]]}}}],"schema":"https://github.com/citation-style-language/schema/raw/master/csl-citation.json"} </w:instrText>
      </w:r>
      <w:r w:rsidR="00B70055" w:rsidRPr="00B70055">
        <w:fldChar w:fldCharType="separate"/>
      </w:r>
      <w:r w:rsidR="00B70055" w:rsidRPr="00B70055">
        <w:t>Hornik, 2012)</w:t>
      </w:r>
      <w:r w:rsidR="00B70055" w:rsidRPr="00B70055">
        <w:fldChar w:fldCharType="end"/>
      </w:r>
      <w:r w:rsidR="00B70055" w:rsidRPr="00B70055">
        <w:t xml:space="preserve"> and Bioconductor (</w:t>
      </w:r>
      <w:hyperlink r:id="rId6" w:history="1">
        <w:r w:rsidR="00B70055" w:rsidRPr="00B70055">
          <w:rPr>
            <w:rStyle w:val="Hyperlink"/>
          </w:rPr>
          <w:t>https://www.bioconductor.org/</w:t>
        </w:r>
      </w:hyperlink>
      <w:r w:rsidR="00B70055" w:rsidRPr="00B70055">
        <w:t>; Huber et al., 2015) online repositories. All R scripts used to perform the analyses are available to view within the</w:t>
      </w:r>
      <w:r w:rsidR="00B70055">
        <w:t xml:space="preserve"> linked</w:t>
      </w:r>
      <w:r w:rsidR="00B70055" w:rsidRPr="00B70055">
        <w:t xml:space="preserve"> GitHub repository (</w:t>
      </w:r>
      <w:hyperlink r:id="rId7" w:history="1">
        <w:r w:rsidR="00B70055" w:rsidRPr="00B70055">
          <w:rPr>
            <w:rStyle w:val="Hyperlink"/>
          </w:rPr>
          <w:t>https://githu</w:t>
        </w:r>
        <w:r w:rsidR="00B70055">
          <w:rPr>
            <w:rStyle w:val="Hyperlink"/>
          </w:rPr>
          <w:t>‌‌</w:t>
        </w:r>
        <w:r w:rsidR="00B70055" w:rsidRPr="00B70055">
          <w:rPr>
            <w:rStyle w:val="Hyperlink"/>
          </w:rPr>
          <w:t>b.com/ConorGilesD</w:t>
        </w:r>
        <w:r w:rsidR="00B70055">
          <w:rPr>
            <w:rStyle w:val="Hyperlink"/>
          </w:rPr>
          <w:t>‌</w:t>
        </w:r>
        <w:r w:rsidR="00B70055" w:rsidRPr="00B70055">
          <w:rPr>
            <w:rStyle w:val="Hyperlink"/>
          </w:rPr>
          <w:t>oran/MSc_Thesis_Transcriptomics</w:t>
        </w:r>
      </w:hyperlink>
      <w:r w:rsidR="00B70055" w:rsidRPr="00B70055">
        <w:t>).</w:t>
      </w:r>
    </w:p>
    <w:p w14:paraId="13790722" w14:textId="77777777" w:rsidR="00BB6FC1" w:rsidRDefault="00BB6FC1" w:rsidP="00B70055">
      <w:pPr>
        <w:jc w:val="both"/>
        <w:rPr>
          <w:b/>
          <w:bCs/>
        </w:rPr>
      </w:pPr>
    </w:p>
    <w:p w14:paraId="78448AB9" w14:textId="5E370975" w:rsidR="00B70055" w:rsidRDefault="00B70055" w:rsidP="00B70055">
      <w:pPr>
        <w:jc w:val="both"/>
        <w:rPr>
          <w:b/>
          <w:bCs/>
        </w:rPr>
      </w:pPr>
      <w:r w:rsidRPr="00B70055">
        <w:rPr>
          <w:b/>
          <w:bCs/>
        </w:rPr>
        <w:t>Data Acquisition</w:t>
      </w:r>
      <w:r w:rsidRPr="00B70055">
        <w:rPr>
          <w:b/>
          <w:bCs/>
        </w:rPr>
        <w:tab/>
      </w:r>
      <w:r w:rsidRPr="00B70055">
        <w:rPr>
          <w:b/>
          <w:bCs/>
        </w:rPr>
        <w:tab/>
      </w:r>
      <w:r w:rsidRPr="00B70055">
        <w:rPr>
          <w:b/>
          <w:bCs/>
        </w:rPr>
        <w:tab/>
      </w:r>
      <w:r w:rsidRPr="00B70055">
        <w:rPr>
          <w:b/>
          <w:bCs/>
        </w:rPr>
        <w:tab/>
      </w:r>
      <w:r w:rsidRPr="00B70055">
        <w:rPr>
          <w:b/>
          <w:bCs/>
        </w:rPr>
        <w:tab/>
      </w:r>
      <w:r w:rsidRPr="00B70055">
        <w:rPr>
          <w:b/>
          <w:bCs/>
        </w:rPr>
        <w:tab/>
      </w:r>
      <w:r w:rsidRPr="00B70055">
        <w:rPr>
          <w:b/>
          <w:bCs/>
        </w:rPr>
        <w:tab/>
      </w:r>
      <w:r w:rsidRPr="00B70055">
        <w:rPr>
          <w:b/>
          <w:bCs/>
        </w:rPr>
        <w:tab/>
      </w:r>
      <w:r w:rsidRPr="00B70055">
        <w:rPr>
          <w:b/>
          <w:bCs/>
        </w:rPr>
        <w:tab/>
      </w:r>
      <w:r w:rsidR="00FD646F">
        <w:rPr>
          <w:b/>
          <w:bCs/>
        </w:rPr>
        <w:t xml:space="preserve">  </w:t>
      </w:r>
    </w:p>
    <w:p w14:paraId="245C4EFC" w14:textId="4C1A0F27" w:rsidR="00B70055" w:rsidRPr="00B70055" w:rsidRDefault="00B70055" w:rsidP="00B70055">
      <w:pPr>
        <w:jc w:val="both"/>
        <w:rPr>
          <w:b/>
          <w:bCs/>
        </w:rPr>
      </w:pPr>
      <w:r w:rsidRPr="00B70055">
        <w:t xml:space="preserve">All datasets used in this study were downloaded from the Gene Expression Omnibus (GEO; </w:t>
      </w:r>
      <w:hyperlink r:id="rId8" w:history="1">
        <w:r w:rsidRPr="00B70055">
          <w:rPr>
            <w:rStyle w:val="Hyperlink"/>
          </w:rPr>
          <w:t>https://www.ncbi.nlm.nih.gov/geo/</w:t>
        </w:r>
      </w:hyperlink>
      <w:r w:rsidRPr="00B70055">
        <w:t xml:space="preserve">), where they are publicly available. Relevant microarray gene expression datasets were identified by searching the query ‘((Parkinson's disease) AND Substantia nigra) AND Homo Sapiens[Organism]’. Five GEO data series were selected for download, each with a unique accession number: </w:t>
      </w:r>
      <w:hyperlink r:id="rId9" w:history="1">
        <w:r w:rsidRPr="00B70055">
          <w:rPr>
            <w:rStyle w:val="Hyperlink"/>
          </w:rPr>
          <w:t>GSE8397</w:t>
        </w:r>
      </w:hyperlink>
      <w:r w:rsidRPr="00B70055">
        <w:t xml:space="preserve"> </w:t>
      </w:r>
      <w:r w:rsidRPr="00B70055">
        <w:fldChar w:fldCharType="begin"/>
      </w:r>
      <w:r w:rsidRPr="00B70055">
        <w:instrText xml:space="preserve"> ADDIN ZOTERO_ITEM CSL_CITATION {"citationID":"dG3LjAHs","properties":{"formattedCitation":"(Moran et al., 2006)","plainCitation":"(Moran et al., 2006)","noteIndex":0},"citationItems":[{"id":4275,"uris":["http://zotero.org/users/6460751/items/IN67N3YD"],"itemData":{"id":4275,"type":"article-journal","abstract":"We have used brain tissue from clinically well-documented and neuropathologically confirmed cases of sporadic Parkinson's disease to establish the transcriptomic expression profile of the medial and lateral substantia nigra. In addition, the superior frontal cortex was analyzed in a subset of the same cases. DNA oligonucleotide microarrays were employed, which provide whole human genome coverage. A total of 570 genes were found to be differentially regulated at a high level of significance. A large number of differentially regulated expressed sequence tags were also identified. Levels of mRNA sequences encoded by genes of key interest were validated by means of quantitative real-time polymerase chain reaction (PCR). Comparing three different normalization procedures, results based on the recently published GeneChip Robust Multi Array algorithm were found to be the most accurate predictor of real-time PCR results. Several new candidate genes which map to PARK loci are reported. In addition, the DNAJ family of chaperones is discussed in the context of Parkinson's disease pathogenesis.","container-title":"Neurogenetics","DOI":"10.1007/s10048-005-0020-2","ISSN":"1364-6745","issue":"1","journalAbbreviation":"Neurogenetics","language":"eng","note":"PMID: 16344956","page":"1-11","source":"PubMed","title":"Whole genome expression profiling of the medial and lateral substantia nigra in Parkinson's disease","volume":"7","author":[{"family":"Moran","given":"L. B."},{"family":"Duke","given":"D. C."},{"family":"Deprez","given":"M."},{"family":"Dexter","given":"D. T."},{"family":"Pearce","given":"R. K. B."},{"family":"Graeber","given":"M. B."}],"issued":{"date-parts":[["2006",3]]}}}],"schema":"https://github.com/citation-style-language/schema/raw/master/csl-citation.json"} </w:instrText>
      </w:r>
      <w:r w:rsidRPr="00B70055">
        <w:fldChar w:fldCharType="separate"/>
      </w:r>
      <w:r w:rsidRPr="00B70055">
        <w:t>(Moran et al., 2006)</w:t>
      </w:r>
      <w:r w:rsidRPr="00B70055">
        <w:fldChar w:fldCharType="end"/>
      </w:r>
      <w:r w:rsidRPr="00B70055">
        <w:t xml:space="preserve">; </w:t>
      </w:r>
      <w:hyperlink r:id="rId10" w:history="1">
        <w:r w:rsidRPr="00B70055">
          <w:rPr>
            <w:rStyle w:val="Hyperlink"/>
          </w:rPr>
          <w:t>GSE7621</w:t>
        </w:r>
      </w:hyperlink>
      <w:r w:rsidRPr="00B70055">
        <w:t xml:space="preserve"> </w:t>
      </w:r>
      <w:r w:rsidRPr="00B70055">
        <w:fldChar w:fldCharType="begin"/>
      </w:r>
      <w:r w:rsidRPr="00B70055">
        <w:instrText xml:space="preserve"> ADDIN ZOTERO_ITEM CSL_CITATION {"citationID":"sGzK65Er","properties":{"formattedCitation":"(Lesnick et al., 2007)","plainCitation":"(Lesnick et al., 2007)","noteIndex":0},"citationItems":[{"id":4004,"uris":["http://zotero.org/users/6460751/items/FJR92G59"],"itemData":{"id":4004,"type":"article-journal","abstract":"While major inroads have been made in identifying the genetic causes of rare Mendelian disorders, little progress has been made in the discovery of common gene variations that predispose to complex diseases. The single gene variants that have been shown to associate reproducibly with complex diseases typically have small effect sizes or attributable risks. However, the joint actions of common gene variants within pathways may play a major role in predisposing to complex diseases (the paradigm of complex genetics). The goal of this study was to determine whether polymorphism in a candidate pathway (axon guidance) predisposed to a complex disease (Parkinson disease [PD]). We mined a whole-genome association dataset and identified single nucleotide polymorphisms (SNPs) that were within axon-guidance pathway genes. We then constructed models of axon-guidance pathway SNPs that predicted three outcomes: PD susceptibility (odds ratio = 90.8, p = 4.64 x 10(-38)), survival free of PD (hazards ratio = 19.0, p = 5.43 x 10(-48)), and PD age at onset (R(2) = 0.68, p = 1.68 x 10(-51)). By contrast, models constructed from thousands of random selections of genomic SNPs predicted the three PD outcomes poorly. Mining of a second whole-genome association dataset and mining of an expression profiling dataset also supported a role for many axon-guidance pathway genes in PD. These findings could have important implications regarding the pathogenesis of PD. This genomic pathway approach may also offer insights into other complex diseases such as Alzheimer disease, diabetes mellitus, nicotine and alcohol dependence, and several cancers.","container-title":"PLoS genetics","DOI":"10.1371/journal.pgen.0030098","ISSN":"1553-7404","issue":"6","journalAbbreviation":"PLoS Genet","language":"eng","note":"PMID: 17571925\nPMCID: PMC1904362","page":"e98","source":"PubMed","title":"A genomic pathway approach to a complex disease: axon guidance and Parkinson disease","title-short":"A genomic pathway approach to a complex disease","volume":"3","author":[{"family":"Lesnick","given":"Timothy G."},{"family":"Papapetropoulos","given":"Spiridon"},{"family":"Mash","given":"Deborah C."},{"family":"Ffrench-Mullen","given":"Jarlath"},{"family":"Shehadeh","given":"Lina"},{"family":"Andrade","given":"Mariza","non-dropping-particle":"de"},{"family":"Henley","given":"John R."},{"family":"Rocca","given":"Walter A."},{"family":"Ahlskog","given":"J. Eric"},{"family":"Maraganore","given":"Demetrius M."}],"issued":{"date-parts":[["2007",6]]}}}],"schema":"https://github.com/citation-style-language/schema/raw/master/csl-citation.json"} </w:instrText>
      </w:r>
      <w:r w:rsidRPr="00B70055">
        <w:fldChar w:fldCharType="separate"/>
      </w:r>
      <w:r w:rsidRPr="00B70055">
        <w:t>(Lesnick et al., 2007)</w:t>
      </w:r>
      <w:r w:rsidRPr="00B70055">
        <w:fldChar w:fldCharType="end"/>
      </w:r>
      <w:r w:rsidRPr="00B70055">
        <w:t xml:space="preserve">; </w:t>
      </w:r>
      <w:hyperlink r:id="rId11" w:history="1">
        <w:r w:rsidRPr="00B70055">
          <w:rPr>
            <w:rStyle w:val="Hyperlink"/>
          </w:rPr>
          <w:t>GSE49036</w:t>
        </w:r>
      </w:hyperlink>
      <w:r w:rsidRPr="00B70055">
        <w:t xml:space="preserve"> </w:t>
      </w:r>
      <w:r w:rsidRPr="00B70055">
        <w:fldChar w:fldCharType="begin"/>
      </w:r>
      <w:r w:rsidRPr="00B70055">
        <w:instrText xml:space="preserve"> ADDIN ZOTERO_ITEM CSL_CITATION {"citationID":"EJqB6STb","properties":{"formattedCitation":"(Dijkstra et al., 2015)","plainCitation":"(Dijkstra et al., 2015)","noteIndex":0},"citationItems":[{"id":4007,"uris":["http://zotero.org/users/6460751/items/BIMELSX4"],"itemData":{"id":4007,"type":"article-journal","abstract":"Subjects with incidental Lewy body disease (iLBD) may represent the premotor stage of Parkinson's disease (PD). To elucidate molecular mechanisms underlying neuronal dysfunction and alpha-synuclein pathology in the premotor phase of PD, we investigated the transcriptome of the substantia nigra (SN) of well-characterized iLBD, PD donors and age-matched controls with Braak alpha-synuclein stage ranging from 0-6. In Braak alpha-synuclein stages 1 and 2, we observed deregulation of pathways linked to axonal degeneration, immune response and endocytosis, including axonal guidance signaling, mTOR signaling, EIF2 signaling and clathrin-mediated endocytosis in the SN. In Braak stages 3 and 4, we observed deregulation of pathways involved in protein translation and cell survival, including mTOR and EIF2 signaling. In Braak stages 5 and 6, we observed deregulation of dopaminergic signaling, axonal guidance signaling and thrombin signaling. Throughout the progression of PD pathology, we observed a deregulation of mTOR, EIF2 and regulation of eIF4 and p70S6K signaling in the SN. Our results indicate that molecular mechanisms related to axonal dysfunction, endocytosis and immune response are an early event in PD pathology, whereas mTOR and EIF2 signaling are impaired throughout disease progression. These pathways may hold the key to altering the disease progression in PD.","container-title":"PloS One","DOI":"10.1371/journal.pone.0128651","ISSN":"1932-6203","issue":"6","journalAbbreviation":"PLoS One","language":"eng","note":"PMID: 26087293\nPMCID: PMC4472235","page":"e0128651","source":"PubMed","title":"Evidence for Immune Response, Axonal Dysfunction and Reduced Endocytosis in the Substantia Nigra in Early Stage Parkinson's Disease","volume":"10","author":[{"family":"Dijkstra","given":"Anke A."},{"family":"Ingrassia","given":"Angela"},{"family":"Menezes","given":"Renee X.","non-dropping-particle":"de"},{"family":"Kesteren","given":"Ronald E.","non-dropping-particle":"van"},{"family":"Rozemuller","given":"Annemieke J. M."},{"family":"Heutink","given":"Peter"},{"family":"Berg","given":"Wilma D. J.","non-dropping-particle":"van de"}],"issued":{"date-parts":[["2015"]]}}}],"schema":"https://github.com/citation-style-language/schema/raw/master/csl-citation.json"} </w:instrText>
      </w:r>
      <w:r w:rsidRPr="00B70055">
        <w:fldChar w:fldCharType="separate"/>
      </w:r>
      <w:r w:rsidRPr="00B70055">
        <w:t>(Dijkstra et al., 2015)</w:t>
      </w:r>
      <w:r w:rsidRPr="00B70055">
        <w:fldChar w:fldCharType="end"/>
      </w:r>
      <w:r w:rsidRPr="00B70055">
        <w:t xml:space="preserve">; </w:t>
      </w:r>
      <w:hyperlink r:id="rId12" w:history="1">
        <w:r w:rsidRPr="00B70055">
          <w:rPr>
            <w:rStyle w:val="Hyperlink"/>
          </w:rPr>
          <w:t>GSE20292</w:t>
        </w:r>
      </w:hyperlink>
      <w:r w:rsidRPr="00B70055">
        <w:t xml:space="preserve"> </w:t>
      </w:r>
      <w:r w:rsidRPr="00B70055">
        <w:fldChar w:fldCharType="begin"/>
      </w:r>
      <w:r w:rsidRPr="00B70055">
        <w:instrText xml:space="preserve"> ADDIN ZOTERO_ITEM CSL_CITATION {"citationID":"wl98RvAR","properties":{"formattedCitation":"(Zhang et al., 2005)","plainCitation":"(Zhang et al., 2005)","noteIndex":0},"citationItems":[{"id":4290,"uris":["http://zotero.org/users/6460751/items/HFXXTCKY"],"itemData":{"id":4290,"type":"article-journal","abstract":"In both genetic and idiopathic forms of Parkinson's disease (PD), considerable evidence supports the involvement of α-synuclein, electron transport chain complex I, protein aggregation, and the ubiquitin-proteasome system. To investigate alterations in the transcription of genes that comprise these pathways, we performed gene expression profiling and functional gene group analysis of three brain regions (the substantia nigra, putamen, and area 9) in postmortem tissue from matched groups of PD or control subjects (n = 15/group). Verification of selected changes was performed using RT-PCR, and visualization of selected changes in expression was accomplished using in situ hybridization (ISH). Our results provide strong support for the impairment of multiple electron transport chain complexes and the ubiquitin-proteasomal system in PD, along with a robust induction of heat shock proteins and some anti-apoptotic gene groups. Several novel gene and gene group findings were also obtained that offer new insight into the pathogenesis and potential treatment of PD. © 2005 Wiley-Liss, Inc.","container-title":"American Journal of Medical Genetics Part B: Neuropsychiatric Genetics","DOI":"10.1002/ajmg.b.30195","ISSN":"1552-485X","issue":"1","language":"en","note":"_eprint: https://onlinelibrary.wiley.com/doi/pdf/10.1002/ajmg.b.30195","page":"5-16","source":"Wiley Online Library","title":"Transcriptional analysis of multiple brain regions in Parkinson's disease supports the involvement of specific protein processing, energy metabolism, and signaling pathways, and suggests novel disease mechanisms","volume":"137B","author":[{"family":"Zhang","given":"Yanli"},{"family":"James","given":"Michael"},{"family":"Middleton","given":"Frank A."},{"family":"Davis","given":"Richard L."}],"issued":{"date-parts":[["2005"]]}}}],"schema":"https://github.com/citation-style-language/schema/raw/master/csl-citation.json"} </w:instrText>
      </w:r>
      <w:r w:rsidRPr="00B70055">
        <w:fldChar w:fldCharType="separate"/>
      </w:r>
      <w:r w:rsidRPr="00B70055">
        <w:t>(Zhang et al., 2005)</w:t>
      </w:r>
      <w:r w:rsidRPr="00B70055">
        <w:fldChar w:fldCharType="end"/>
      </w:r>
      <w:r w:rsidRPr="00B70055">
        <w:t xml:space="preserve">; </w:t>
      </w:r>
      <w:hyperlink r:id="rId13" w:history="1">
        <w:r w:rsidRPr="00B70055">
          <w:rPr>
            <w:rStyle w:val="Hyperlink"/>
          </w:rPr>
          <w:t>GSE20186</w:t>
        </w:r>
      </w:hyperlink>
      <w:r w:rsidRPr="00B70055">
        <w:t xml:space="preserve"> </w:t>
      </w:r>
      <w:r w:rsidRPr="00B70055">
        <w:fldChar w:fldCharType="begin"/>
      </w:r>
      <w:r w:rsidRPr="00B70055">
        <w:instrText xml:space="preserve"> ADDIN ZOTERO_ITEM CSL_CITATION {"citationID":"atywe70m","properties":{"formattedCitation":"(Zheng et al., 2010)","plainCitation":"(Zheng et al., 2010)","noteIndex":0},"citationItems":[{"id":4287,"uris":["http://zotero.org/users/6460751/items/8B4JMN6L"],"itemData":{"id":4287,"type":"article-journal","abstract":"Parkinson’s disease affects 5 million people worldwide, but the molecular mechanisms underlying its pathogenesis are still unclear. Here, we report a genome-wide meta-analysis of gene sets (groups of genes that encode the same biological pathway or process) in 410 samples from patients with symptomatic Parkinson’s and subclinical disease and healthy controls. We analyzed 6.8 million raw data points from nine genome-wide expression studies, and 185 laser-captured human dopaminergic neuron and substantia nigra transcriptomes, followed by two-stage replication on three platforms. We found 10 gene sets with previously unknown associations with Parkinson’s disease. These gene sets pinpoint defects in mitochondrial electron transport, glucose utilization, and glucose sensing and reveal that they occur early in disease pathogenesis. Genes controlling cellular bioenergetics that are expressed in response to peroxisome proliferator–activated receptor γ coactivator-1α (PGC-1α) are underexpressed in Parkinson’s disease patients. Activation of PGC-1α results in increased expression of nuclear-encoded subunits of the mitochondrial respiratory chain and blocks the dopaminergic neuron loss induced by mutant α-synuclein or the pesticide rotenone in cellular disease models. Our systems biology analysis of Parkinson’s disease identifies PGC-1α as a potential therapeutic target for early intervention.","container-title":"Science translational medicine","DOI":"10.1126/scitranslmed.3001059","ISSN":"1946-6234","issue":"52","journalAbbreviation":"Sci Transl Med","note":"PMID: 20926834\nPMCID: PMC3129986","page":"52ra73","source":"PubMed Central","title":"PGC-1α, A Potential Therapeutic Target for Early Intervention in Parkinson’s Disease","volume":"2","author":[{"family":"Zheng","given":"Bin"},{"family":"Liao","given":"Zhixiang"},{"family":"Locascio","given":"Joseph J."},{"family":"Lesniak","given":"Kristen A."},{"family":"Roderick","given":"Sarah S."},{"family":"Watt","given":"Marla L."},{"family":"Eklund","given":"Aron C."},{"family":"Zhang-James","given":"Yanli"},{"family":"Kim","given":"Peter D."},{"family":"Hauser","given":"Michael A."},{"family":"Grünblatt","given":"Edna"},{"family":"Moran","given":"Linda B."},{"family":"Mandel","given":"Silvia A."},{"family":"Riederer","given":"Peter"},{"family":"Miller","given":"Renee M."},{"family":"Federoff","given":"Howard J."},{"family":"Wüllner","given":"Ullrich"},{"family":"Papapetropoulos","given":"Spyridon"},{"family":"Youdim","given":"Moussa B."},{"family":"Cantuti-Castelvetri","given":"Ippolita"},{"family":"Young","given":"Anne B."},{"family":"Vance","given":"Jeffery M."},{"family":"Davis","given":"Richard L."},{"family":"Hedreen","given":"John C."},{"family":"Adler","given":"Charles H."},{"family":"Beach","given":"Thomas G."},{"family":"Graeber","given":"Manuel B."},{"family":"Middleton","given":"Frank A."},{"family":"Rochet","given":"Jean-Christophe"},{"family":"Scherzer","given":"Clemens R."}],"issued":{"date-parts":[["2010",10,6]]}}}],"schema":"https://github.com/citation-style-language/schema/raw/master/csl-citation.json"} </w:instrText>
      </w:r>
      <w:r w:rsidRPr="00B70055">
        <w:fldChar w:fldCharType="separate"/>
      </w:r>
      <w:r w:rsidRPr="00B70055">
        <w:t>(Zheng et al., 2010)</w:t>
      </w:r>
      <w:r w:rsidRPr="00B70055">
        <w:fldChar w:fldCharType="end"/>
      </w:r>
      <w:r w:rsidRPr="00B70055">
        <w:t xml:space="preserve">. The original data series for GSE8397 contained expression data profiled using both the Affymetrix Human Genome U133A Array (GPL96) and the Affymetrix Human Genome U133B Array (GPL97). The original data series for GSE20186 contained expression data profiled using both the Affymetrix Human Genome U133A Array (GPL96) and the Illumina HumanHT-12 V3.0 expression </w:t>
      </w:r>
      <w:proofErr w:type="spellStart"/>
      <w:r w:rsidRPr="00B70055">
        <w:t>beadchip</w:t>
      </w:r>
      <w:proofErr w:type="spellEnd"/>
      <w:r w:rsidRPr="00B70055">
        <w:t xml:space="preserve"> (GPL6947). For the purposes of this study, only gene expression data profiled using the Affymetrix Human Genome U133A Array (GPL96)</w:t>
      </w:r>
      <w:r w:rsidR="00FD646F">
        <w:t xml:space="preserve"> </w:t>
      </w:r>
      <w:r w:rsidRPr="00B70055">
        <w:t>or the Affymetrix Human Genome U133 Plus 2.0 Array (GPL570) were used for analysis. These Affymetrix platforms were chosen because three out of the five datasets utilized the GPL96 platform, with the remaining two datasets making use of the GPL570 platform. The GPL96 and GPL570 platforms share 22,277 microarray probes in common, thus allowing for effective merging of the five different GEO data series. For comparison purposes, an independent laser-captured microdissection (LCM) microarray dataset was utilized (</w:t>
      </w:r>
      <w:hyperlink r:id="rId14" w:history="1">
        <w:r w:rsidRPr="00B70055">
          <w:rPr>
            <w:rStyle w:val="Hyperlink"/>
          </w:rPr>
          <w:t>GSE20141</w:t>
        </w:r>
      </w:hyperlink>
      <w:r w:rsidRPr="00B70055">
        <w:t xml:space="preserve">; </w:t>
      </w:r>
      <w:r w:rsidRPr="00B70055">
        <w:fldChar w:fldCharType="begin"/>
      </w:r>
      <w:r w:rsidRPr="00B70055">
        <w:instrText xml:space="preserve"> ADDIN ZOTERO_ITEM CSL_CITATION {"citationID":"OOpTQZU3","properties":{"formattedCitation":"(Zheng et al., 2010)","plainCitation":"(Zheng et al., 2010)","dontUpdate":true,"noteIndex":0},"citationItems":[{"id":4287,"uris":["http://zotero.org/users/6460751/items/8B4JMN6L"],"itemData":{"id":4287,"type":"article-journal","abstract":"Parkinson’s disease affects 5 million people worldwide, but the molecular mechanisms underlying its pathogenesis are still unclear. Here, we report a genome-wide meta-analysis of gene sets (groups of genes that encode the same biological pathway or process) in 410 samples from patients with symptomatic Parkinson’s and subclinical disease and healthy controls. We analyzed 6.8 million raw data points from nine genome-wide expression studies, and 185 laser-captured human dopaminergic neuron and substantia nigra transcriptomes, followed by two-stage replication on three platforms. We found 10 gene sets with previously unknown associations with Parkinson’s disease. These gene sets pinpoint defects in mitochondrial electron transport, glucose utilization, and glucose sensing and reveal that they occur early in disease pathogenesis. Genes controlling cellular bioenergetics that are expressed in response to peroxisome proliferator–activated receptor γ coactivator-1α (PGC-1α) are underexpressed in Parkinson’s disease patients. Activation of PGC-1α results in increased expression of nuclear-encoded subunits of the mitochondrial respiratory chain and blocks the dopaminergic neuron loss induced by mutant α-synuclein or the pesticide rotenone in cellular disease models. Our systems biology analysis of Parkinson’s disease identifies PGC-1α as a potential therapeutic target for early intervention.","container-title":"Science translational medicine","DOI":"10.1126/scitranslmed.3001059","ISSN":"1946-6234","issue":"52","journalAbbreviation":"Sci Transl Med","note":"PMID: 20926834\nPMCID: PMC3129986","page":"52ra73","source":"PubMed Central","title":"PGC-1α, A Potential Therapeutic Target for Early Intervention in Parkinson’s Disease","volume":"2","author":[{"family":"Zheng","given":"Bin"},{"family":"Liao","given":"Zhixiang"},{"family":"Locascio","given":"Joseph J."},{"family":"Lesniak","given":"Kristen A."},{"family":"Roderick","given":"Sarah S."},{"family":"Watt","given":"Marla L."},{"family":"Eklund","given":"Aron C."},{"family":"Zhang-James","given":"Yanli"},{"family":"Kim","given":"Peter D."},{"family":"Hauser","given":"Michael A."},{"family":"Grünblatt","given":"Edna"},{"family":"Moran","given":"Linda B."},{"family":"Mandel","given":"Silvia A."},{"family":"Riederer","given":"Peter"},{"family":"Miller","given":"Renee M."},{"family":"Federoff","given":"Howard J."},{"family":"Wüllner","given":"Ullrich"},{"family":"Papapetropoulos","given":"Spyridon"},{"family":"Youdim","given":"Moussa B."},{"family":"Cantuti-Castelvetri","given":"Ippolita"},{"family":"Young","given":"Anne B."},{"family":"Vance","given":"Jeffery M."},{"family":"Davis","given":"Richard L."},{"family":"Hedreen","given":"John C."},{"family":"Adler","given":"Charles H."},{"family":"Beach","given":"Thomas G."},{"family":"Graeber","given":"Manuel B."},{"family":"Middleton","given":"Frank A."},{"family":"Rochet","given":"Jean-Christophe"},{"family":"Scherzer","given":"Clemens R."}],"issued":{"date-parts":[["2010",10,6]]}}}],"schema":"https://github.com/citation-style-language/schema/raw/master/csl-citation.json"} </w:instrText>
      </w:r>
      <w:r w:rsidRPr="00B70055">
        <w:fldChar w:fldCharType="separate"/>
      </w:r>
      <w:r w:rsidRPr="00B70055">
        <w:t>Zheng et al., 2010)</w:t>
      </w:r>
      <w:r w:rsidRPr="00B70055">
        <w:fldChar w:fldCharType="end"/>
      </w:r>
      <w:r w:rsidRPr="00B70055">
        <w:t>. This study used LCM to quantify the expression of individual SN pars compacta (</w:t>
      </w:r>
      <w:proofErr w:type="spellStart"/>
      <w:r w:rsidRPr="00B70055">
        <w:t>SNc</w:t>
      </w:r>
      <w:proofErr w:type="spellEnd"/>
      <w:r w:rsidRPr="00B70055">
        <w:t>) neurons from post-mortem brains of 10 PD and 8 control cases. All raw expression data was downloaded in .</w:t>
      </w:r>
      <w:proofErr w:type="spellStart"/>
      <w:r w:rsidRPr="00B70055">
        <w:t>cel</w:t>
      </w:r>
      <w:proofErr w:type="spellEnd"/>
      <w:r w:rsidRPr="00B70055">
        <w:t xml:space="preserve"> file format.</w:t>
      </w:r>
    </w:p>
    <w:p w14:paraId="4E951B43" w14:textId="77777777" w:rsidR="00CF6CEC" w:rsidRDefault="00CF6CEC" w:rsidP="00BB6FC1">
      <w:pPr>
        <w:jc w:val="both"/>
        <w:rPr>
          <w:color w:val="2E2E2E"/>
        </w:rPr>
      </w:pPr>
    </w:p>
    <w:p w14:paraId="4D59F358" w14:textId="77777777" w:rsidR="00FD646F" w:rsidRDefault="00BB6FC1" w:rsidP="00BB6FC1">
      <w:pPr>
        <w:jc w:val="both"/>
      </w:pPr>
      <w:r w:rsidRPr="00BB6FC1">
        <w:rPr>
          <w:b/>
          <w:bCs/>
        </w:rPr>
        <w:t>Pre-processing</w:t>
      </w:r>
      <w:r w:rsidRPr="00BB6FC1">
        <w:tab/>
      </w:r>
      <w:r w:rsidRPr="00BB6FC1">
        <w:tab/>
      </w:r>
      <w:r w:rsidRPr="00BB6FC1">
        <w:tab/>
      </w:r>
      <w:r w:rsidRPr="00BB6FC1">
        <w:tab/>
      </w:r>
      <w:r w:rsidRPr="00BB6FC1">
        <w:tab/>
      </w:r>
      <w:r w:rsidRPr="00BB6FC1">
        <w:tab/>
      </w:r>
      <w:r w:rsidRPr="00BB6FC1">
        <w:tab/>
      </w:r>
      <w:r w:rsidRPr="00BB6FC1">
        <w:tab/>
      </w:r>
      <w:r w:rsidRPr="00BB6FC1">
        <w:tab/>
      </w:r>
      <w:r w:rsidR="00FD646F">
        <w:t xml:space="preserve">     </w:t>
      </w:r>
      <w:r w:rsidRPr="00BB6FC1">
        <w:t xml:space="preserve"> </w:t>
      </w:r>
    </w:p>
    <w:p w14:paraId="4301F337" w14:textId="1E472BCE" w:rsidR="00BB6FC1" w:rsidRDefault="00BB6FC1" w:rsidP="00BB6FC1">
      <w:pPr>
        <w:jc w:val="both"/>
      </w:pPr>
      <w:r w:rsidRPr="00BB6FC1">
        <w:t>Gene expression data from all five primary GEO data series w</w:t>
      </w:r>
      <w:r w:rsidR="00FD646F">
        <w:t>as</w:t>
      </w:r>
      <w:r w:rsidRPr="00BB6FC1">
        <w:t xml:space="preserve"> merged together. Merging was performed in order to improve statistical power</w:t>
      </w:r>
      <w:r w:rsidR="00FD646F">
        <w:t>,</w:t>
      </w:r>
      <w:r w:rsidRPr="00BB6FC1">
        <w:t xml:space="preserve"> to aid in the identification of more significant differentially expressed genes </w:t>
      </w:r>
      <w:r w:rsidRPr="00BB6FC1">
        <w:fldChar w:fldCharType="begin"/>
      </w:r>
      <w:r w:rsidRPr="00BB6FC1">
        <w:instrText xml:space="preserve"> ADDIN ZOTERO_ITEM CSL_CITATION {"citationID":"jig4I6Si","properties":{"formattedCitation":"(Taminau et al., 2014; Soto et al., 2015)","plainCitation":"(Taminau et al., 2014; Soto et al., 2015)","noteIndex":0},"citationItems":[{"id":4018,"uris":["http://zotero.org/users/6460751/items/NIQJ2BWS"],"itemData":{"id":4018,"type":"article-journal","abstract":"An increasing amount of microarray gene expression data sets is available through public repositories. Their huge potential in making new findings is yet to be unlocked by making them available for large-scale analysis. In order to do so it is essential that independent studies designed for similar biological problems can be integrated, so that new insights can be obtained. These insights would remain undiscovered when analyzing the individual data sets because it is well known that the small number of biological samples used per experiment is a bottleneck in genomic analysis. By increasing the number of samples the statistical power is increased and more general and reliable conclusions can be drawn. In this work, two different approaches for conducting large-scale analysis of microarray gene expression data—meta-analysis and data merging—are compared in the context of the identification of cancer-related biomarkers, by analyzing six independent lung cancer studies. Within this study, we investigate the hypothesis that analyzing large cohorts of samples resulting in merging independent data sets designed to study the same biological problem results in lower false discovery rates than analyzing the same data sets within a more conservative meta-analysis approach.","container-title":"ISRN Bioinformatics","DOI":"10.1155/2014/345106","language":"en","note":"publisher: Hindawi","page":"e345106","source":"www.hindawi.com","title":"Comparison of Merging and Meta-Analysis as Alternative Approaches for Integrative Gene Expression Analysis","volume":"2014","author":[{"family":"Taminau","given":"Jonatan"},{"family":"Lazar","given":"Cosmin"},{"family":"Meganck","given":"Stijn"},{"family":"Nowé","given":"Ann"}],"issued":{"date-parts":[["2014",1,12]]}},"label":"act"},{"id":4027,"uris":["http://zotero.org/users/6460751/items/2C6NQH8L"],"itemData":{"id":4027,"type":"paper-conference","container-title":"IEEE EUROCON 2015 - International Conference on Computer as a Tool (EUROCON)","DOI":"10.1109/EUROCON.2015.7313796","page":"1-5","title":"Integrative gene expression analysis of lung cancer based on a technology-merging approach","author":[{"family":"Soto","given":"J. M."},{"family":"Ortuño","given":"F. M."},{"family":"Rojas","given":"I."}],"issued":{"date-parts":[["2015"]]}},"label":"page"}],"schema":"https://github.com/citation-style-language/schema/raw/master/csl-citation.json"} </w:instrText>
      </w:r>
      <w:r w:rsidRPr="00BB6FC1">
        <w:fldChar w:fldCharType="separate"/>
      </w:r>
      <w:r w:rsidRPr="00BB6FC1">
        <w:t>(Taminau et al., 2014; Soto et al., 2015)</w:t>
      </w:r>
      <w:r w:rsidRPr="00BB6FC1">
        <w:fldChar w:fldCharType="end"/>
      </w:r>
      <w:r w:rsidRPr="00BB6FC1">
        <w:t xml:space="preserve">. Pre-processing and merging procedures </w:t>
      </w:r>
      <w:r w:rsidR="00FD646F">
        <w:t xml:space="preserve">were </w:t>
      </w:r>
      <w:r w:rsidR="00CF6CEC">
        <w:t>adapted from the</w:t>
      </w:r>
      <w:r w:rsidRPr="00BB6FC1">
        <w:t xml:space="preserve"> methodology utilized by </w:t>
      </w:r>
      <w:r w:rsidRPr="00BB6FC1">
        <w:fldChar w:fldCharType="begin"/>
      </w:r>
      <w:r w:rsidRPr="00BB6FC1">
        <w:instrText xml:space="preserve"> ADDIN ZOTERO_ITEM CSL_CITATION {"citationID":"u2qdBCgt","properties":{"formattedCitation":"(Fajarda et al., 2020)","plainCitation":"(Fajarda et al., 2020)","dontUpdate":true,"noteIndex":0},"citationItems":[{"id":3930,"uris":["http://zotero.org/users/6460751/items/CDK9Z6MU"],"itemData":{"id":3930,"type":"article-journal","abstract":"Heart disease is the leading cause of death worldwide. Knowing a gene expression signature in heart disease can lead to the development of more efficient diagnosis and treatments that may prevent premature deaths. A large amount of microarray data is available in public repositories and can be used to identify differentially expressed genes. However, most of the microarray datasets are composed of a reduced number of samples and to obtain more reliable results, several datasets have to be merged, which is a challenging task. The identification of differentially expressed genes is commonly done using statistical methods. Nonetheless, these methods are based on the definition of an arbitrary threshold to select the differentially expressed genes and there is no consensus on the values that should be used.","container-title":"BioData Mining","DOI":"10.1186/s13040-020-00217-8","ISSN":"1756-0381","issue":"1","journalAbbreviation":"BioData Mining","page":"8","source":"BioMed Central","title":"Merging microarray studies to identify a common gene expression signature to several structural heart diseases","volume":"13","author":[{"family":"Fajarda","given":"Olga"},{"family":"Duarte-Pereira","given":"Sara"},{"family":"Silva","given":"Raquel M."},{"family":"Oliveira","given":"José Luís"}],"issued":{"date-parts":[["2020",7,8]]}}}],"schema":"https://github.com/citation-style-language/schema/raw/master/csl-citation.json"} </w:instrText>
      </w:r>
      <w:r w:rsidRPr="00BB6FC1">
        <w:fldChar w:fldCharType="separate"/>
      </w:r>
      <w:r w:rsidRPr="00BB6FC1">
        <w:t>Fajarda et al. (2020</w:t>
      </w:r>
      <w:r w:rsidRPr="00BB6FC1">
        <w:fldChar w:fldCharType="end"/>
      </w:r>
      <w:r w:rsidRPr="00BB6FC1">
        <w:t xml:space="preserve">), the peer reviewed workflow by </w:t>
      </w:r>
      <w:r w:rsidRPr="00BB6FC1">
        <w:fldChar w:fldCharType="begin"/>
      </w:r>
      <w:r w:rsidRPr="00BB6FC1">
        <w:instrText xml:space="preserve"> ADDIN ZOTERO_ITEM CSL_CITATION {"citationID":"C9XmXUz8","properties":{"formattedCitation":"(Klaus and Reisenauer, 2018)","plainCitation":"(Klaus and Reisenauer, 2018)","dontUpdate":true,"noteIndex":0},"citationItems":[{"id":3972,"uris":["http://zotero.org/users/6460751/items/H79PPJGL"],"itemData":{"id":3972,"type":"report","abstract":"In this article, we walk through an end-to-end Affymetrix microarray differential expression workflow using Bioconductor packages. This workflow is directly applicable to current &amp;quot;Gene'' type arrays, e.g.the HuGene or MoGene arrays, but can easily be adapted to similar platforms. The data analyzed here is a typical clinical microarray data set that compares inflamed and non-inflamed colon tissue in two disease subtypes. For each disease, the differential gene expression between inflamed- and non-inflamed colon tissue was analyzed. We will start from the raw data CEL files, show how to import them into a Bioconductor ExpressionSet, perform quality control and normalization and finally differential gene expression (DE) analysis, followed by some enrichment analysis.","language":"en","license":"http://creativecommons.org/licenses/by/4.0/","note":"DOI: 10.12688/f1000research.8967.2\ntype: article","number":"5:1384","publisher":"F1000Research","source":"f1000research.com","title":"An end to end workflow for differential gene expression using Affymetrix microarrays","URL":"https://f1000research.com/articles/5-1384","author":[{"family":"Klaus","given":"Bernd"},{"family":"Reisenauer","given":"Stefanie"}],"accessed":{"date-parts":[["2022",6,23]]},"issued":{"date-parts":[["2018",7,3]]}}}],"schema":"https://github.com/citation-style-language/schema/raw/master/csl-citation.json"} </w:instrText>
      </w:r>
      <w:r w:rsidRPr="00BB6FC1">
        <w:fldChar w:fldCharType="separate"/>
      </w:r>
      <w:r w:rsidRPr="00BB6FC1">
        <w:t>Klaus and Reisenauer (2018</w:t>
      </w:r>
      <w:r w:rsidRPr="00BB6FC1">
        <w:fldChar w:fldCharType="end"/>
      </w:r>
      <w:r w:rsidRPr="00BB6FC1">
        <w:t xml:space="preserve">) and the limma package documentation (v3.52.1; </w:t>
      </w:r>
      <w:r w:rsidRPr="00BB6FC1">
        <w:fldChar w:fldCharType="begin"/>
      </w:r>
      <w:r w:rsidRPr="00BB6FC1">
        <w:instrText xml:space="preserve"> ADDIN ZOTERO_ITEM CSL_CITATION {"citationID":"vVKru8OM","properties":{"formattedCitation":"(Ritchie et al., 2015)","plainCitation":"(Ritchie et al., 2015)","dontUpdate":true,"noteIndex":0},"citationItems":[{"id":1705,"uris":["http://zotero.org/users/6460751/items/G37TULKH"],"itemData":{"id":1705,"type":"article-journal","abstract":"limma is an R/Bioconductor software package that provides an integrated solution for analysing data from gene expression experiments. It contains rich features for handling complex experimental designs and for information borrowing to overcome the problem of small sample sizes. Over the past decade, limma has been a popular choice for gene discovery through differential expression analyses of microarray and high-throughput PCR data. The package contains particularly strong facilities for reading, normalizing and exploring such data. Recently, the capabilities of limma have been significantly expanded in two important directions. First, the package can now perform both differential expression and differential splicing analyses of RNA sequencing (RNA-seq) data. All the downstream analysis tools previously restricted to microarray data are now available for RNA-seq as well. These capabilities allow users to analyse both RNA-seq and microarray data with very similar pipelines. Second, the package is now able to go past the traditional gene-wise expression analyses in a variety of ways, analysing expression profiles in terms of co-regulated sets of genes or in terms of higher-order expression signatures. This provides enhanced possibilities for biological interpretation of gene expression differences. This article reviews the philosophy and design of the limma package, summarizing both new and historical features, with an emphasis on recent enhancements and features that have not been previously described.","container-title":"Nucleic Acids Research","DOI":"10.1093/nar/gkv007","ISSN":"1362-4962","issue":"7","journalAbbreviation":"Nucleic Acids Res","language":"eng","note":"PMID: 25605792\nPMCID: PMC4402510","page":"e47","source":"PubMed","title":"limma powers differential expression analyses for RNA-sequencing and microarray studies","volume":"43","author":[{"family":"Ritchie","given":"Matthew E."},{"family":"Phipson","given":"Belinda"},{"family":"Wu","given":"Di"},{"family":"Hu","given":"Yifang"},{"family":"Law","given":"Charity W."},{"family":"Shi","given":"Wei"},{"family":"Smyth","given":"Gordon K."}],"issued":{"date-parts":[["2015",4,20]]}}}],"schema":"https://github.com/citation-style-language/schema/raw/master/csl-citation.json"} </w:instrText>
      </w:r>
      <w:r w:rsidRPr="00BB6FC1">
        <w:fldChar w:fldCharType="separate"/>
      </w:r>
      <w:r w:rsidRPr="00BB6FC1">
        <w:t>Ritchie et al., 2015)</w:t>
      </w:r>
      <w:r w:rsidRPr="00BB6FC1">
        <w:fldChar w:fldCharType="end"/>
      </w:r>
      <w:r w:rsidRPr="00BB6FC1">
        <w:t>. Raw .</w:t>
      </w:r>
      <w:proofErr w:type="spellStart"/>
      <w:r w:rsidRPr="00BB6FC1">
        <w:t>cel</w:t>
      </w:r>
      <w:proofErr w:type="spellEnd"/>
      <w:r w:rsidRPr="00BB6FC1">
        <w:t xml:space="preserve"> files were processed in R using the </w:t>
      </w:r>
      <w:proofErr w:type="spellStart"/>
      <w:r w:rsidRPr="00BB6FC1">
        <w:t>Affy</w:t>
      </w:r>
      <w:proofErr w:type="spellEnd"/>
      <w:r w:rsidRPr="00BB6FC1">
        <w:t xml:space="preserve"> package </w:t>
      </w:r>
      <w:r w:rsidRPr="00BB6FC1">
        <w:fldChar w:fldCharType="begin"/>
      </w:r>
      <w:r w:rsidRPr="00BB6FC1">
        <w:instrText xml:space="preserve"> ADDIN ZOTERO_ITEM CSL_CITATION {"citationID":"rTX37FIB","properties":{"formattedCitation":"(Gautier et al., 2004)","plainCitation":"(Gautier et al., 2004)","dontUpdate":true,"noteIndex":0},"citationItems":[{"id":3565,"uris":["http://zotero.org/users/6460751/items/QGDQ6M4W"],"itemData":{"id":3565,"type":"article-journal","abstract":"Motivation: The processing of the Affymetrix GeneChip data has been a recent focus for data analysts. Alternatives to the original procedure have been proposed and some of these new methods are widely used.Results: The affy package is an R package of functions and classes for the analysis of oligonucleotide arrays manufactured by Affymetrix. The package is currently in its second release, affy provides the user with extreme flexibility when carrying out an analysis and make it possible to access and manipulate probe intensity data. In this paper, we present the main classes and functions in the package and demonstrate how they can be used to process probe-level data. We also demonstrate the importance of probe-level analysis when using the Affymetrix GeneChip platform.","container-title":"Bioinformatics","DOI":"10.1093/bioinformatics/btg405","ISSN":"1367-4803","issue":"3","journalAbbreviation":"Bioinformatics","page":"307-315","source":"Silverchair","title":"affy—analysis of Affymetrix GeneChip data at the probe level","volume":"20","author":[{"family":"Gautier","given":"Laurent"},{"family":"Cope","given":"Leslie"},{"family":"Bolstad","given":"Benjamin M."},{"family":"Irizarry","given":"Rafael A."}],"issued":{"date-parts":[["2004",2,12]]}}}],"schema":"https://github.com/citation-style-language/schema/raw/master/csl-citation.json"} </w:instrText>
      </w:r>
      <w:r w:rsidRPr="00BB6FC1">
        <w:fldChar w:fldCharType="separate"/>
      </w:r>
      <w:r w:rsidRPr="00BB6FC1">
        <w:t>(v1.74.0; Gautier et al., 2004)</w:t>
      </w:r>
      <w:r w:rsidRPr="00BB6FC1">
        <w:fldChar w:fldCharType="end"/>
      </w:r>
      <w:r w:rsidRPr="00BB6FC1">
        <w:t xml:space="preserve">. Raw data profiled using the same platform (GPL96 or GPL570) were merged and the combined data underwent Robust Multi-Array Averaging (RMA), which performs the pre-processing methods of background correction, normalization and probe summarization </w:t>
      </w:r>
      <w:r w:rsidRPr="00BB6FC1">
        <w:fldChar w:fldCharType="begin"/>
      </w:r>
      <w:r w:rsidRPr="00BB6FC1">
        <w:instrText xml:space="preserve"> ADDIN ZOTERO_ITEM CSL_CITATION {"citationID":"cjltcdYe","properties":{"formattedCitation":"(Irizarry et al., 2003)","plainCitation":"(Irizarry et al., 2003)","noteIndex":0},"citationItems":[{"id":3551,"uris":["http://zotero.org/users/6460751/items/773VKP8Q"],"itemData":{"id":3551,"type":"article-journal","abstract":"In this paper we report exploratory analyses of high-density oligonucleotide array data from the Affymetrix GeneChip system with the objective of improving upon currently used measures of gene expression. Our analyses make use of three data sets: a small experimental study consisting of five MGU74A mouse GeneChip arrays, part of the data from an extensive spike-in study conducted by Gene Logic and Wyeth's Genetics Institute involving 95 HG-U95A human GeneChip arrays; and part of a dilution study conducted by Gene Logic involving 75 HG-U95A GeneChip arrays. We display some familiar features of the perfect match and mismatch probe (PM and MM) values of these data, and examine the variance-mean relationship with probe-level data from probes believed to be defective, and so delivering noise only. We explain why we need to normalize the arrays to one another using probe level intensities. We then examine the behavior of the PM and MM using spike-in data and assess three commonly used summary measures: Affymetrix's (i) average difference (AvDiff) and (ii) MAS 5.0 signal, and (iii) the Li and Wong multiplicative model-based expression index (MBEI). The exploratory data analyses of the probe level data motivate a new summary measure that is a robust multi-array average (RMA) of background-adjusted, normalized, and log-transformed PM values. We evaluate the four expression summary measures using the dilution study data, assessing their behavior in terms of bias, variance and (for MBEI and RMA) model fit. Finally, we evaluate the algorithms in terms of their ability to detect known levels of differential expression using the spike-in data. We conclude that there is no obvious downside to using RMA and attaching a standard error (SE) to this quantity using a linear model which removes probe-specific affinities.","container-title":"Biostatistics (Oxford, England)","DOI":"10.1093/biostatistics/4.2.249","ISSN":"1465-4644","issue":"2","journalAbbreviation":"Biostatistics","language":"eng","note":"PMID: 12925520","page":"249-264","source":"PubMed","title":"Exploration, normalization, and summaries of high density oligonucleotide array probe level data","volume":"4","author":[{"family":"Irizarry","given":"Rafael A."},{"family":"Hobbs","given":"Bridget"},{"family":"Collin","given":"Francois"},{"family":"Beazer-Barclay","given":"Yasmin D."},{"family":"Antonellis","given":"Kristen J."},{"family":"Scherf","given":"Uwe"},{"family":"Speed","given":"Terence P."}],"issued":{"date-parts":[["2003",4]]}}}],"schema":"https://github.com/citation-style-language/schema/raw/master/csl-citation.json"} </w:instrText>
      </w:r>
      <w:r w:rsidRPr="00BB6FC1">
        <w:fldChar w:fldCharType="separate"/>
      </w:r>
      <w:r w:rsidRPr="00BB6FC1">
        <w:t>(Irizarry et al., 2003)</w:t>
      </w:r>
      <w:r w:rsidRPr="00BB6FC1">
        <w:fldChar w:fldCharType="end"/>
      </w:r>
      <w:r w:rsidRPr="00BB6FC1">
        <w:t xml:space="preserve">. Phenotype and feature data for all samples and probes was identified using the </w:t>
      </w:r>
      <w:proofErr w:type="spellStart"/>
      <w:r w:rsidRPr="00BB6FC1">
        <w:t>GEOquery</w:t>
      </w:r>
      <w:proofErr w:type="spellEnd"/>
      <w:r w:rsidRPr="00BB6FC1">
        <w:t xml:space="preserve"> package (v2.64.2; </w:t>
      </w:r>
      <w:r w:rsidRPr="00BB6FC1">
        <w:fldChar w:fldCharType="begin"/>
      </w:r>
      <w:r w:rsidRPr="00BB6FC1">
        <w:instrText xml:space="preserve"> ADDIN ZOTERO_ITEM CSL_CITATION {"citationID":"9ALli3hd","properties":{"formattedCitation":"(Davis and Meltzer, 2007)","plainCitation":"(Davis and Meltzer, 2007)","dontUpdate":true,"noteIndex":0},"citationItems":[{"id":4028,"uris":["http://zotero.org/users/6460751/items/2QNQW5ZK"],"itemData":{"id":4028,"type":"article-journal","abstract":"Microarray technology has become a standard molecular biology tool. Experimental data have been generated on a huge number of organisms, tissue types, treatment conditions and disease states. The Gene Expression Omnibus (Barrett et al., 2005), developed by the National Center for Bioinformatics (NCBI) at the National Institutes of Health is a repository of nearly 140,000 gene expression experiments. The BioConductor project (Gentleman et al., 2004) is an open-source and open-development software project built in the R statistical programming environment (R Development core Team, 2005) for the analysis and comprehension of genomic data. The tools contained in the BioConductor project represent many state-of-the-art methods for the analysis of microarray and genomics data. We have developed a software tool that allows access to the wealth of information within GEO directly from BioConductor, eliminating many the formatting and parsing problems that have made such analyses labor-intensive in the past. The software, called GEOquery, effectively establishes a bridge between GEO and BioConductor. Easy access to GEO data from BioConductor will likely lead to new analyses of GEO data using novel and rigorous statistical and bioinformatic tools. Facilitating analyses and meta-analyses of microarray data will increase the efficiency with which biologically important conclusions can be drawn from published genomic data.\nAVAILABILITY: GEOquery is available as part of the BioConductor project.","container-title":"Bioinformatics (Oxford, England)","DOI":"10.1093/bioinformatics/btm254","ISSN":"1367-4811","issue":"14","journalAbbreviation":"Bioinformatics","language":"eng","note":"PMID: 17496320","page":"1846-1847","source":"PubMed","title":"GEOquery: a bridge between the Gene Expression Omnibus (GEO) and BioConductor","title-short":"GEOquery","volume":"23","author":[{"family":"Davis","given":"Sean"},{"family":"Meltzer","given":"Paul S."}],"issued":{"date-parts":[["2007",7,15]]}}}],"schema":"https://github.com/citation-style-language/schema/raw/master/csl-citation.json"} </w:instrText>
      </w:r>
      <w:r w:rsidRPr="00BB6FC1">
        <w:fldChar w:fldCharType="separate"/>
      </w:r>
      <w:r w:rsidRPr="00BB6FC1">
        <w:t>Davis and Meltzer, 2007)</w:t>
      </w:r>
      <w:r w:rsidRPr="00BB6FC1">
        <w:fldChar w:fldCharType="end"/>
      </w:r>
      <w:r w:rsidRPr="00BB6FC1">
        <w:t xml:space="preserve">. Sample metadata was filtered to remove any samples not sourced from SN tissue and cases that were not diagnosed </w:t>
      </w:r>
      <w:r w:rsidR="00FD646F">
        <w:t xml:space="preserve">with </w:t>
      </w:r>
      <w:r w:rsidRPr="00BB6FC1">
        <w:t xml:space="preserve">PD. There were 22,277 probe identifiers shared between both the GPL96 and GPL570 platforms. Using these common probe identifiers and the filtered metadata, the RMA processed data across each platform was merged. For probes mapping to no gene symbol or Entrez identifier, the </w:t>
      </w:r>
      <w:proofErr w:type="spellStart"/>
      <w:r w:rsidRPr="00BB6FC1">
        <w:t>biomaRt</w:t>
      </w:r>
      <w:proofErr w:type="spellEnd"/>
      <w:r w:rsidRPr="00BB6FC1">
        <w:t xml:space="preserve"> package was used to attempt annotation (v2.52.0;</w:t>
      </w:r>
      <w:r w:rsidRPr="00BB6FC1">
        <w:fldChar w:fldCharType="begin"/>
      </w:r>
      <w:r w:rsidRPr="00BB6FC1">
        <w:instrText xml:space="preserve"> ADDIN ZOTERO_ITEM CSL_CITATION {"citationID":"Dgq70z2g","properties":{"formattedCitation":"(Durinck et al., 2009)","plainCitation":"(Durinck et al., 2009)","dontUpdate":true,"noteIndex":0},"citationItems":[{"id":4031,"uris":["http://zotero.org/users/6460751/items/TC7627KK"],"itemData":{"id":4031,"type":"article-journal","abstract":"Genomic experiments produce multiple views of biological systems, among them are DNA sequence and copy number variation, and mRNA and protein abundance. Understanding these systems needs integrated bioinformatic analysis. Public databases such as Ensembl provide relationships and mappings between the relevant sets of probe and target molecules. However, the relationships can be biologically complex and the content of the databases is dynamic. We demonstrate how to use the computational environment R to integrate and jointly analyze experimental datasets, employing BioMart web services to provide the molecule mappings. We also discuss typical problems that are encountered in making gene-to-transcript-to-protein mappings. The approach provides a flexible, programmable and reproducible basis for state-of-the-art bioinformatic data integration.","container-title":"Nature Protocols","DOI":"10.1038/nprot.2009.97","ISSN":"1750-2799","issue":"8","journalAbbreviation":"Nat Protoc","language":"eng","note":"PMID: 19617889\nPMCID: PMC3159387","page":"1184-1191","source":"PubMed","title":"Mapping identifiers for the integration of genomic datasets with the R/Bioconductor package biomaRt","volume":"4","author":[{"family":"Durinck","given":"Steffen"},{"family":"Spellman","given":"Paul T."},{"family":"Birney","given":"Ewan"},{"family":"Huber","given":"Wolfgang"}],"issued":{"date-parts":[["2009"]]}}}],"schema":"https://github.com/citation-style-language/schema/raw/master/csl-citation.json"} </w:instrText>
      </w:r>
      <w:r w:rsidRPr="00BB6FC1">
        <w:fldChar w:fldCharType="separate"/>
      </w:r>
      <w:r w:rsidRPr="00BB6FC1">
        <w:t xml:space="preserve"> Durinck et al., 2009)</w:t>
      </w:r>
      <w:r w:rsidRPr="00BB6FC1">
        <w:fldChar w:fldCharType="end"/>
      </w:r>
      <w:r w:rsidRPr="00BB6FC1">
        <w:t xml:space="preserve">. Remaining probes with missing annotation were removed. </w:t>
      </w:r>
      <w:r w:rsidRPr="00BB6FC1">
        <w:lastRenderedPageBreak/>
        <w:t xml:space="preserve">Probes mapping to multiple gene symbols were also removed. Different probe identifiers mapping to the same gene symbol were not removed in the pre-processing stage. These probes were deemed to represent distinct transcripts and it has been recommended that they be treated independently and not averaged per sample </w:t>
      </w:r>
      <w:r w:rsidRPr="00BB6FC1">
        <w:fldChar w:fldCharType="begin"/>
      </w:r>
      <w:r w:rsidRPr="00BB6FC1">
        <w:instrText xml:space="preserve"> ADDIN ZOTERO_ITEM CSL_CITATION {"citationID":"8M8KF9Nc","properties":{"formattedCitation":"(Stalteri and Harrison, 2007)","plainCitation":"(Stalteri and Harrison, 2007)","noteIndex":0},"citationItems":[{"id":3967,"uris":["http://zotero.org/users/6460751/items/436R9FBS"],"itemData":{"id":3967,"type":"article-journal","abstract":"Background\nAffymetrix GeneChip technology enables the parallel observations of tens of thousands of genes. It is important that the probe set annotations are reliable so that biological inferences can be made about genes which undergo differential expression. Probe sets representing the same gene might be expected to show similar fold changes/z-scores, however this is in fact not the case.\n\nResults\nWe have made a case study of the mouse Surf4, chosen because it is a gene that was reported to be represented by the same eight probe sets on the MOE430A array by both Affymetrix and Bioconductor in early 2004. Only five of the probe sets actually detect Surf4 transcripts. Two of the probe sets detect splice variants of Surf2. We have also studied the expression changes of the eight probe sets in a public-domain microarray experiment. The transcripts for Surf4 are correlated in time, and similarly the transcripts for Surf2 are also correlated in time. However, the transcripts for Surf4 and Surf2 are not correlated. This proof of principle shows that observations of expression can be used to confirm, or otherwise, annotation discrepancies., We have also investigated groups of probe sets on the RAE230A array that are assigned to the same LocusID, but which show large variances in differential expression in any one of three different experiments on rat. The probe set groups with high variances are found to represent cases of alternative splicing, use of alternative poly(A) signals, or incorrect annotations.\n\nConclusion\nOur results indicate that some probe sets should not be considered as unique measures of transcription, because the individual probes map to more than one transcript dependent upon the biological condition. Our results highlight the need for care when assessing whether groups of probe sets all measure the same transcript.","container-title":"BMC Bioinformatics","DOI":"10.1186/1471-2105-8-13","ISSN":"1471-2105","journalAbbreviation":"BMC Bioinformatics","note":"PMID: 17224057\nPMCID: PMC1784106","page":"13","source":"PubMed Central","title":"Interpretation of multiple probe sets mapping to the same gene in Affymetrix GeneChips","volume":"8","author":[{"family":"Stalteri","given":"Maria A"},{"family":"Harrison","given":"Andrew P"}],"issued":{"date-parts":[["2007",1,15]]}}}],"schema":"https://github.com/citation-style-language/schema/raw/master/csl-citation.json"} </w:instrText>
      </w:r>
      <w:r w:rsidRPr="00BB6FC1">
        <w:fldChar w:fldCharType="separate"/>
      </w:r>
      <w:r w:rsidRPr="00BB6FC1">
        <w:t>(Stalteri and Harrison, 2007)</w:t>
      </w:r>
      <w:r w:rsidRPr="00BB6FC1">
        <w:fldChar w:fldCharType="end"/>
      </w:r>
      <w:r w:rsidRPr="00BB6FC1">
        <w:t>. After filtering, 19,675 probes remained. Before conducting downstream analysis, the data was screened for batch effects and outlying samples. Principal component analysis (PCA), pairwise sample correlation analysis and sample clustering were performed. As expected</w:t>
      </w:r>
      <w:r w:rsidR="00FD646F">
        <w:t>,</w:t>
      </w:r>
      <w:r w:rsidR="0052680A">
        <w:t xml:space="preserve"> </w:t>
      </w:r>
      <w:r w:rsidRPr="00BB6FC1">
        <w:t>a significant batch effect was introduced by the two differ</w:t>
      </w:r>
      <w:r w:rsidR="00FD646F">
        <w:t>ent</w:t>
      </w:r>
      <w:r w:rsidRPr="00BB6FC1">
        <w:t xml:space="preserve"> microarray platforms. Two distinct outlying samples were also detected, GSM506020 and GSM508732. To account for these outliers, the full pre-processing and merging procedures were repeated but with both outliers removed, reducing the final number of samples to 142 (63/79 control/PD split). The batch effect was accounted for within the downstream DE analysis</w:t>
      </w:r>
      <w:r>
        <w:t xml:space="preserve">. </w:t>
      </w:r>
      <w:r w:rsidRPr="00BB6FC1">
        <w:t>The comparison LCM data series (</w:t>
      </w:r>
      <w:hyperlink r:id="rId15" w:history="1">
        <w:r w:rsidRPr="00BB6FC1">
          <w:rPr>
            <w:rStyle w:val="Hyperlink"/>
          </w:rPr>
          <w:t>GSE20141</w:t>
        </w:r>
      </w:hyperlink>
      <w:r w:rsidRPr="00BB6FC1">
        <w:t xml:space="preserve">) was pre-processed in the same manner as the merged dataset, undergoing RMA, </w:t>
      </w:r>
      <w:proofErr w:type="spellStart"/>
      <w:r w:rsidRPr="00BB6FC1">
        <w:t>biomaRt</w:t>
      </w:r>
      <w:proofErr w:type="spellEnd"/>
      <w:r w:rsidRPr="00BB6FC1">
        <w:t xml:space="preserve"> annotation, probe filtering and outlier detection. No outliers were detected. After pre-processing, the comparison expression matrix contained 41,762 probes and 18 samples.</w:t>
      </w:r>
    </w:p>
    <w:p w14:paraId="7FEA62B8" w14:textId="5DDA2E2B" w:rsidR="00BB6FC1" w:rsidRDefault="00BB6FC1" w:rsidP="00BB6FC1">
      <w:pPr>
        <w:jc w:val="both"/>
      </w:pPr>
    </w:p>
    <w:p w14:paraId="64C83913" w14:textId="6708D555" w:rsidR="00BB6FC1" w:rsidRPr="00BB6FC1" w:rsidRDefault="00BB6FC1" w:rsidP="00BB6FC1">
      <w:pPr>
        <w:rPr>
          <w:b/>
          <w:bCs/>
        </w:rPr>
      </w:pPr>
      <w:r w:rsidRPr="00BB6FC1">
        <w:rPr>
          <w:b/>
          <w:bCs/>
        </w:rPr>
        <w:t xml:space="preserve">Differential Gene Expression Analysis </w:t>
      </w:r>
    </w:p>
    <w:p w14:paraId="704271EE" w14:textId="0DA5534D" w:rsidR="00BB6FC1" w:rsidRPr="00BB6FC1" w:rsidRDefault="00BB6FC1" w:rsidP="00BB6FC1">
      <w:pPr>
        <w:jc w:val="both"/>
      </w:pPr>
      <w:r w:rsidRPr="00BB6FC1">
        <w:t xml:space="preserve">DE analysis was performed using the limma package in R </w:t>
      </w:r>
      <w:r w:rsidRPr="00BB6FC1">
        <w:fldChar w:fldCharType="begin"/>
      </w:r>
      <w:r w:rsidRPr="00BB6FC1">
        <w:instrText xml:space="preserve"> ADDIN ZOTERO_ITEM CSL_CITATION {"citationID":"UGKVrxNK","properties":{"formattedCitation":"(Ritchie et al., 2015)","plainCitation":"(Ritchie et al., 2015)","dontUpdate":true,"noteIndex":0},"citationItems":[{"id":1705,"uris":["http://zotero.org/users/6460751/items/G37TULKH"],"itemData":{"id":1705,"type":"article-journal","abstract":"limma is an R/Bioconductor software package that provides an integrated solution for analysing data from gene expression experiments. It contains rich features for handling complex experimental designs and for information borrowing to overcome the problem of small sample sizes. Over the past decade, limma has been a popular choice for gene discovery through differential expression analyses of microarray and high-throughput PCR data. The package contains particularly strong facilities for reading, normalizing and exploring such data. Recently, the capabilities of limma have been significantly expanded in two important directions. First, the package can now perform both differential expression and differential splicing analyses of RNA sequencing (RNA-seq) data. All the downstream analysis tools previously restricted to microarray data are now available for RNA-seq as well. These capabilities allow users to analyse both RNA-seq and microarray data with very similar pipelines. Second, the package is now able to go past the traditional gene-wise expression analyses in a variety of ways, analysing expression profiles in terms of co-regulated sets of genes or in terms of higher-order expression signatures. This provides enhanced possibilities for biological interpretation of gene expression differences. This article reviews the philosophy and design of the limma package, summarizing both new and historical features, with an emphasis on recent enhancements and features that have not been previously described.","container-title":"Nucleic Acids Research","DOI":"10.1093/nar/gkv007","ISSN":"1362-4962","issue":"7","journalAbbreviation":"Nucleic Acids Res","language":"eng","note":"PMID: 25605792\nPMCID: PMC4402510","page":"e47","source":"PubMed","title":"limma powers differential expression analyses for RNA-sequencing and microarray studies","volume":"43","author":[{"family":"Ritchie","given":"Matthew E."},{"family":"Phipson","given":"Belinda"},{"family":"Wu","given":"Di"},{"family":"Hu","given":"Yifang"},{"family":"Law","given":"Charity W."},{"family":"Shi","given":"Wei"},{"family":"Smyth","given":"Gordon K."}],"issued":{"date-parts":[["2015",4,20]]}}}],"schema":"https://github.com/citation-style-language/schema/raw/master/csl-citation.json"} </w:instrText>
      </w:r>
      <w:r w:rsidRPr="00BB6FC1">
        <w:fldChar w:fldCharType="separate"/>
      </w:r>
      <w:r w:rsidRPr="00BB6FC1">
        <w:t>(v3.52.1; Ritchie et al., 2015)</w:t>
      </w:r>
      <w:r w:rsidRPr="00BB6FC1">
        <w:fldChar w:fldCharType="end"/>
      </w:r>
      <w:r w:rsidRPr="00BB6FC1">
        <w:t xml:space="preserve">. The analysis procedure was in line with the limma documentation and inspired by the methodology utilized by </w:t>
      </w:r>
      <w:r w:rsidRPr="00BB6FC1">
        <w:fldChar w:fldCharType="begin"/>
      </w:r>
      <w:r w:rsidRPr="00BB6FC1">
        <w:instrText xml:space="preserve"> ADDIN ZOTERO_ITEM CSL_CITATION {"citationID":"Pac1BDlC","properties":{"formattedCitation":"(Fajarda et al., 2020)","plainCitation":"(Fajarda et al., 2020)","dontUpdate":true,"noteIndex":0},"citationItems":[{"id":3930,"uris":["http://zotero.org/users/6460751/items/CDK9Z6MU"],"itemData":{"id":3930,"type":"article-journal","abstract":"Heart disease is the leading cause of death worldwide. Knowing a gene expression signature in heart disease can lead to the development of more efficient diagnosis and treatments that may prevent premature deaths. A large amount of microarray data is available in public repositories and can be used to identify differentially expressed genes. However, most of the microarray datasets are composed of a reduced number of samples and to obtain more reliable results, several datasets have to be merged, which is a challenging task. The identification of differentially expressed genes is commonly done using statistical methods. Nonetheless, these methods are based on the definition of an arbitrary threshold to select the differentially expressed genes and there is no consensus on the values that should be used.","container-title":"BioData Mining","DOI":"10.1186/s13040-020-00217-8","ISSN":"1756-0381","issue":"1","journalAbbreviation":"BioData Mining","page":"8","source":"BioMed Central","title":"Merging microarray studies to identify a common gene expression signature to several structural heart diseases","volume":"13","author":[{"family":"Fajarda","given":"Olga"},{"family":"Duarte-Pereira","given":"Sara"},{"family":"Silva","given":"Raquel M."},{"family":"Oliveira","given":"José Luís"}],"issued":{"date-parts":[["2020",7,8]]}}}],"schema":"https://github.com/citation-style-language/schema/raw/master/csl-citation.json"} </w:instrText>
      </w:r>
      <w:r w:rsidRPr="00BB6FC1">
        <w:fldChar w:fldCharType="separate"/>
      </w:r>
      <w:r w:rsidRPr="00BB6FC1">
        <w:t>Fajarda et al. (2020</w:t>
      </w:r>
      <w:r w:rsidRPr="00BB6FC1">
        <w:fldChar w:fldCharType="end"/>
      </w:r>
      <w:r w:rsidRPr="00BB6FC1">
        <w:t xml:space="preserve">) and the workflow published by </w:t>
      </w:r>
      <w:r w:rsidRPr="00BB6FC1">
        <w:fldChar w:fldCharType="begin"/>
      </w:r>
      <w:r w:rsidRPr="00BB6FC1">
        <w:instrText xml:space="preserve"> ADDIN ZOTERO_ITEM CSL_CITATION {"citationID":"zVgT82Lb","properties":{"formattedCitation":"(Klaus and Reisenauer, 2018)","plainCitation":"(Klaus and Reisenauer, 2018)","dontUpdate":true,"noteIndex":0},"citationItems":[{"id":3972,"uris":["http://zotero.org/users/6460751/items/H79PPJGL"],"itemData":{"id":3972,"type":"report","abstract":"In this article, we walk through an end-to-end Affymetrix microarray differential expression workflow using Bioconductor packages. This workflow is directly applicable to current &amp;quot;Gene'' type arrays, e.g.the HuGene or MoGene arrays, but can easily be adapted to similar platforms. The data analyzed here is a typical clinical microarray data set that compares inflamed and non-inflamed colon tissue in two disease subtypes. For each disease, the differential gene expression between inflamed- and non-inflamed colon tissue was analyzed. We will start from the raw data CEL files, show how to import them into a Bioconductor ExpressionSet, perform quality control and normalization and finally differential gene expression (DE) analysis, followed by some enrichment analysis.","language":"en","license":"http://creativecommons.org/licenses/by/4.0/","note":"DOI: 10.12688/f1000research.8967.2\ntype: article","number":"5:1384","publisher":"F1000Research","source":"f1000research.com","title":"An end to end workflow for differential gene expression using Affymetrix microarrays","URL":"https://f1000research.com/articles/5-1384","author":[{"family":"Klaus","given":"Bernd"},{"family":"Reisenauer","given":"Stefanie"}],"accessed":{"date-parts":[["2022",6,23]]},"issued":{"date-parts":[["2018",7,3]]}}}],"schema":"https://github.com/citation-style-language/schema/raw/master/csl-citation.json"} </w:instrText>
      </w:r>
      <w:r w:rsidRPr="00BB6FC1">
        <w:fldChar w:fldCharType="separate"/>
      </w:r>
      <w:r w:rsidRPr="00BB6FC1">
        <w:t>Klaus and Reisenauer (2018</w:t>
      </w:r>
      <w:r w:rsidRPr="00BB6FC1">
        <w:fldChar w:fldCharType="end"/>
      </w:r>
      <w:r w:rsidRPr="00BB6FC1">
        <w:t xml:space="preserve">). The gene expression array used in performing this analysis was the filtered merged microarray generated as a result of the pre-processing stage. This array consisted of 19,675 probes and 142 samples, 63 of which were healthy controls, the remaining 79 being PD samples. Firstly, lowly expressed probes were filtered from the merged array. Lowly expressed probes were those which had an expression intensity below a certain threshold in at least 63 samples (number of samples in smallest experimental condition). Filtering of said probes is recommended by the limma documentation and has been shown to improve the sensitivity of DEG identification </w:t>
      </w:r>
      <w:r w:rsidRPr="00BB6FC1">
        <w:fldChar w:fldCharType="begin"/>
      </w:r>
      <w:r w:rsidRPr="00BB6FC1">
        <w:instrText xml:space="preserve"> ADDIN ZOTERO_ITEM CSL_CITATION {"citationID":"6d9rhBrO","properties":{"formattedCitation":"(Bourgon et al., 2010; Ritchie et al., 2015; Sha et al., 2015; Klaus and Reisenauer, 2018)","plainCitation":"(Bourgon et al., 2010; Ritchie et al., 2015; Sha et al., 2015; Klaus and Reisenauer, 2018)","noteIndex":0},"citationItems":[{"id":4038,"uris":["http://zotero.org/users/6460751/items/FBX26EYE"],"itemData":{"id":4038,"type":"article-journal","abstract":"With high-dimensional data, variable-by-variable statistical testing is often used to select variables whose behavior differs across conditions. Such an approach requires adjustment for multiple testing, which can result in low statistical power. A two-stage approach that first filters variables by a criterion independent of the test statistic, and then only tests variables which pass the filter, can provide higher power. We show that use of some filter/test statistics pairs presented in the literature may, however, lead to loss of type I error control. We describe other pairs which avoid this problem. In an application to microarray data, we found that gene-by-gene filtering by overall variance followed by a t-test increased the number of discoveries by 50%. We also show that this particular statistic pair induces a lower bound on fold-change among the set of discoveries. Independent filtering—using filter/test pairs that are independent under the null hypothesis but correlated under the alternative—is a general approach that can substantially increase the efficiency of experiments.","container-title":"Proceedings of the National Academy of Sciences of the United States of America","DOI":"10.1073/pnas.0914005107","ISSN":"0027-8424","issue":"21","journalAbbreviation":"Proc Natl Acad Sci U S A","note":"PMID: 20460310\nPMCID: PMC2906865","page":"9546-9551","source":"PubMed Central","title":"Independent filtering increases detection power for high-throughput experiments","volume":"107","author":[{"family":"Bourgon","given":"Richard"},{"family":"Gentleman","given":"Robert"},{"family":"Huber","given":"Wolfgang"}],"issued":{"date-parts":[["2010",5,25]]}}},{"id":1705,"uris":["http://zotero.org/users/6460751/items/G37TULKH"],"itemData":{"id":1705,"type":"article-journal","abstract":"limma is an R/Bioconductor software package that provides an integrated solution for analysing data from gene expression experiments. It contains rich features for handling complex experimental designs and for information borrowing to overcome the problem of small sample sizes. Over the past decade, limma has been a popular choice for gene discovery through differential expression analyses of microarray and high-throughput PCR data. The package contains particularly strong facilities for reading, normalizing and exploring such data. Recently, the capabilities of limma have been significantly expanded in two important directions. First, the package can now perform both differential expression and differential splicing analyses of RNA sequencing (RNA-seq) data. All the downstream analysis tools previously restricted to microarray data are now available for RNA-seq as well. These capabilities allow users to analyse both RNA-seq and microarray data with very similar pipelines. Second, the package is now able to go past the traditional gene-wise expression analyses in a variety of ways, analysing expression profiles in terms of co-regulated sets of genes or in terms of higher-order expression signatures. This provides enhanced possibilities for biological interpretation of gene expression differences. This article reviews the philosophy and design of the limma package, summarizing both new and historical features, with an emphasis on recent enhancements and features that have not been previously described.","container-title":"Nucleic Acids Research","DOI":"10.1093/nar/gkv007","ISSN":"1362-4962","issue":"7","journalAbbreviation":"Nucleic Acids Res","language":"eng","note":"PMID: 25605792\nPMCID: PMC4402510","page":"e47","source":"PubMed","title":"limma powers differential expression analyses for RNA-sequencing and microarray studies","volume":"43","author":[{"family":"Ritchie","given":"Matthew E."},{"family":"Phipson","given":"Belinda"},{"family":"Wu","given":"Di"},{"family":"Hu","given":"Yifang"},{"family":"Law","given":"Charity W."},{"family":"Shi","given":"Wei"},{"family":"Smyth","given":"Gordon K."}],"issued":{"date-parts":[["2015",4,20]]}}},{"id":3952,"uris":["http://zotero.org/users/6460751/items/TPSC5E7R"],"itemData":{"id":3952,"type":"article-journal","abstract":"We compare methods for filtering RNA-seq lowexpression genes and investigate the effect of filtering on detection of differentially expressed genes (DEGs). Although RNA-seq technology has improved the dynamic range of gene expression quantification, low-expression genes may be indistinguishable from sampling noise. The presence of noisy, low-expression genes can decrease the sensitivity of detecting DEGs. Thus, identification and filtering of these low-expression genes may improve DEG detection sensitivity. Using the SEQC benchmark dataset, we investigate the effect of different filtering methods on DEG detection sensitivity. Moreover, we investigate the effect of RNA-seq pipelines on optimal filtering thresholds. Results indicate that the filtering threshold that maximizes the total number of DEGs closely corresponds to the threshold that maximizes DEG detection sensitivity. Transcriptome reference annotation, expression quantification method, and DEG detection method are statistically significant RNA-seq pipeline factors that affect the optimal filtering threshold.","container-title":"Conference proceedings : ... Annual International Conference of the IEEE Engineering in Medicine and Biology Society. IEEE Engineering in Medicine and Biology Society. Annual Conference","DOI":"10.1109/EMBC.2015.7319872","ISSN":"1557-170X","journalAbbreviation":"Conf Proc IEEE Eng Med Biol Soc","note":"PMID: 26737772\nPMCID: PMC4983442","page":"6461-6464","source":"PubMed Central","title":"Effect of low-expression gene filtering on detection of differentially expressed genes in RNA-seq data","volume":"2015","author":[{"family":"Sha","given":"Ying"},{"family":"Phan","given":"John H."},{"family":"Wang","given":"May D."}],"issued":{"date-parts":[["2015"]]}}},{"id":3972,"uris":["http://zotero.org/users/6460751/items/H79PPJGL"],"itemData":{"id":3972,"type":"report","abstract":"In this article, we walk through an end-to-end Affymetrix microarray differential expression workflow using Bioconductor packages. This workflow is directly applicable to current &amp;quot;Gene'' type arrays, e.g.the HuGene or MoGene arrays, but can easily be adapted to similar platforms. The data analyzed here is a typical clinical microarray data set that compares inflamed and non-inflamed colon tissue in two disease subtypes. For each disease, the differential gene expression between inflamed- and non-inflamed colon tissue was analyzed. We will start from the raw data CEL files, show how to import them into a Bioconductor ExpressionSet, perform quality control and normalization and finally differential gene expression (DE) analysis, followed by some enrichment analysis.","language":"en","license":"http://creativecommons.org/licenses/by/4.0/","note":"DOI: 10.12688/f1000research.8967.2\ntype: article","number":"5:1384","publisher":"F1000Research","source":"f1000research.com","title":"An end to end workflow for differential gene expression using Affymetrix microarrays","URL":"https://f1000research.com/articles/5-1384","author":[{"family":"Klaus","given":"Bernd"},{"family":"Reisenauer","given":"Stefanie"}],"accessed":{"date-parts":[["2022",6,23]]},"issued":{"date-parts":[["2018",7,3]]}}}],"schema":"https://github.com/citation-style-language/schema/raw/master/csl-citation.json"} </w:instrText>
      </w:r>
      <w:r w:rsidRPr="00BB6FC1">
        <w:fldChar w:fldCharType="separate"/>
      </w:r>
      <w:r w:rsidRPr="00BB6FC1">
        <w:t>(Bourgon et al., 2010; Ritchie et al., 2015; Sha et al., 2015; Klaus and Reisenauer, 2018)</w:t>
      </w:r>
      <w:r w:rsidRPr="00BB6FC1">
        <w:fldChar w:fldCharType="end"/>
      </w:r>
      <w:r w:rsidRPr="00BB6FC1">
        <w:t xml:space="preserve">. To perform this ‘soft’ intensity-based method of probe filtering, the median expression of each probe across all 142 samples was first computed. Median probe expression values were then visualized in the form of a density histogram and an expression intensity threshold </w:t>
      </w:r>
      <w:r w:rsidR="0015308E">
        <w:t>of</w:t>
      </w:r>
      <w:r w:rsidRPr="00BB6FC1">
        <w:t xml:space="preserve"> 7.2</w:t>
      </w:r>
      <w:r w:rsidR="00FD646F" w:rsidRPr="00FD646F">
        <w:t xml:space="preserve"> </w:t>
      </w:r>
      <w:r w:rsidR="00FD646F">
        <w:t>was selected</w:t>
      </w:r>
      <w:r w:rsidRPr="00BB6FC1">
        <w:t xml:space="preserve">, which was a value close to the overall array median value of 7.784. This threshold value successfully filtered out the enrichment of low median expression values to the left of the histogram, while also ensuring </w:t>
      </w:r>
      <w:r w:rsidR="00FD646F">
        <w:t xml:space="preserve">that </w:t>
      </w:r>
      <w:r w:rsidRPr="00BB6FC1">
        <w:t>a satisfactory number of higher expressed probes would be retained. In the DE analysis design, the main variable of interest was disease status, with the specific comparison of PD versus control being analysed. In order to account for the batch effect arising from the differing microarray platforms, the platform ID associated with each sample was</w:t>
      </w:r>
      <w:r w:rsidR="00A3674B">
        <w:t xml:space="preserve"> </w:t>
      </w:r>
      <w:r w:rsidRPr="00BB6FC1">
        <w:t xml:space="preserve">included as a confounding variable in the DE analysis design. Linear model fitting, contrast fitting and empirical Bayes analysis were performed and the full list of results were annotated with gene symbol and Entrez ID information for each probe. Probes with an absolute log fold change (logFC) value of &gt; 0.4 and a false discovery rate (FDR; adjusted p value) of ≤ 0.05 were considered significant. In the case of multiple differentially expressed probes mapping to the same gene symbol, the most significant probe result was retained (lowest adjusted p-value) for downstream analysis. </w:t>
      </w:r>
    </w:p>
    <w:p w14:paraId="4019A41B" w14:textId="63946654" w:rsidR="00BB6FC1" w:rsidRDefault="00BB6FC1" w:rsidP="00BB6FC1">
      <w:pPr>
        <w:jc w:val="both"/>
      </w:pPr>
      <w:r w:rsidRPr="00BB6FC1">
        <w:t>The LCM data series (</w:t>
      </w:r>
      <w:hyperlink r:id="rId16" w:history="1">
        <w:r w:rsidRPr="00BB6FC1">
          <w:rPr>
            <w:rStyle w:val="Hyperlink"/>
          </w:rPr>
          <w:t>GSE20141</w:t>
        </w:r>
      </w:hyperlink>
      <w:r w:rsidRPr="00BB6FC1">
        <w:t xml:space="preserve">) was used for comparison purposes, </w:t>
      </w:r>
      <w:r w:rsidR="00FD646F">
        <w:t xml:space="preserve">to </w:t>
      </w:r>
      <w:r w:rsidRPr="00BB6FC1">
        <w:t>examin</w:t>
      </w:r>
      <w:r w:rsidR="00FD646F">
        <w:t>e</w:t>
      </w:r>
      <w:r w:rsidRPr="00BB6FC1">
        <w:t xml:space="preserve"> differential gene expression within individual </w:t>
      </w:r>
      <w:proofErr w:type="spellStart"/>
      <w:r w:rsidRPr="00BB6FC1">
        <w:t>SNc</w:t>
      </w:r>
      <w:proofErr w:type="spellEnd"/>
      <w:r w:rsidRPr="00BB6FC1">
        <w:t xml:space="preserve"> neurons between PD cases and controls. A median threshold value of 1.7 was </w:t>
      </w:r>
      <w:r w:rsidR="001C555C">
        <w:t>selected</w:t>
      </w:r>
      <w:r w:rsidRPr="00BB6FC1">
        <w:t xml:space="preserve"> for this expression data, with probes having expression levels below 1.7 in at least</w:t>
      </w:r>
      <w:r w:rsidR="00FD646F">
        <w:t xml:space="preserve"> </w:t>
      </w:r>
      <w:r w:rsidRPr="00BB6FC1">
        <w:t xml:space="preserve">8 out of the 18 samples being filtered out from the analysis. No batch effect was present. Disease status was included in the analysis design, with the specific comparison of PD versus control being analysed. No FDR or logFC cut-off was employed for </w:t>
      </w:r>
      <w:r w:rsidRPr="00BB6FC1">
        <w:lastRenderedPageBreak/>
        <w:t xml:space="preserve">this expression data, as the entire list of results was to be generated for appropriate comparison with the DEGs identified within whole SN tissue (merged dataset). </w:t>
      </w:r>
      <w:r w:rsidR="00F751E9">
        <w:t>Gene co-expression was performed using linear regression.</w:t>
      </w:r>
    </w:p>
    <w:p w14:paraId="21C58C05" w14:textId="61ED7A5D" w:rsidR="0015625A" w:rsidRDefault="0015625A" w:rsidP="00BB6FC1">
      <w:pPr>
        <w:jc w:val="both"/>
      </w:pPr>
    </w:p>
    <w:p w14:paraId="6E7C1DCB" w14:textId="6F6E4A1C" w:rsidR="00F751E9" w:rsidRPr="00FD646F" w:rsidRDefault="00F751E9" w:rsidP="00BB6FC1">
      <w:pPr>
        <w:jc w:val="both"/>
        <w:rPr>
          <w:b/>
          <w:bCs/>
        </w:rPr>
      </w:pPr>
      <w:r w:rsidRPr="00FD646F">
        <w:rPr>
          <w:b/>
          <w:bCs/>
        </w:rPr>
        <w:t>Immunohistochemistry</w:t>
      </w:r>
    </w:p>
    <w:p w14:paraId="46A6B5A1" w14:textId="30B0966B" w:rsidR="00FD646F" w:rsidRDefault="00FD646F" w:rsidP="00FD646F">
      <w:pPr>
        <w:jc w:val="both"/>
      </w:pPr>
      <w:r w:rsidRPr="00FD646F">
        <w:t xml:space="preserve">Immunohistochemical staining was performed on formalin-fixed paraffin-embedded coronal sections through the human midbrain from early- and late-stage PD cases and healthy age-matched controls. The tissue and associated clinical and neuropathological data were supplied by Parkinson's UK Brain Bank at Imperial College London, funded by Parkinson's UK, a charity registered in England and Wales (258197) and in Scotland (SC037554). Sections were dewaxed in </w:t>
      </w:r>
      <w:proofErr w:type="spellStart"/>
      <w:r w:rsidRPr="00FD646F">
        <w:t>Citroclear</w:t>
      </w:r>
      <w:proofErr w:type="spellEnd"/>
      <w:r w:rsidRPr="00FD646F">
        <w:t>, rehydrated through a descending ethanol gradient (100%, 90%, 70%), then an antigen retrieval step was performed by incubation in 0.01 M sodium citrate buffer solution, pH 6.4, for 10 min at 90 °C. Endogenous peroxidase activity was quenched by incubation in 3% hydrogen peroxide, 10% methanol in distilled water for 5 min, then sections were washed three times for 5 min in 1.2% tris-buffered saline (TBS). Non-specific staining was blocked by incubation in 10% goat serum in TBS. Sections were incubated solution of primary antibody (tyrosine hydroxylase (</w:t>
      </w:r>
      <w:r>
        <w:t xml:space="preserve">TH; </w:t>
      </w:r>
      <w:r w:rsidRPr="00FD646F">
        <w:t xml:space="preserve">1:500; Merk Millipore; AB152) or RET (1:500; Abcam; ab134100)) in 1% goat serum in TBS for 48 h at 4 °C. Sections were washed three times for 5 min in TBS, then incubated in solution of secondary antibody (goat-anti-rabbit IgG (1:500, Jackson </w:t>
      </w:r>
      <w:proofErr w:type="spellStart"/>
      <w:r w:rsidRPr="00FD646F">
        <w:t>Immunoresearch</w:t>
      </w:r>
      <w:proofErr w:type="spellEnd"/>
      <w:r w:rsidRPr="00FD646F">
        <w:t xml:space="preserve"> Lab)) in 1% goat serum in TBS overnight at room temperature. Sections were washed three times for 5 min in TBS, incubated in streptavidin-biotin-horseradish peroxidase solution (Vector Labs) for 1 h, washed three times for 5 min in TBS, then developed with DAB (Vector Labs). Sections were dehydrated through an ascending ethanol gradient (70%, 90%, 100%), cleared in </w:t>
      </w:r>
      <w:proofErr w:type="spellStart"/>
      <w:r w:rsidRPr="00FD646F">
        <w:t>Citroclear</w:t>
      </w:r>
      <w:proofErr w:type="spellEnd"/>
      <w:r w:rsidRPr="00FD646F">
        <w:t xml:space="preserve"> and </w:t>
      </w:r>
      <w:proofErr w:type="spellStart"/>
      <w:r w:rsidRPr="00FD646F">
        <w:t>coverslipped</w:t>
      </w:r>
      <w:proofErr w:type="spellEnd"/>
      <w:r w:rsidRPr="00FD646F">
        <w:t xml:space="preserve"> with DPX mounting media (BDH Chemicals). Images were taken using an Olympus BX53 Upright Microscope. </w:t>
      </w:r>
    </w:p>
    <w:p w14:paraId="07F17C24" w14:textId="77777777" w:rsidR="0062515A" w:rsidRPr="004C5702" w:rsidRDefault="0062515A" w:rsidP="00FD646F">
      <w:pPr>
        <w:jc w:val="both"/>
        <w:rPr>
          <w:color w:val="FF0000"/>
        </w:rPr>
      </w:pPr>
    </w:p>
    <w:p w14:paraId="35430C11" w14:textId="0F383E6F" w:rsidR="00F751E9" w:rsidRDefault="00291B01" w:rsidP="00BB6FC1">
      <w:pPr>
        <w:jc w:val="both"/>
        <w:rPr>
          <w:color w:val="FF0000"/>
        </w:rPr>
      </w:pPr>
      <w:r w:rsidRPr="00291B01">
        <w:rPr>
          <w:color w:val="FF0000"/>
        </w:rPr>
        <w:t>For densitometric analysis, the intensity of RET receptor expression was also determined using Image J software. Sections from 5 healthy controls, 5 early-stage and 5-</w:t>
      </w:r>
      <w:r w:rsidRPr="00291B01">
        <w:rPr>
          <w:color w:val="FF0000"/>
        </w:rPr>
        <w:t>late-stage</w:t>
      </w:r>
      <w:r w:rsidRPr="00291B01">
        <w:rPr>
          <w:color w:val="FF0000"/>
        </w:rPr>
        <w:t xml:space="preserve"> PD patients were analysed (n=5 per group). Ten non-overlapping images were taken for each sample, converted to 8-bit using Image J and the segmented line tool was used to trace the outline of each RET-positive neuron. Background values were subtracted from each related image. Results are presented as average of RET mean intensity normalised to the control. The Statistical analysis was performed using GraphPad Prism software. One-way ANOVA was performed to determine the significant differences in mean RET receptor density in control cases compared to early-stage and late-stage PD. Results were deemed to be significant when p &lt; 0.05. All data are presented as mean ± SEM.</w:t>
      </w:r>
    </w:p>
    <w:p w14:paraId="44311192" w14:textId="77777777" w:rsidR="00291B01" w:rsidRDefault="00291B01" w:rsidP="00BB6FC1">
      <w:pPr>
        <w:jc w:val="both"/>
      </w:pPr>
    </w:p>
    <w:p w14:paraId="37B78AC6" w14:textId="33B4EF5B" w:rsidR="0015625A" w:rsidRPr="0015625A" w:rsidRDefault="00576FE5" w:rsidP="0015625A">
      <w:pPr>
        <w:jc w:val="both"/>
        <w:rPr>
          <w:b/>
          <w:lang w:val="en-GB"/>
        </w:rPr>
      </w:pPr>
      <w:r>
        <w:rPr>
          <w:b/>
          <w:lang w:val="en-GB"/>
        </w:rPr>
        <w:t xml:space="preserve">Cell culture </w:t>
      </w:r>
    </w:p>
    <w:p w14:paraId="4C11F5EF" w14:textId="4E31ABB2" w:rsidR="0015625A" w:rsidRPr="0015625A" w:rsidRDefault="0015625A" w:rsidP="0015625A">
      <w:pPr>
        <w:jc w:val="both"/>
      </w:pPr>
      <w:r w:rsidRPr="0015625A">
        <w:rPr>
          <w:lang w:val="en-GB"/>
        </w:rPr>
        <w:t xml:space="preserve">A α-synuclein expression plasmid were generously donated by Dr Eilis Dowd (National University of Ireland, Galway) and Professor Deniz </w:t>
      </w:r>
      <w:proofErr w:type="spellStart"/>
      <w:r w:rsidRPr="0015625A">
        <w:rPr>
          <w:lang w:val="en-GB"/>
        </w:rPr>
        <w:t>Kirik</w:t>
      </w:r>
      <w:proofErr w:type="spellEnd"/>
      <w:r w:rsidRPr="0015625A">
        <w:rPr>
          <w:lang w:val="en-GB"/>
        </w:rPr>
        <w:t xml:space="preserve"> (Lund University, Sweden). Adeno associated viral (AAV) vectors were then constructed by Vector Biosystems Inc, Philadelphia, USA.</w:t>
      </w:r>
      <w:r w:rsidR="00FD646F">
        <w:rPr>
          <w:lang w:val="en-GB"/>
        </w:rPr>
        <w:t xml:space="preserve"> </w:t>
      </w:r>
      <w:r w:rsidRPr="0015625A">
        <w:rPr>
          <w:lang w:val="en-GB"/>
        </w:rPr>
        <w:t>Briefly, AAV2 inverted terminal repeats that coded for the human wild‐type α-synuclein or GFP were packaged using AAV6 capsid proteins producing AAV2/6 viral vectors. Transgene expression was driven by a synapsin‐1 promoter and enhanced using a woodchuck hepatitis virus post‐transcriptional regulatory element (WPRE). The final viral titres for AAV2/6-α-synuclein (AAV-αSyn) and AAV2/6-GFP (AAV-GFP) were 5.2x10</w:t>
      </w:r>
      <w:r w:rsidRPr="0015625A">
        <w:rPr>
          <w:vertAlign w:val="superscript"/>
          <w:lang w:val="en-GB"/>
        </w:rPr>
        <w:t>13</w:t>
      </w:r>
      <w:r w:rsidRPr="0015625A">
        <w:rPr>
          <w:lang w:val="en-GB"/>
        </w:rPr>
        <w:t>gc/ml and 5.0x10</w:t>
      </w:r>
      <w:r w:rsidRPr="0015625A">
        <w:rPr>
          <w:vertAlign w:val="superscript"/>
          <w:lang w:val="en-GB"/>
        </w:rPr>
        <w:t>13</w:t>
      </w:r>
      <w:r w:rsidRPr="0015625A">
        <w:rPr>
          <w:lang w:val="en-GB"/>
        </w:rPr>
        <w:t>gc/ml respectively.</w:t>
      </w:r>
      <w:r>
        <w:rPr>
          <w:lang w:val="en-GB"/>
        </w:rPr>
        <w:t xml:space="preserve"> </w:t>
      </w:r>
      <w:r w:rsidR="00FD646F">
        <w:rPr>
          <w:lang w:val="en-GB"/>
        </w:rPr>
        <w:t>Embryonic day (E)</w:t>
      </w:r>
      <w:r w:rsidRPr="0015625A">
        <w:rPr>
          <w:lang w:val="en-GB"/>
        </w:rPr>
        <w:t xml:space="preserve">14 </w:t>
      </w:r>
      <w:r w:rsidR="00FD646F">
        <w:rPr>
          <w:lang w:val="en-GB"/>
        </w:rPr>
        <w:t xml:space="preserve">rat </w:t>
      </w:r>
      <w:r w:rsidRPr="0015625A">
        <w:rPr>
          <w:lang w:val="en-GB"/>
        </w:rPr>
        <w:t>VM cultures were plated at a density of 1.0×10</w:t>
      </w:r>
      <w:r w:rsidRPr="0015625A">
        <w:rPr>
          <w:vertAlign w:val="superscript"/>
          <w:lang w:val="en-GB"/>
        </w:rPr>
        <w:t xml:space="preserve">5 </w:t>
      </w:r>
      <w:r w:rsidRPr="0015625A">
        <w:rPr>
          <w:lang w:val="en-GB"/>
        </w:rPr>
        <w:t>per well of a 24-well plate</w:t>
      </w:r>
      <w:r w:rsidRPr="0015625A">
        <w:rPr>
          <w:vertAlign w:val="superscript"/>
          <w:lang w:val="en-GB"/>
        </w:rPr>
        <w:t xml:space="preserve"> </w:t>
      </w:r>
      <w:r w:rsidRPr="0015625A">
        <w:rPr>
          <w:lang w:val="en-GB"/>
        </w:rPr>
        <w:t>and transduced with 4µl AAV-GFP or 3.84µl of AAV-αSyn to achieve a multiplicity of infection (MOI) of 2.0×10</w:t>
      </w:r>
      <w:r w:rsidRPr="0015625A">
        <w:rPr>
          <w:vertAlign w:val="superscript"/>
          <w:lang w:val="en-GB"/>
        </w:rPr>
        <w:t>5</w:t>
      </w:r>
      <w:r w:rsidRPr="0015625A">
        <w:rPr>
          <w:lang w:val="en-GB"/>
        </w:rPr>
        <w:t xml:space="preserve">. Cultures were treated daily with </w:t>
      </w:r>
      <w:r>
        <w:rPr>
          <w:lang w:val="en-GB"/>
        </w:rPr>
        <w:lastRenderedPageBreak/>
        <w:t xml:space="preserve">100ng/ml GDNF </w:t>
      </w:r>
      <w:r w:rsidR="00FD646F">
        <w:rPr>
          <w:lang w:val="en-GB"/>
        </w:rPr>
        <w:t>commencing</w:t>
      </w:r>
      <w:r w:rsidRPr="0015625A">
        <w:rPr>
          <w:lang w:val="en-GB"/>
        </w:rPr>
        <w:t xml:space="preserve"> 5 days after viral infection (delayed treatment). </w:t>
      </w:r>
      <w:r>
        <w:rPr>
          <w:lang w:val="en-GB"/>
        </w:rPr>
        <w:t>T</w:t>
      </w:r>
      <w:r w:rsidRPr="0015625A">
        <w:rPr>
          <w:lang w:val="en-GB"/>
        </w:rPr>
        <w:t xml:space="preserve">he experimental end point was at 10 days </w:t>
      </w:r>
      <w:r w:rsidRPr="0015625A">
        <w:rPr>
          <w:i/>
          <w:iCs/>
          <w:lang w:val="en-GB"/>
        </w:rPr>
        <w:t>in vitro</w:t>
      </w:r>
      <w:r w:rsidRPr="0015625A">
        <w:rPr>
          <w:lang w:val="en-GB"/>
        </w:rPr>
        <w:t xml:space="preserve"> (DIV). </w:t>
      </w:r>
      <w:r>
        <w:rPr>
          <w:lang w:val="en-GB"/>
        </w:rPr>
        <w:t>At this point, E14</w:t>
      </w:r>
      <w:r w:rsidR="00FD646F">
        <w:rPr>
          <w:lang w:val="en-GB"/>
        </w:rPr>
        <w:t xml:space="preserve"> </w:t>
      </w:r>
      <w:r w:rsidRPr="0015625A">
        <w:t xml:space="preserve">VM cultures were fixed in 4% paraformaldehyde (PFA) and processed for immunocytochemistry as previously described </w:t>
      </w:r>
      <w:r w:rsidRPr="0015625A">
        <w:fldChar w:fldCharType="begin"/>
      </w:r>
      <w:r>
        <w:instrText xml:space="preserve"> ADDIN EN.CITE &lt;EndNote&gt;&lt;Cite&gt;&lt;Author&gt;Goulding&lt;/Author&gt;&lt;Year&gt;2019&lt;/Year&gt;&lt;RecNum&gt;272&lt;/RecNum&gt;&lt;DisplayText&gt;(Goulding et al., 2019)&lt;/DisplayText&gt;&lt;record&gt;&lt;rec-number&gt;272&lt;/rec-number&gt;&lt;foreign-keys&gt;&lt;key app="EN" db-id="d5250texja555ae0pvqp5t0ezepsppvf2ewx" timestamp="1568202627"&gt;272&lt;/key&gt;&lt;/foreign-keys&gt;&lt;ref-type name="Journal Article"&gt;17&lt;/ref-type&gt;&lt;contributors&gt;&lt;authors&gt;&lt;author&gt;Goulding, Susan R.&lt;/author&gt;&lt;author&gt;Sullivan, Aideen M.&lt;/author&gt;&lt;author&gt;O&amp;apos;Keeffe, Gerard W.&lt;/author&gt;&lt;author&gt;Collins, Louise M.&lt;/author&gt;&lt;/authors&gt;&lt;/contributors&gt;&lt;titles&gt;&lt;title&gt;Gene co-expression analysis of the human substantia nigra identifies BMP2 as a neurotrophic factor that can promote neurite growth in cells overexpressing wild-type or A53T α-synuclein&lt;/title&gt;&lt;secondary-title&gt;Parkinsonism &amp;amp; Related Disorders&lt;/secondary-title&gt;&lt;/titles&gt;&lt;periodical&gt;&lt;full-title&gt;Parkinsonism &amp;amp; Related Disorders&lt;/full-title&gt;&lt;/periodical&gt;&lt;pages&gt;194-201&lt;/pages&gt;&lt;volume&gt;64&lt;/volume&gt;&lt;keywords&gt;&lt;keyword&gt;Parkinson&amp;apos;s&lt;/keyword&gt;&lt;keyword&gt;α-synuclein&lt;/keyword&gt;&lt;keyword&gt;Degeneration&lt;/keyword&gt;&lt;keyword&gt;Neurotrophic factor&lt;/keyword&gt;&lt;keyword&gt;Axon growth&lt;/keyword&gt;&lt;/keywords&gt;&lt;dates&gt;&lt;year&gt;2019&lt;/year&gt;&lt;pub-dates&gt;&lt;date&gt;2019/07/01/&lt;/date&gt;&lt;/pub-dates&gt;&lt;/dates&gt;&lt;isbn&gt;1353-8020&lt;/isbn&gt;&lt;urls&gt;&lt;related-urls&gt;&lt;url&gt;http://www.sciencedirect.com/science/article/pii/S1353802019302032&lt;/url&gt;&lt;/related-urls&gt;&lt;/urls&gt;&lt;electronic-resource-num&gt;https://doi.org/10.1016/j.parkreldis.2019.04.008&lt;/electronic-resource-num&gt;&lt;/record&gt;&lt;/Cite&gt;&lt;/EndNote&gt;</w:instrText>
      </w:r>
      <w:r w:rsidRPr="0015625A">
        <w:fldChar w:fldCharType="separate"/>
      </w:r>
      <w:r>
        <w:rPr>
          <w:noProof/>
        </w:rPr>
        <w:t>(Goulding et al., 2019)</w:t>
      </w:r>
      <w:r w:rsidRPr="0015625A">
        <w:fldChar w:fldCharType="end"/>
      </w:r>
      <w:r w:rsidRPr="0015625A">
        <w:t xml:space="preserve">. Where indicated, cells were incubated for 16 h at 4°C in </w:t>
      </w:r>
      <w:r w:rsidR="00FD646F" w:rsidRPr="00FD646F">
        <w:t>solution of antibody</w:t>
      </w:r>
      <w:r w:rsidR="00FD646F">
        <w:t xml:space="preserve"> to </w:t>
      </w:r>
      <w:r w:rsidRPr="0015625A">
        <w:t>TH</w:t>
      </w:r>
      <w:r w:rsidR="00FD646F">
        <w:t xml:space="preserve"> </w:t>
      </w:r>
      <w:r w:rsidRPr="0015625A">
        <w:t>(1:2000</w:t>
      </w:r>
      <w:r w:rsidR="00FD646F">
        <w:t>;</w:t>
      </w:r>
      <w:r w:rsidRPr="0015625A">
        <w:t xml:space="preserve"> Merck Millipore)</w:t>
      </w:r>
      <w:r w:rsidR="00B9691F">
        <w:t xml:space="preserve"> </w:t>
      </w:r>
      <w:r w:rsidRPr="0015625A">
        <w:t xml:space="preserve">in 1% bovine serum albumin (BSA) in 10mM phosphate-buffered saline (PBS). Following 3 × 5 min washes in PBS-T, cells were incubated in the appropriate Alexa Fluor 594-conjugated secondary antibodies (1:500; Invitrogen) diluted in 1% BSA in 10mM PBS, for 2 h at room temperature in the dark. Following 3 × 5 min washes in PBS with Triton X-100 (PBS-T), cells were counterstained with DAPI (1:3000; Sigma) </w:t>
      </w:r>
      <w:r w:rsidR="00FD646F" w:rsidRPr="0015625A">
        <w:t>in 10 mM PBS</w:t>
      </w:r>
      <w:r w:rsidR="00FD646F">
        <w:t xml:space="preserve"> </w:t>
      </w:r>
      <w:r w:rsidRPr="0015625A">
        <w:t>and imaged using an Olympus IX71 microscope.</w:t>
      </w:r>
      <w:r w:rsidR="00B9691F">
        <w:t xml:space="preserve"> </w:t>
      </w:r>
      <w:r w:rsidRPr="0015625A">
        <w:t xml:space="preserve">To assess </w:t>
      </w:r>
      <w:r w:rsidR="00B9691F">
        <w:t>neuronal</w:t>
      </w:r>
      <w:r w:rsidRPr="0015625A">
        <w:t xml:space="preserve"> morphology or nuclear staining intensity</w:t>
      </w:r>
      <w:r w:rsidR="00FD646F">
        <w:t>,</w:t>
      </w:r>
      <w:r w:rsidR="001D2E96">
        <w:t xml:space="preserve"> </w:t>
      </w:r>
      <w:r w:rsidRPr="0015625A">
        <w:t xml:space="preserve">5 randomly-selected cells were measured in no less than 6 randomly-selected fields per N, yielding at least 90 neurites or cell bodies analysed per experiment. All experiments were repeated at least 3 times and all analyses were performed using Image J software. </w:t>
      </w:r>
      <w:r w:rsidR="001D2E96">
        <w:t>Neurite growth data was analysed using a two-wa</w:t>
      </w:r>
      <w:r w:rsidR="00576FE5">
        <w:t xml:space="preserve">y ANOVA with post-hoc Tukey’s test. </w:t>
      </w:r>
      <w:r w:rsidRPr="0015625A">
        <w:t xml:space="preserve">Results were deemed to be significant when </w:t>
      </w:r>
      <w:r w:rsidRPr="0015625A">
        <w:rPr>
          <w:i/>
        </w:rPr>
        <w:t xml:space="preserve">p </w:t>
      </w:r>
      <w:r w:rsidRPr="0015625A">
        <w:t>&lt; 0.05. All data are presented as mean ± SEM.</w:t>
      </w:r>
    </w:p>
    <w:p w14:paraId="048892CD" w14:textId="06746CF6" w:rsidR="00BB6FC1" w:rsidRDefault="00BB6FC1"/>
    <w:p w14:paraId="3B84CC78" w14:textId="70A4ECC9" w:rsidR="00BB6FC1" w:rsidRDefault="00BB6FC1"/>
    <w:p w14:paraId="021CC905" w14:textId="25586ACF" w:rsidR="00BB6FC1" w:rsidRDefault="00BB6FC1"/>
    <w:p w14:paraId="4C063E33" w14:textId="268D0172" w:rsidR="00BB6FC1" w:rsidRDefault="00BB6FC1"/>
    <w:p w14:paraId="0A7D40DE" w14:textId="022E3EF2" w:rsidR="00BB6FC1" w:rsidRDefault="00BB6FC1"/>
    <w:p w14:paraId="43318987" w14:textId="5E75E20D" w:rsidR="00BB6FC1" w:rsidRDefault="00BB6FC1"/>
    <w:p w14:paraId="6B6DEDAD" w14:textId="734407B2" w:rsidR="00BB6FC1" w:rsidRDefault="00BB6FC1"/>
    <w:p w14:paraId="13E82FA1" w14:textId="4D77DF9F" w:rsidR="00BB6FC1" w:rsidRDefault="00BB6FC1"/>
    <w:p w14:paraId="0ACAB014" w14:textId="59FC9893" w:rsidR="00BB6FC1" w:rsidRDefault="00BB6FC1"/>
    <w:p w14:paraId="4A7625FB" w14:textId="319BDB36" w:rsidR="006C5CAF" w:rsidRDefault="006C5CAF"/>
    <w:p w14:paraId="433575F7" w14:textId="74FB6C47" w:rsidR="006C5CAF" w:rsidRDefault="006C5CAF"/>
    <w:p w14:paraId="6C75E10B" w14:textId="01474994" w:rsidR="006C5CAF" w:rsidRDefault="006C5CAF"/>
    <w:p w14:paraId="47D5A666" w14:textId="2C812AF2" w:rsidR="00BB6FC1" w:rsidRDefault="00BB6FC1"/>
    <w:sectPr w:rsidR="00BB6FC1" w:rsidSect="00F55FE0">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Mol Cell Neuroscienc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5942C3"/>
    <w:rsid w:val="00000B9C"/>
    <w:rsid w:val="000017E6"/>
    <w:rsid w:val="00007CB7"/>
    <w:rsid w:val="00040575"/>
    <w:rsid w:val="00050F0D"/>
    <w:rsid w:val="000530E1"/>
    <w:rsid w:val="00056A80"/>
    <w:rsid w:val="000A39BD"/>
    <w:rsid w:val="000B2096"/>
    <w:rsid w:val="000C7B2D"/>
    <w:rsid w:val="000E49A9"/>
    <w:rsid w:val="000F57C5"/>
    <w:rsid w:val="001016D2"/>
    <w:rsid w:val="00120792"/>
    <w:rsid w:val="00120D43"/>
    <w:rsid w:val="001240BB"/>
    <w:rsid w:val="0015308E"/>
    <w:rsid w:val="0015625A"/>
    <w:rsid w:val="0017231D"/>
    <w:rsid w:val="00194120"/>
    <w:rsid w:val="001A584F"/>
    <w:rsid w:val="001A7D3E"/>
    <w:rsid w:val="001B6FDF"/>
    <w:rsid w:val="001C415A"/>
    <w:rsid w:val="001C555C"/>
    <w:rsid w:val="001C5B40"/>
    <w:rsid w:val="001D18E5"/>
    <w:rsid w:val="001D2E96"/>
    <w:rsid w:val="001F5147"/>
    <w:rsid w:val="002032D7"/>
    <w:rsid w:val="002062F4"/>
    <w:rsid w:val="00231AF5"/>
    <w:rsid w:val="0025598C"/>
    <w:rsid w:val="002563F1"/>
    <w:rsid w:val="00270551"/>
    <w:rsid w:val="00283058"/>
    <w:rsid w:val="00290783"/>
    <w:rsid w:val="00291B01"/>
    <w:rsid w:val="002938D8"/>
    <w:rsid w:val="002A0245"/>
    <w:rsid w:val="002C514D"/>
    <w:rsid w:val="002C536E"/>
    <w:rsid w:val="002C7E75"/>
    <w:rsid w:val="002D1202"/>
    <w:rsid w:val="002E3531"/>
    <w:rsid w:val="002E4309"/>
    <w:rsid w:val="0030678B"/>
    <w:rsid w:val="00312C78"/>
    <w:rsid w:val="003248F1"/>
    <w:rsid w:val="00340953"/>
    <w:rsid w:val="00341C25"/>
    <w:rsid w:val="00363E40"/>
    <w:rsid w:val="00394B24"/>
    <w:rsid w:val="003A1578"/>
    <w:rsid w:val="003A79DD"/>
    <w:rsid w:val="003D171C"/>
    <w:rsid w:val="003D50CC"/>
    <w:rsid w:val="00431B86"/>
    <w:rsid w:val="00441BD9"/>
    <w:rsid w:val="00454798"/>
    <w:rsid w:val="00456E58"/>
    <w:rsid w:val="00475217"/>
    <w:rsid w:val="00482546"/>
    <w:rsid w:val="004929C8"/>
    <w:rsid w:val="004971EE"/>
    <w:rsid w:val="004A0423"/>
    <w:rsid w:val="004A7663"/>
    <w:rsid w:val="004C1BB4"/>
    <w:rsid w:val="004C5702"/>
    <w:rsid w:val="004D15A7"/>
    <w:rsid w:val="004D5B8A"/>
    <w:rsid w:val="004E06D5"/>
    <w:rsid w:val="004E17A1"/>
    <w:rsid w:val="004E1B1C"/>
    <w:rsid w:val="004E39CF"/>
    <w:rsid w:val="004F7D11"/>
    <w:rsid w:val="005016EE"/>
    <w:rsid w:val="00514208"/>
    <w:rsid w:val="00516940"/>
    <w:rsid w:val="00523692"/>
    <w:rsid w:val="00523FB6"/>
    <w:rsid w:val="00526157"/>
    <w:rsid w:val="0052680A"/>
    <w:rsid w:val="00535B0E"/>
    <w:rsid w:val="005373FB"/>
    <w:rsid w:val="005456BD"/>
    <w:rsid w:val="00551D4C"/>
    <w:rsid w:val="00553FC8"/>
    <w:rsid w:val="005672BC"/>
    <w:rsid w:val="00567E62"/>
    <w:rsid w:val="00570E94"/>
    <w:rsid w:val="00576FE5"/>
    <w:rsid w:val="00580DD1"/>
    <w:rsid w:val="005822DC"/>
    <w:rsid w:val="005942C3"/>
    <w:rsid w:val="00595194"/>
    <w:rsid w:val="005956FE"/>
    <w:rsid w:val="005A056D"/>
    <w:rsid w:val="005C2955"/>
    <w:rsid w:val="005D4E82"/>
    <w:rsid w:val="005D7864"/>
    <w:rsid w:val="005F63BE"/>
    <w:rsid w:val="0062515A"/>
    <w:rsid w:val="00630291"/>
    <w:rsid w:val="00631437"/>
    <w:rsid w:val="00636219"/>
    <w:rsid w:val="006371E4"/>
    <w:rsid w:val="0065004E"/>
    <w:rsid w:val="00653653"/>
    <w:rsid w:val="006565B1"/>
    <w:rsid w:val="00662BF8"/>
    <w:rsid w:val="00666A9C"/>
    <w:rsid w:val="00681346"/>
    <w:rsid w:val="006C07F2"/>
    <w:rsid w:val="006C2A95"/>
    <w:rsid w:val="006C5CAF"/>
    <w:rsid w:val="006D303E"/>
    <w:rsid w:val="006D66DE"/>
    <w:rsid w:val="006F7816"/>
    <w:rsid w:val="00724CFF"/>
    <w:rsid w:val="00731D25"/>
    <w:rsid w:val="00755DB6"/>
    <w:rsid w:val="007811EA"/>
    <w:rsid w:val="007B32D2"/>
    <w:rsid w:val="007B4C75"/>
    <w:rsid w:val="007D18E7"/>
    <w:rsid w:val="007E752C"/>
    <w:rsid w:val="007F7026"/>
    <w:rsid w:val="0080703E"/>
    <w:rsid w:val="00817958"/>
    <w:rsid w:val="008278D8"/>
    <w:rsid w:val="00866C4B"/>
    <w:rsid w:val="008709EF"/>
    <w:rsid w:val="00873689"/>
    <w:rsid w:val="0088640D"/>
    <w:rsid w:val="008A50B5"/>
    <w:rsid w:val="008A5911"/>
    <w:rsid w:val="008D51B7"/>
    <w:rsid w:val="008D725A"/>
    <w:rsid w:val="008E08DB"/>
    <w:rsid w:val="008F56E9"/>
    <w:rsid w:val="009036DB"/>
    <w:rsid w:val="00917B0F"/>
    <w:rsid w:val="00921502"/>
    <w:rsid w:val="00934214"/>
    <w:rsid w:val="009437F1"/>
    <w:rsid w:val="00963856"/>
    <w:rsid w:val="009836FD"/>
    <w:rsid w:val="009909D2"/>
    <w:rsid w:val="009A0C46"/>
    <w:rsid w:val="009E1A11"/>
    <w:rsid w:val="00A00CCB"/>
    <w:rsid w:val="00A031AA"/>
    <w:rsid w:val="00A05E82"/>
    <w:rsid w:val="00A1404C"/>
    <w:rsid w:val="00A237A6"/>
    <w:rsid w:val="00A31307"/>
    <w:rsid w:val="00A3674B"/>
    <w:rsid w:val="00A50430"/>
    <w:rsid w:val="00A760F8"/>
    <w:rsid w:val="00A7631D"/>
    <w:rsid w:val="00A773D2"/>
    <w:rsid w:val="00A81AA9"/>
    <w:rsid w:val="00AA3601"/>
    <w:rsid w:val="00AB5E0C"/>
    <w:rsid w:val="00AF02C8"/>
    <w:rsid w:val="00AF344A"/>
    <w:rsid w:val="00B04786"/>
    <w:rsid w:val="00B06DB2"/>
    <w:rsid w:val="00B27319"/>
    <w:rsid w:val="00B42B90"/>
    <w:rsid w:val="00B70055"/>
    <w:rsid w:val="00B751AC"/>
    <w:rsid w:val="00B858BF"/>
    <w:rsid w:val="00B9691F"/>
    <w:rsid w:val="00BB19AB"/>
    <w:rsid w:val="00BB6FC1"/>
    <w:rsid w:val="00BC018D"/>
    <w:rsid w:val="00BC0781"/>
    <w:rsid w:val="00BD141B"/>
    <w:rsid w:val="00BD5496"/>
    <w:rsid w:val="00C1284E"/>
    <w:rsid w:val="00C26644"/>
    <w:rsid w:val="00C52CF7"/>
    <w:rsid w:val="00C653E4"/>
    <w:rsid w:val="00C761A7"/>
    <w:rsid w:val="00C8702F"/>
    <w:rsid w:val="00C873D2"/>
    <w:rsid w:val="00C939C0"/>
    <w:rsid w:val="00C95B88"/>
    <w:rsid w:val="00CA26C1"/>
    <w:rsid w:val="00CA2A4C"/>
    <w:rsid w:val="00CA6634"/>
    <w:rsid w:val="00CA7638"/>
    <w:rsid w:val="00CB6CCF"/>
    <w:rsid w:val="00CC103A"/>
    <w:rsid w:val="00CC2D2B"/>
    <w:rsid w:val="00CC5679"/>
    <w:rsid w:val="00CD351B"/>
    <w:rsid w:val="00CD6E2B"/>
    <w:rsid w:val="00CE03F2"/>
    <w:rsid w:val="00CF2604"/>
    <w:rsid w:val="00CF6CEC"/>
    <w:rsid w:val="00D100E9"/>
    <w:rsid w:val="00D24FC6"/>
    <w:rsid w:val="00D2789B"/>
    <w:rsid w:val="00D360A3"/>
    <w:rsid w:val="00D65597"/>
    <w:rsid w:val="00D70A46"/>
    <w:rsid w:val="00D76FCE"/>
    <w:rsid w:val="00D833E5"/>
    <w:rsid w:val="00D90046"/>
    <w:rsid w:val="00D911B6"/>
    <w:rsid w:val="00DA25EC"/>
    <w:rsid w:val="00DC4F2B"/>
    <w:rsid w:val="00DC7304"/>
    <w:rsid w:val="00DD4D5E"/>
    <w:rsid w:val="00DE7C7A"/>
    <w:rsid w:val="00DF128D"/>
    <w:rsid w:val="00DF2D84"/>
    <w:rsid w:val="00E17E56"/>
    <w:rsid w:val="00E26C9A"/>
    <w:rsid w:val="00E37058"/>
    <w:rsid w:val="00E404A5"/>
    <w:rsid w:val="00E46E6D"/>
    <w:rsid w:val="00EA6BB4"/>
    <w:rsid w:val="00EB367B"/>
    <w:rsid w:val="00EC09DC"/>
    <w:rsid w:val="00ED2259"/>
    <w:rsid w:val="00EE6368"/>
    <w:rsid w:val="00F00D46"/>
    <w:rsid w:val="00F048F8"/>
    <w:rsid w:val="00F07311"/>
    <w:rsid w:val="00F222B0"/>
    <w:rsid w:val="00F55FE0"/>
    <w:rsid w:val="00F6466A"/>
    <w:rsid w:val="00F751E9"/>
    <w:rsid w:val="00F76371"/>
    <w:rsid w:val="00FA23C9"/>
    <w:rsid w:val="00FB0D14"/>
    <w:rsid w:val="00FD646F"/>
    <w:rsid w:val="00FF2FF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1914F"/>
  <w15:chartTrackingRefBased/>
  <w15:docId w15:val="{F7D6B940-40AE-294D-A292-C08A20D16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7E56"/>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5942C3"/>
    <w:pPr>
      <w:jc w:val="center"/>
    </w:pPr>
    <w:rPr>
      <w:rFonts w:eastAsiaTheme="minorHAnsi"/>
      <w:lang w:val="en-US" w:eastAsia="en-US"/>
    </w:rPr>
  </w:style>
  <w:style w:type="character" w:customStyle="1" w:styleId="EndNoteBibliographyTitleChar">
    <w:name w:val="EndNote Bibliography Title Char"/>
    <w:basedOn w:val="DefaultParagraphFont"/>
    <w:link w:val="EndNoteBibliographyTitle"/>
    <w:rsid w:val="005942C3"/>
    <w:rPr>
      <w:rFonts w:ascii="Times New Roman" w:hAnsi="Times New Roman" w:cs="Times New Roman"/>
      <w:lang w:val="en-US"/>
    </w:rPr>
  </w:style>
  <w:style w:type="paragraph" w:customStyle="1" w:styleId="EndNoteBibliography">
    <w:name w:val="EndNote Bibliography"/>
    <w:basedOn w:val="Normal"/>
    <w:link w:val="EndNoteBibliographyChar"/>
    <w:rsid w:val="005942C3"/>
    <w:rPr>
      <w:rFonts w:eastAsiaTheme="minorHAnsi"/>
      <w:lang w:val="en-US" w:eastAsia="en-US"/>
    </w:rPr>
  </w:style>
  <w:style w:type="character" w:customStyle="1" w:styleId="EndNoteBibliographyChar">
    <w:name w:val="EndNote Bibliography Char"/>
    <w:basedOn w:val="DefaultParagraphFont"/>
    <w:link w:val="EndNoteBibliography"/>
    <w:rsid w:val="005942C3"/>
    <w:rPr>
      <w:rFonts w:ascii="Times New Roman" w:hAnsi="Times New Roman" w:cs="Times New Roman"/>
      <w:lang w:val="en-US"/>
    </w:rPr>
  </w:style>
  <w:style w:type="character" w:styleId="Hyperlink">
    <w:name w:val="Hyperlink"/>
    <w:basedOn w:val="DefaultParagraphFont"/>
    <w:uiPriority w:val="99"/>
    <w:unhideWhenUsed/>
    <w:rsid w:val="005942C3"/>
    <w:rPr>
      <w:color w:val="0000FF"/>
      <w:u w:val="single"/>
    </w:rPr>
  </w:style>
  <w:style w:type="character" w:customStyle="1" w:styleId="apple-converted-space">
    <w:name w:val="apple-converted-space"/>
    <w:basedOn w:val="DefaultParagraphFont"/>
    <w:rsid w:val="005942C3"/>
  </w:style>
  <w:style w:type="character" w:styleId="Emphasis">
    <w:name w:val="Emphasis"/>
    <w:basedOn w:val="DefaultParagraphFont"/>
    <w:uiPriority w:val="20"/>
    <w:qFormat/>
    <w:rsid w:val="00482546"/>
    <w:rPr>
      <w:i/>
      <w:iCs/>
    </w:rPr>
  </w:style>
  <w:style w:type="character" w:styleId="FollowedHyperlink">
    <w:name w:val="FollowedHyperlink"/>
    <w:basedOn w:val="DefaultParagraphFont"/>
    <w:uiPriority w:val="99"/>
    <w:semiHidden/>
    <w:unhideWhenUsed/>
    <w:rsid w:val="00724CFF"/>
    <w:rPr>
      <w:color w:val="954F72" w:themeColor="followedHyperlink"/>
      <w:u w:val="single"/>
    </w:rPr>
  </w:style>
  <w:style w:type="character" w:styleId="UnresolvedMention">
    <w:name w:val="Unresolved Mention"/>
    <w:basedOn w:val="DefaultParagraphFont"/>
    <w:uiPriority w:val="99"/>
    <w:semiHidden/>
    <w:unhideWhenUsed/>
    <w:rsid w:val="00F76371"/>
    <w:rPr>
      <w:color w:val="605E5C"/>
      <w:shd w:val="clear" w:color="auto" w:fill="E1DFDD"/>
    </w:rPr>
  </w:style>
  <w:style w:type="character" w:customStyle="1" w:styleId="il">
    <w:name w:val="il"/>
    <w:basedOn w:val="DefaultParagraphFont"/>
    <w:rsid w:val="00CF2604"/>
  </w:style>
  <w:style w:type="character" w:customStyle="1" w:styleId="mwtwi">
    <w:name w:val="mw_t_wi"/>
    <w:basedOn w:val="DefaultParagraphFont"/>
    <w:rsid w:val="00CF2604"/>
  </w:style>
  <w:style w:type="paragraph" w:styleId="ListParagraph">
    <w:name w:val="List Paragraph"/>
    <w:basedOn w:val="Normal"/>
    <w:uiPriority w:val="34"/>
    <w:qFormat/>
    <w:rsid w:val="00E46E6D"/>
    <w:pPr>
      <w:ind w:left="720"/>
      <w:contextualSpacing/>
    </w:pPr>
  </w:style>
  <w:style w:type="table" w:styleId="TableGrid">
    <w:name w:val="Table Grid"/>
    <w:basedOn w:val="TableNormal"/>
    <w:uiPriority w:val="39"/>
    <w:rsid w:val="00BB6FC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468461">
      <w:bodyDiv w:val="1"/>
      <w:marLeft w:val="0"/>
      <w:marRight w:val="0"/>
      <w:marTop w:val="0"/>
      <w:marBottom w:val="0"/>
      <w:divBdr>
        <w:top w:val="none" w:sz="0" w:space="0" w:color="auto"/>
        <w:left w:val="none" w:sz="0" w:space="0" w:color="auto"/>
        <w:bottom w:val="none" w:sz="0" w:space="0" w:color="auto"/>
        <w:right w:val="none" w:sz="0" w:space="0" w:color="auto"/>
      </w:divBdr>
    </w:div>
    <w:div w:id="196937738">
      <w:bodyDiv w:val="1"/>
      <w:marLeft w:val="0"/>
      <w:marRight w:val="0"/>
      <w:marTop w:val="0"/>
      <w:marBottom w:val="0"/>
      <w:divBdr>
        <w:top w:val="none" w:sz="0" w:space="0" w:color="auto"/>
        <w:left w:val="none" w:sz="0" w:space="0" w:color="auto"/>
        <w:bottom w:val="none" w:sz="0" w:space="0" w:color="auto"/>
        <w:right w:val="none" w:sz="0" w:space="0" w:color="auto"/>
      </w:divBdr>
    </w:div>
    <w:div w:id="296105228">
      <w:bodyDiv w:val="1"/>
      <w:marLeft w:val="0"/>
      <w:marRight w:val="0"/>
      <w:marTop w:val="0"/>
      <w:marBottom w:val="0"/>
      <w:divBdr>
        <w:top w:val="none" w:sz="0" w:space="0" w:color="auto"/>
        <w:left w:val="none" w:sz="0" w:space="0" w:color="auto"/>
        <w:bottom w:val="none" w:sz="0" w:space="0" w:color="auto"/>
        <w:right w:val="none" w:sz="0" w:space="0" w:color="auto"/>
      </w:divBdr>
    </w:div>
    <w:div w:id="433594956">
      <w:bodyDiv w:val="1"/>
      <w:marLeft w:val="0"/>
      <w:marRight w:val="0"/>
      <w:marTop w:val="0"/>
      <w:marBottom w:val="0"/>
      <w:divBdr>
        <w:top w:val="none" w:sz="0" w:space="0" w:color="auto"/>
        <w:left w:val="none" w:sz="0" w:space="0" w:color="auto"/>
        <w:bottom w:val="none" w:sz="0" w:space="0" w:color="auto"/>
        <w:right w:val="none" w:sz="0" w:space="0" w:color="auto"/>
      </w:divBdr>
    </w:div>
    <w:div w:id="545989035">
      <w:bodyDiv w:val="1"/>
      <w:marLeft w:val="0"/>
      <w:marRight w:val="0"/>
      <w:marTop w:val="0"/>
      <w:marBottom w:val="0"/>
      <w:divBdr>
        <w:top w:val="none" w:sz="0" w:space="0" w:color="auto"/>
        <w:left w:val="none" w:sz="0" w:space="0" w:color="auto"/>
        <w:bottom w:val="none" w:sz="0" w:space="0" w:color="auto"/>
        <w:right w:val="none" w:sz="0" w:space="0" w:color="auto"/>
      </w:divBdr>
    </w:div>
    <w:div w:id="736394478">
      <w:bodyDiv w:val="1"/>
      <w:marLeft w:val="0"/>
      <w:marRight w:val="0"/>
      <w:marTop w:val="0"/>
      <w:marBottom w:val="0"/>
      <w:divBdr>
        <w:top w:val="none" w:sz="0" w:space="0" w:color="auto"/>
        <w:left w:val="none" w:sz="0" w:space="0" w:color="auto"/>
        <w:bottom w:val="none" w:sz="0" w:space="0" w:color="auto"/>
        <w:right w:val="none" w:sz="0" w:space="0" w:color="auto"/>
      </w:divBdr>
    </w:div>
    <w:div w:id="738988945">
      <w:bodyDiv w:val="1"/>
      <w:marLeft w:val="0"/>
      <w:marRight w:val="0"/>
      <w:marTop w:val="0"/>
      <w:marBottom w:val="0"/>
      <w:divBdr>
        <w:top w:val="none" w:sz="0" w:space="0" w:color="auto"/>
        <w:left w:val="none" w:sz="0" w:space="0" w:color="auto"/>
        <w:bottom w:val="none" w:sz="0" w:space="0" w:color="auto"/>
        <w:right w:val="none" w:sz="0" w:space="0" w:color="auto"/>
      </w:divBdr>
    </w:div>
    <w:div w:id="1061906644">
      <w:bodyDiv w:val="1"/>
      <w:marLeft w:val="0"/>
      <w:marRight w:val="0"/>
      <w:marTop w:val="0"/>
      <w:marBottom w:val="0"/>
      <w:divBdr>
        <w:top w:val="none" w:sz="0" w:space="0" w:color="auto"/>
        <w:left w:val="none" w:sz="0" w:space="0" w:color="auto"/>
        <w:bottom w:val="none" w:sz="0" w:space="0" w:color="auto"/>
        <w:right w:val="none" w:sz="0" w:space="0" w:color="auto"/>
      </w:divBdr>
    </w:div>
    <w:div w:id="1082485152">
      <w:bodyDiv w:val="1"/>
      <w:marLeft w:val="0"/>
      <w:marRight w:val="0"/>
      <w:marTop w:val="0"/>
      <w:marBottom w:val="0"/>
      <w:divBdr>
        <w:top w:val="none" w:sz="0" w:space="0" w:color="auto"/>
        <w:left w:val="none" w:sz="0" w:space="0" w:color="auto"/>
        <w:bottom w:val="none" w:sz="0" w:space="0" w:color="auto"/>
        <w:right w:val="none" w:sz="0" w:space="0" w:color="auto"/>
      </w:divBdr>
    </w:div>
    <w:div w:id="1182087024">
      <w:bodyDiv w:val="1"/>
      <w:marLeft w:val="0"/>
      <w:marRight w:val="0"/>
      <w:marTop w:val="0"/>
      <w:marBottom w:val="0"/>
      <w:divBdr>
        <w:top w:val="none" w:sz="0" w:space="0" w:color="auto"/>
        <w:left w:val="none" w:sz="0" w:space="0" w:color="auto"/>
        <w:bottom w:val="none" w:sz="0" w:space="0" w:color="auto"/>
        <w:right w:val="none" w:sz="0" w:space="0" w:color="auto"/>
      </w:divBdr>
    </w:div>
    <w:div w:id="1560439753">
      <w:bodyDiv w:val="1"/>
      <w:marLeft w:val="0"/>
      <w:marRight w:val="0"/>
      <w:marTop w:val="0"/>
      <w:marBottom w:val="0"/>
      <w:divBdr>
        <w:top w:val="none" w:sz="0" w:space="0" w:color="auto"/>
        <w:left w:val="none" w:sz="0" w:space="0" w:color="auto"/>
        <w:bottom w:val="none" w:sz="0" w:space="0" w:color="auto"/>
        <w:right w:val="none" w:sz="0" w:space="0" w:color="auto"/>
      </w:divBdr>
    </w:div>
    <w:div w:id="1586838868">
      <w:bodyDiv w:val="1"/>
      <w:marLeft w:val="0"/>
      <w:marRight w:val="0"/>
      <w:marTop w:val="0"/>
      <w:marBottom w:val="0"/>
      <w:divBdr>
        <w:top w:val="none" w:sz="0" w:space="0" w:color="auto"/>
        <w:left w:val="none" w:sz="0" w:space="0" w:color="auto"/>
        <w:bottom w:val="none" w:sz="0" w:space="0" w:color="auto"/>
        <w:right w:val="none" w:sz="0" w:space="0" w:color="auto"/>
      </w:divBdr>
    </w:div>
    <w:div w:id="1616596510">
      <w:bodyDiv w:val="1"/>
      <w:marLeft w:val="0"/>
      <w:marRight w:val="0"/>
      <w:marTop w:val="0"/>
      <w:marBottom w:val="0"/>
      <w:divBdr>
        <w:top w:val="none" w:sz="0" w:space="0" w:color="auto"/>
        <w:left w:val="none" w:sz="0" w:space="0" w:color="auto"/>
        <w:bottom w:val="none" w:sz="0" w:space="0" w:color="auto"/>
        <w:right w:val="none" w:sz="0" w:space="0" w:color="auto"/>
      </w:divBdr>
    </w:div>
    <w:div w:id="1968393702">
      <w:bodyDiv w:val="1"/>
      <w:marLeft w:val="0"/>
      <w:marRight w:val="0"/>
      <w:marTop w:val="0"/>
      <w:marBottom w:val="0"/>
      <w:divBdr>
        <w:top w:val="none" w:sz="0" w:space="0" w:color="auto"/>
        <w:left w:val="none" w:sz="0" w:space="0" w:color="auto"/>
        <w:bottom w:val="none" w:sz="0" w:space="0" w:color="auto"/>
        <w:right w:val="none" w:sz="0" w:space="0" w:color="auto"/>
      </w:divBdr>
    </w:div>
    <w:div w:id="2000839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geo/" TargetMode="External"/><Relationship Id="rId13" Type="http://schemas.openxmlformats.org/officeDocument/2006/relationships/hyperlink" Target="https://www.ncbi.nlm.nih.gov/geo/query/acc.cgi?acc=GSE20186"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github.com/ConorGilesDoran/MSc_Thesis_Transcriptomics" TargetMode="External"/><Relationship Id="rId12" Type="http://schemas.openxmlformats.org/officeDocument/2006/relationships/hyperlink" Target="https://www.ncbi.nlm.nih.gov/geo/query/acc.cgi?acc=GSE2029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ncbi.nlm.nih.gov/geo/query/acc.cgi?acc=GSE20141" TargetMode="External"/><Relationship Id="rId1" Type="http://schemas.openxmlformats.org/officeDocument/2006/relationships/customXml" Target="../customXml/item1.xml"/><Relationship Id="rId6" Type="http://schemas.openxmlformats.org/officeDocument/2006/relationships/hyperlink" Target="https://www.bioconductor.org/" TargetMode="External"/><Relationship Id="rId11" Type="http://schemas.openxmlformats.org/officeDocument/2006/relationships/hyperlink" Target="https://www.ncbi.nlm.nih.gov/geo/query/acc.cgi?acc=GSE49036" TargetMode="External"/><Relationship Id="rId5" Type="http://schemas.openxmlformats.org/officeDocument/2006/relationships/hyperlink" Target="http://cran.r-project.org/" TargetMode="External"/><Relationship Id="rId15" Type="http://schemas.openxmlformats.org/officeDocument/2006/relationships/hyperlink" Target="https://www.ncbi.nlm.nih.gov/geo/query/acc.cgi?acc=GSE20141" TargetMode="External"/><Relationship Id="rId10" Type="http://schemas.openxmlformats.org/officeDocument/2006/relationships/hyperlink" Target="https://www.ncbi.nlm.nih.gov/geo/query/acc.cgi?acc=GSE7621" TargetMode="External"/><Relationship Id="rId4" Type="http://schemas.openxmlformats.org/officeDocument/2006/relationships/webSettings" Target="webSettings.xml"/><Relationship Id="rId9" Type="http://schemas.openxmlformats.org/officeDocument/2006/relationships/hyperlink" Target="https://www.ncbi.nlm.nih.gov/geo/query/acc.cgi?acc=GSE8397" TargetMode="External"/><Relationship Id="rId14" Type="http://schemas.openxmlformats.org/officeDocument/2006/relationships/hyperlink" Target="https://www.ncbi.nlm.nih.gov/geo/query/acc.cgi?acc=GSE2014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21BD7F-FFC7-425B-9C2F-B781831B79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10346</Words>
  <Characters>58977</Characters>
  <Application>Microsoft Office Word</Application>
  <DocSecurity>0</DocSecurity>
  <Lines>491</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O'Keeffe, Gerard</dc:creator>
  <cp:keywords/>
  <dc:description/>
  <cp:lastModifiedBy>Fionnuala Elizabeth Wilson (Umail)</cp:lastModifiedBy>
  <cp:revision>2</cp:revision>
  <dcterms:created xsi:type="dcterms:W3CDTF">2023-03-15T14:46:00Z</dcterms:created>
  <dcterms:modified xsi:type="dcterms:W3CDTF">2023-03-15T14:46:00Z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zotero-version="6.0.15"&gt;&lt;session id="IHKR1cCf"/&gt;&lt;style id="" hasBibliography="0" bibliographyStyleHasBeenSet="0"/&gt;&lt;prefs/&gt;&lt;/data&gt;</vt:lpwstr>
  </property>
</Properties>
</file>