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CCA" w:rsidRPr="00282CFE" w:rsidRDefault="001C72EB" w:rsidP="00F27CCA">
      <w:pPr>
        <w:pStyle w:val="Heading1"/>
        <w:rPr>
          <w:rFonts w:ascii="Times New Roman" w:hAnsi="Times New Roman" w:cs="Times New Roman"/>
        </w:rPr>
      </w:pPr>
      <w:r w:rsidRPr="00282CFE">
        <w:rPr>
          <w:rFonts w:ascii="Times New Roman" w:hAnsi="Times New Roman" w:cs="Times New Roman"/>
        </w:rPr>
        <w:t xml:space="preserve">Description: </w:t>
      </w:r>
      <w:r w:rsidR="00F27CCA" w:rsidRPr="00282CFE">
        <w:rPr>
          <w:rFonts w:ascii="Times New Roman" w:hAnsi="Times New Roman" w:cs="Times New Roman"/>
        </w:rPr>
        <w:t xml:space="preserve">Examining three measures of frailty as a predictor of service utilization” </w:t>
      </w:r>
    </w:p>
    <w:p w:rsidR="00F27CCA" w:rsidRPr="00282CFE" w:rsidRDefault="00F27CCA" w:rsidP="00F27CCA">
      <w:pPr>
        <w:rPr>
          <w:rFonts w:ascii="Times New Roman" w:hAnsi="Times New Roman" w:cs="Times New Roman"/>
        </w:rPr>
      </w:pPr>
    </w:p>
    <w:p w:rsidR="00273ADC" w:rsidRPr="00282CFE" w:rsidRDefault="00273ADC" w:rsidP="00273ADC">
      <w:pPr>
        <w:spacing w:line="360" w:lineRule="auto"/>
        <w:rPr>
          <w:rFonts w:ascii="Times New Roman" w:hAnsi="Times New Roman" w:cs="Times New Roman"/>
          <w:sz w:val="24"/>
        </w:rPr>
      </w:pPr>
      <w:r w:rsidRPr="00282CFE">
        <w:rPr>
          <w:rFonts w:ascii="Times New Roman" w:hAnsi="Times New Roman" w:cs="Times New Roman"/>
          <w:sz w:val="24"/>
        </w:rPr>
        <w:t xml:space="preserve">The data outlining the differences in proportions of service use per each frailty measure were not included in the original submission, but are provided below. To compare frailty measures, each measure was transformed into quasi-continuous variables by examining rates of service utilisation across a </w:t>
      </w:r>
      <w:proofErr w:type="spellStart"/>
      <w:r w:rsidRPr="00282CFE">
        <w:rPr>
          <w:rFonts w:ascii="Times New Roman" w:hAnsi="Times New Roman" w:cs="Times New Roman"/>
          <w:sz w:val="24"/>
        </w:rPr>
        <w:t>decile</w:t>
      </w:r>
      <w:proofErr w:type="spellEnd"/>
      <w:r w:rsidRPr="00282CFE">
        <w:rPr>
          <w:rFonts w:ascii="Times New Roman" w:hAnsi="Times New Roman" w:cs="Times New Roman"/>
          <w:sz w:val="24"/>
        </w:rPr>
        <w:t xml:space="preserve"> distribution of each frailty measure. The frailty index was best equipped to make this transformation as prior to categorization, it is an index ranging fr</w:t>
      </w:r>
      <w:bookmarkStart w:id="0" w:name="_GoBack"/>
      <w:bookmarkEnd w:id="0"/>
      <w:r w:rsidRPr="00282CFE">
        <w:rPr>
          <w:rFonts w:ascii="Times New Roman" w:hAnsi="Times New Roman" w:cs="Times New Roman"/>
          <w:sz w:val="24"/>
        </w:rPr>
        <w:t>om (0.0, 0.1, 0.2, 0.3, 0.4…1). By contrast, the Fried phenotype and FRAIL scales prior to categorization are both a sum of positive indications across five indicators (0</w:t>
      </w:r>
      <w:proofErr w:type="gramStart"/>
      <w:r w:rsidRPr="00282CFE">
        <w:rPr>
          <w:rFonts w:ascii="Times New Roman" w:hAnsi="Times New Roman" w:cs="Times New Roman"/>
          <w:sz w:val="24"/>
        </w:rPr>
        <w:t>,1,2,3,4,5</w:t>
      </w:r>
      <w:proofErr w:type="gramEnd"/>
      <w:r w:rsidRPr="00282CFE">
        <w:rPr>
          <w:rFonts w:ascii="Times New Roman" w:hAnsi="Times New Roman" w:cs="Times New Roman"/>
          <w:sz w:val="24"/>
        </w:rPr>
        <w:t xml:space="preserve">) and thus transform to a </w:t>
      </w:r>
      <w:proofErr w:type="spellStart"/>
      <w:r w:rsidRPr="00282CFE">
        <w:rPr>
          <w:rFonts w:ascii="Times New Roman" w:hAnsi="Times New Roman" w:cs="Times New Roman"/>
          <w:sz w:val="24"/>
        </w:rPr>
        <w:t>quantile</w:t>
      </w:r>
      <w:proofErr w:type="spellEnd"/>
      <w:r w:rsidRPr="00282CFE">
        <w:rPr>
          <w:rFonts w:ascii="Times New Roman" w:hAnsi="Times New Roman" w:cs="Times New Roman"/>
          <w:sz w:val="24"/>
        </w:rPr>
        <w:t xml:space="preserve"> distribution; see Table 1 below. </w:t>
      </w:r>
    </w:p>
    <w:p w:rsidR="00273ADC" w:rsidRPr="00282CFE" w:rsidRDefault="00273ADC" w:rsidP="00273ADC">
      <w:pPr>
        <w:rPr>
          <w:rFonts w:ascii="Times New Roman" w:hAnsi="Times New Roman" w:cs="Times New Roman"/>
        </w:rPr>
      </w:pPr>
    </w:p>
    <w:p w:rsidR="00273ADC" w:rsidRPr="00B66BF6" w:rsidRDefault="00273ADC" w:rsidP="00273ADC">
      <w:pPr>
        <w:pStyle w:val="Caption"/>
        <w:keepNext/>
        <w:rPr>
          <w:rFonts w:cs="Times New Roman"/>
          <w:b/>
          <w:i w:val="0"/>
          <w:sz w:val="20"/>
        </w:rPr>
      </w:pPr>
      <w:r w:rsidRPr="00B66BF6">
        <w:rPr>
          <w:rFonts w:cs="Times New Roman"/>
          <w:b/>
          <w:i w:val="0"/>
          <w:sz w:val="20"/>
        </w:rPr>
        <w:t xml:space="preserve">Table </w:t>
      </w:r>
      <w:r w:rsidRPr="00B66BF6">
        <w:rPr>
          <w:rFonts w:cs="Times New Roman"/>
          <w:b/>
          <w:i w:val="0"/>
          <w:sz w:val="20"/>
        </w:rPr>
        <w:fldChar w:fldCharType="begin"/>
      </w:r>
      <w:r w:rsidRPr="00B66BF6">
        <w:rPr>
          <w:rFonts w:cs="Times New Roman"/>
          <w:b/>
          <w:i w:val="0"/>
          <w:sz w:val="20"/>
        </w:rPr>
        <w:instrText xml:space="preserve"> SEQ Table \* ARABIC </w:instrText>
      </w:r>
      <w:r w:rsidRPr="00B66BF6">
        <w:rPr>
          <w:rFonts w:cs="Times New Roman"/>
          <w:b/>
          <w:i w:val="0"/>
          <w:sz w:val="20"/>
        </w:rPr>
        <w:fldChar w:fldCharType="separate"/>
      </w:r>
      <w:r w:rsidR="00282CFE" w:rsidRPr="00B66BF6">
        <w:rPr>
          <w:rFonts w:cs="Times New Roman"/>
          <w:b/>
          <w:i w:val="0"/>
          <w:noProof/>
          <w:sz w:val="20"/>
        </w:rPr>
        <w:t>1</w:t>
      </w:r>
      <w:r w:rsidRPr="00B66BF6">
        <w:rPr>
          <w:rFonts w:cs="Times New Roman"/>
          <w:b/>
          <w:i w:val="0"/>
          <w:noProof/>
          <w:sz w:val="20"/>
        </w:rPr>
        <w:fldChar w:fldCharType="end"/>
      </w:r>
      <w:r w:rsidRPr="00B66BF6">
        <w:rPr>
          <w:rFonts w:cs="Times New Roman"/>
          <w:b/>
          <w:i w:val="0"/>
          <w:sz w:val="20"/>
        </w:rPr>
        <w:t xml:space="preserve"> Quasi continuous frailty measures operationalized in the TILDA dataset among participants aged ≥65 years </w:t>
      </w:r>
    </w:p>
    <w:tbl>
      <w:tblPr>
        <w:tblStyle w:val="TableGrid"/>
        <w:tblW w:w="8370" w:type="dxa"/>
        <w:tblLook w:val="04A0" w:firstRow="1" w:lastRow="0" w:firstColumn="1" w:lastColumn="0" w:noHBand="0" w:noVBand="1"/>
      </w:tblPr>
      <w:tblGrid>
        <w:gridCol w:w="2356"/>
        <w:gridCol w:w="601"/>
        <w:gridCol w:w="601"/>
        <w:gridCol w:w="602"/>
        <w:gridCol w:w="601"/>
        <w:gridCol w:w="602"/>
        <w:gridCol w:w="601"/>
        <w:gridCol w:w="601"/>
        <w:gridCol w:w="602"/>
        <w:gridCol w:w="601"/>
        <w:gridCol w:w="602"/>
      </w:tblGrid>
      <w:tr w:rsidR="00273ADC" w:rsidRPr="00282CFE" w:rsidTr="00282CFE">
        <w:trPr>
          <w:trHeight w:val="195"/>
        </w:trPr>
        <w:tc>
          <w:tcPr>
            <w:tcW w:w="2356" w:type="dxa"/>
          </w:tcPr>
          <w:p w:rsidR="00273ADC" w:rsidRPr="00282CFE" w:rsidRDefault="00273ADC" w:rsidP="007F4ADC">
            <w:pPr>
              <w:pStyle w:val="PlainText"/>
              <w:rPr>
                <w:rFonts w:ascii="Times New Roman" w:hAnsi="Times New Roman" w:cs="Times New Roman"/>
                <w:i/>
                <w:sz w:val="16"/>
                <w:szCs w:val="22"/>
              </w:rPr>
            </w:pPr>
            <w:proofErr w:type="spellStart"/>
            <w:r w:rsidRPr="00282CFE">
              <w:rPr>
                <w:rFonts w:ascii="Times New Roman" w:hAnsi="Times New Roman" w:cs="Times New Roman"/>
                <w:i/>
                <w:sz w:val="16"/>
                <w:szCs w:val="22"/>
              </w:rPr>
              <w:t>Decile</w:t>
            </w:r>
            <w:proofErr w:type="spellEnd"/>
            <w:r w:rsidRPr="00282CFE">
              <w:rPr>
                <w:rFonts w:ascii="Times New Roman" w:hAnsi="Times New Roman" w:cs="Times New Roman"/>
                <w:i/>
                <w:sz w:val="16"/>
                <w:szCs w:val="22"/>
              </w:rPr>
              <w:t xml:space="preserve"> </w:t>
            </w:r>
          </w:p>
        </w:tc>
        <w:tc>
          <w:tcPr>
            <w:tcW w:w="601"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10</w:t>
            </w:r>
          </w:p>
        </w:tc>
        <w:tc>
          <w:tcPr>
            <w:tcW w:w="601"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20</w:t>
            </w:r>
          </w:p>
        </w:tc>
        <w:tc>
          <w:tcPr>
            <w:tcW w:w="602"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30</w:t>
            </w:r>
          </w:p>
        </w:tc>
        <w:tc>
          <w:tcPr>
            <w:tcW w:w="601"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40</w:t>
            </w:r>
          </w:p>
        </w:tc>
        <w:tc>
          <w:tcPr>
            <w:tcW w:w="602"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50</w:t>
            </w:r>
          </w:p>
        </w:tc>
        <w:tc>
          <w:tcPr>
            <w:tcW w:w="601"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60</w:t>
            </w:r>
          </w:p>
        </w:tc>
        <w:tc>
          <w:tcPr>
            <w:tcW w:w="601"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70</w:t>
            </w:r>
          </w:p>
        </w:tc>
        <w:tc>
          <w:tcPr>
            <w:tcW w:w="602"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80</w:t>
            </w:r>
          </w:p>
        </w:tc>
        <w:tc>
          <w:tcPr>
            <w:tcW w:w="601"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90</w:t>
            </w:r>
          </w:p>
        </w:tc>
        <w:tc>
          <w:tcPr>
            <w:tcW w:w="602" w:type="dxa"/>
          </w:tcPr>
          <w:p w:rsidR="00273ADC" w:rsidRPr="00282CFE" w:rsidRDefault="00273ADC" w:rsidP="007F4ADC">
            <w:pPr>
              <w:pStyle w:val="PlainText"/>
              <w:rPr>
                <w:rFonts w:ascii="Times New Roman" w:hAnsi="Times New Roman" w:cs="Times New Roman"/>
                <w:i/>
                <w:sz w:val="16"/>
                <w:szCs w:val="22"/>
              </w:rPr>
            </w:pPr>
            <w:r w:rsidRPr="00282CFE">
              <w:rPr>
                <w:rFonts w:ascii="Times New Roman" w:hAnsi="Times New Roman" w:cs="Times New Roman"/>
                <w:i/>
                <w:sz w:val="16"/>
                <w:szCs w:val="22"/>
              </w:rPr>
              <w:t>100</w:t>
            </w:r>
          </w:p>
        </w:tc>
      </w:tr>
      <w:tr w:rsidR="00273ADC" w:rsidRPr="00282CFE" w:rsidTr="00282CFE">
        <w:trPr>
          <w:trHeight w:val="390"/>
        </w:trPr>
        <w:tc>
          <w:tcPr>
            <w:tcW w:w="2356"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Quasi-continuous Frailty Index score (n=3,507)</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0.03</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0.06</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0.08</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0.11</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0.12</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0.16</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0.20</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0.25</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0.33</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0.70</w:t>
            </w:r>
          </w:p>
        </w:tc>
      </w:tr>
      <w:tr w:rsidR="00273ADC" w:rsidRPr="00282CFE" w:rsidTr="00282CFE">
        <w:trPr>
          <w:trHeight w:val="373"/>
        </w:trPr>
        <w:tc>
          <w:tcPr>
            <w:tcW w:w="2356"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Quasi-continuous Fried Phenotype score (n=2,287)</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1</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1</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1</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2</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3-5</w:t>
            </w:r>
          </w:p>
        </w:tc>
      </w:tr>
      <w:tr w:rsidR="00273ADC" w:rsidRPr="00282CFE" w:rsidTr="00282CFE">
        <w:trPr>
          <w:trHeight w:val="390"/>
        </w:trPr>
        <w:tc>
          <w:tcPr>
            <w:tcW w:w="2356"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Quasi-continuous FRAIL scale score (n=3,486)</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0</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1</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1</w:t>
            </w:r>
          </w:p>
        </w:tc>
        <w:tc>
          <w:tcPr>
            <w:tcW w:w="601"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2</w:t>
            </w:r>
          </w:p>
        </w:tc>
        <w:tc>
          <w:tcPr>
            <w:tcW w:w="602" w:type="dxa"/>
          </w:tcPr>
          <w:p w:rsidR="00273ADC" w:rsidRPr="00282CFE" w:rsidRDefault="00273ADC" w:rsidP="007F4ADC">
            <w:pPr>
              <w:pStyle w:val="PlainText"/>
              <w:rPr>
                <w:rFonts w:ascii="Times New Roman" w:hAnsi="Times New Roman" w:cs="Times New Roman"/>
                <w:sz w:val="16"/>
                <w:szCs w:val="22"/>
              </w:rPr>
            </w:pPr>
            <w:r w:rsidRPr="00282CFE">
              <w:rPr>
                <w:rFonts w:ascii="Times New Roman" w:hAnsi="Times New Roman" w:cs="Times New Roman"/>
                <w:sz w:val="16"/>
                <w:szCs w:val="22"/>
              </w:rPr>
              <w:t>3-5</w:t>
            </w:r>
          </w:p>
        </w:tc>
      </w:tr>
    </w:tbl>
    <w:p w:rsidR="00273ADC" w:rsidRPr="00282CFE" w:rsidRDefault="00273ADC" w:rsidP="00273ADC">
      <w:pPr>
        <w:spacing w:line="360" w:lineRule="auto"/>
        <w:rPr>
          <w:rFonts w:ascii="Times New Roman" w:hAnsi="Times New Roman" w:cs="Times New Roman"/>
        </w:rPr>
      </w:pPr>
    </w:p>
    <w:p w:rsidR="00273ADC" w:rsidRPr="00282CFE" w:rsidRDefault="00273ADC" w:rsidP="00273ADC">
      <w:pPr>
        <w:spacing w:line="360" w:lineRule="auto"/>
        <w:rPr>
          <w:rFonts w:ascii="Times New Roman" w:hAnsi="Times New Roman" w:cs="Times New Roman"/>
          <w:sz w:val="24"/>
        </w:rPr>
      </w:pPr>
      <w:r w:rsidRPr="00282CFE">
        <w:rPr>
          <w:rFonts w:ascii="Times New Roman" w:hAnsi="Times New Roman" w:cs="Times New Roman"/>
          <w:sz w:val="24"/>
        </w:rPr>
        <w:t xml:space="preserve">Using these new quasi-continuous variables, we examined the association between each frailty measure and service utilisation. We found that the tenth </w:t>
      </w:r>
      <w:proofErr w:type="spellStart"/>
      <w:r w:rsidRPr="00282CFE">
        <w:rPr>
          <w:rFonts w:ascii="Times New Roman" w:hAnsi="Times New Roman" w:cs="Times New Roman"/>
          <w:sz w:val="24"/>
        </w:rPr>
        <w:t>decile</w:t>
      </w:r>
      <w:proofErr w:type="spellEnd"/>
      <w:r w:rsidRPr="00282CFE">
        <w:rPr>
          <w:rFonts w:ascii="Times New Roman" w:hAnsi="Times New Roman" w:cs="Times New Roman"/>
          <w:sz w:val="24"/>
        </w:rPr>
        <w:t xml:space="preserve"> in the quasi-continuous frailty index accounted for between 13-54% of social care or allied health care. By contrast, the fourth quartile in the quasi-continuous FRAIL scale captured 6-30% of social care or allied health care and similarly, the fourth quartile in the quasi-continuous Fried phenotype captured between 1-31% of social care or allied health care utilisation, see Figure 1, 2, and 3 below. </w:t>
      </w:r>
    </w:p>
    <w:p w:rsidR="00273ADC" w:rsidRDefault="00273ADC" w:rsidP="00273ADC">
      <w:pPr>
        <w:spacing w:line="360" w:lineRule="auto"/>
      </w:pPr>
    </w:p>
    <w:p w:rsidR="00273ADC" w:rsidRDefault="00273ADC" w:rsidP="00273ADC">
      <w:pPr>
        <w:spacing w:line="360" w:lineRule="auto"/>
      </w:pPr>
    </w:p>
    <w:p w:rsidR="00273ADC" w:rsidRDefault="00273ADC" w:rsidP="00273ADC">
      <w:pPr>
        <w:spacing w:line="360" w:lineRule="auto"/>
      </w:pPr>
    </w:p>
    <w:p w:rsidR="00273ADC" w:rsidRDefault="00273ADC" w:rsidP="00273ADC">
      <w:pPr>
        <w:spacing w:line="360" w:lineRule="auto"/>
      </w:pPr>
    </w:p>
    <w:p w:rsidR="00273ADC" w:rsidRDefault="00273ADC" w:rsidP="00273ADC">
      <w:pPr>
        <w:spacing w:line="360" w:lineRule="auto"/>
      </w:pPr>
    </w:p>
    <w:p w:rsidR="00273ADC" w:rsidRDefault="00273ADC" w:rsidP="00273ADC">
      <w:pPr>
        <w:spacing w:line="360" w:lineRule="auto"/>
      </w:pPr>
    </w:p>
    <w:p w:rsidR="00273ADC" w:rsidRDefault="00273ADC" w:rsidP="00273ADC">
      <w:pPr>
        <w:spacing w:line="360" w:lineRule="auto"/>
      </w:pPr>
    </w:p>
    <w:p w:rsidR="00273ADC" w:rsidRDefault="00273ADC" w:rsidP="00273ADC">
      <w:pPr>
        <w:spacing w:line="360" w:lineRule="auto"/>
      </w:pPr>
    </w:p>
    <w:p w:rsidR="00273ADC" w:rsidRDefault="00273ADC" w:rsidP="00273ADC">
      <w:pPr>
        <w:spacing w:line="360" w:lineRule="auto"/>
      </w:pPr>
    </w:p>
    <w:p w:rsidR="00273ADC" w:rsidRDefault="00273ADC" w:rsidP="00273ADC">
      <w:pPr>
        <w:spacing w:line="360" w:lineRule="auto"/>
      </w:pPr>
    </w:p>
    <w:p w:rsidR="00273ADC" w:rsidRDefault="00273ADC" w:rsidP="00273ADC">
      <w:pPr>
        <w:pStyle w:val="Caption"/>
        <w:jc w:val="left"/>
      </w:pPr>
      <w:r w:rsidRPr="00B66BF6">
        <w:rPr>
          <w:b/>
          <w:i w:val="0"/>
          <w:sz w:val="20"/>
          <w:szCs w:val="24"/>
        </w:rPr>
        <w:lastRenderedPageBreak/>
        <w:t xml:space="preserve">Figure </w:t>
      </w:r>
      <w:r w:rsidRPr="00B66BF6">
        <w:rPr>
          <w:b/>
          <w:i w:val="0"/>
          <w:sz w:val="20"/>
          <w:szCs w:val="24"/>
        </w:rPr>
        <w:fldChar w:fldCharType="begin"/>
      </w:r>
      <w:r w:rsidRPr="00B66BF6">
        <w:rPr>
          <w:b/>
          <w:i w:val="0"/>
          <w:sz w:val="20"/>
          <w:szCs w:val="24"/>
        </w:rPr>
        <w:instrText xml:space="preserve"> SEQ Figure \* ARABIC </w:instrText>
      </w:r>
      <w:r w:rsidRPr="00B66BF6">
        <w:rPr>
          <w:b/>
          <w:i w:val="0"/>
          <w:sz w:val="20"/>
          <w:szCs w:val="24"/>
        </w:rPr>
        <w:fldChar w:fldCharType="separate"/>
      </w:r>
      <w:r w:rsidRPr="00B66BF6">
        <w:rPr>
          <w:b/>
          <w:i w:val="0"/>
          <w:noProof/>
          <w:sz w:val="20"/>
          <w:szCs w:val="24"/>
        </w:rPr>
        <w:t>1</w:t>
      </w:r>
      <w:r w:rsidRPr="00B66BF6">
        <w:rPr>
          <w:b/>
          <w:i w:val="0"/>
          <w:noProof/>
          <w:sz w:val="20"/>
          <w:szCs w:val="24"/>
        </w:rPr>
        <w:fldChar w:fldCharType="end"/>
      </w:r>
      <w:r w:rsidRPr="00B66BF6">
        <w:rPr>
          <w:b/>
          <w:i w:val="0"/>
          <w:sz w:val="20"/>
          <w:szCs w:val="24"/>
        </w:rPr>
        <w:t xml:space="preserve"> </w:t>
      </w:r>
      <w:proofErr w:type="gramStart"/>
      <w:r w:rsidRPr="00B66BF6">
        <w:rPr>
          <w:b/>
          <w:i w:val="0"/>
          <w:sz w:val="20"/>
          <w:szCs w:val="24"/>
        </w:rPr>
        <w:t>The</w:t>
      </w:r>
      <w:proofErr w:type="gramEnd"/>
      <w:r w:rsidRPr="00B66BF6">
        <w:rPr>
          <w:b/>
          <w:i w:val="0"/>
          <w:sz w:val="20"/>
          <w:szCs w:val="24"/>
        </w:rPr>
        <w:t xml:space="preserve"> association between service utilisation and the quasi-continuous frailty index measure in the older population aged </w:t>
      </w:r>
      <w:r w:rsidRPr="00B66BF6">
        <w:rPr>
          <w:rFonts w:cstheme="minorHAnsi"/>
          <w:b/>
          <w:i w:val="0"/>
          <w:sz w:val="20"/>
          <w:szCs w:val="24"/>
        </w:rPr>
        <w:t>≥</w:t>
      </w:r>
      <w:r w:rsidRPr="00B66BF6">
        <w:rPr>
          <w:b/>
          <w:i w:val="0"/>
          <w:sz w:val="20"/>
          <w:szCs w:val="24"/>
        </w:rPr>
        <w:t>65 years (TILDA, wave 1)</w:t>
      </w:r>
      <w:r w:rsidRPr="00B66BF6">
        <w:rPr>
          <w:sz w:val="14"/>
        </w:rPr>
        <w:t xml:space="preserve"> </w:t>
      </w:r>
      <w:r>
        <w:rPr>
          <w:noProof/>
          <w:lang w:val="en-IE" w:eastAsia="en-IE"/>
        </w:rPr>
        <w:drawing>
          <wp:inline distT="0" distB="0" distL="0" distR="0" wp14:anchorId="41A985FC" wp14:editId="1F85F8CE">
            <wp:extent cx="5716988" cy="3737113"/>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73ADC" w:rsidRDefault="00273ADC" w:rsidP="00273ADC">
      <w:pPr>
        <w:pStyle w:val="Caption"/>
        <w:keepNext/>
        <w:jc w:val="left"/>
        <w:sectPr w:rsidR="00273ADC" w:rsidSect="00273ADC">
          <w:pgSz w:w="11906" w:h="16838"/>
          <w:pgMar w:top="1440" w:right="1797" w:bottom="1440" w:left="1797" w:header="851" w:footer="992" w:gutter="0"/>
          <w:cols w:space="425"/>
          <w:docGrid w:linePitch="312"/>
        </w:sectPr>
      </w:pPr>
      <w:r w:rsidRPr="00B66BF6">
        <w:rPr>
          <w:b/>
          <w:i w:val="0"/>
          <w:sz w:val="20"/>
          <w:szCs w:val="24"/>
        </w:rPr>
        <w:t xml:space="preserve">Figure </w:t>
      </w:r>
      <w:r w:rsidRPr="00B66BF6">
        <w:rPr>
          <w:b/>
          <w:i w:val="0"/>
          <w:sz w:val="20"/>
          <w:szCs w:val="24"/>
        </w:rPr>
        <w:fldChar w:fldCharType="begin"/>
      </w:r>
      <w:r w:rsidRPr="00B66BF6">
        <w:rPr>
          <w:b/>
          <w:i w:val="0"/>
          <w:sz w:val="20"/>
          <w:szCs w:val="24"/>
        </w:rPr>
        <w:instrText xml:space="preserve"> SEQ Figure \* ARABIC </w:instrText>
      </w:r>
      <w:r w:rsidRPr="00B66BF6">
        <w:rPr>
          <w:b/>
          <w:i w:val="0"/>
          <w:sz w:val="20"/>
          <w:szCs w:val="24"/>
        </w:rPr>
        <w:fldChar w:fldCharType="separate"/>
      </w:r>
      <w:r w:rsidRPr="00B66BF6">
        <w:rPr>
          <w:b/>
          <w:i w:val="0"/>
          <w:noProof/>
          <w:sz w:val="20"/>
          <w:szCs w:val="24"/>
        </w:rPr>
        <w:t>2</w:t>
      </w:r>
      <w:r w:rsidRPr="00B66BF6">
        <w:rPr>
          <w:b/>
          <w:i w:val="0"/>
          <w:sz w:val="20"/>
          <w:szCs w:val="24"/>
        </w:rPr>
        <w:fldChar w:fldCharType="end"/>
      </w:r>
      <w:r w:rsidRPr="00B66BF6">
        <w:rPr>
          <w:b/>
          <w:i w:val="0"/>
          <w:sz w:val="20"/>
          <w:szCs w:val="24"/>
        </w:rPr>
        <w:t xml:space="preserve"> </w:t>
      </w:r>
      <w:proofErr w:type="gramStart"/>
      <w:r w:rsidRPr="00B66BF6">
        <w:rPr>
          <w:b/>
          <w:i w:val="0"/>
          <w:sz w:val="20"/>
          <w:szCs w:val="24"/>
        </w:rPr>
        <w:t>The</w:t>
      </w:r>
      <w:proofErr w:type="gramEnd"/>
      <w:r w:rsidRPr="00B66BF6">
        <w:rPr>
          <w:b/>
          <w:i w:val="0"/>
          <w:sz w:val="20"/>
          <w:szCs w:val="24"/>
        </w:rPr>
        <w:t xml:space="preserve"> association between service utilisation and the quasi-continuous FRAIL scale measure in the older population aged </w:t>
      </w:r>
      <w:r w:rsidRPr="00B66BF6">
        <w:rPr>
          <w:rFonts w:cstheme="minorHAnsi"/>
          <w:b/>
          <w:i w:val="0"/>
          <w:sz w:val="20"/>
          <w:szCs w:val="24"/>
        </w:rPr>
        <w:t>≥</w:t>
      </w:r>
      <w:r w:rsidRPr="00B66BF6">
        <w:rPr>
          <w:b/>
          <w:i w:val="0"/>
          <w:sz w:val="20"/>
          <w:szCs w:val="24"/>
        </w:rPr>
        <w:t>65 years (TILDA, wave 1)</w:t>
      </w:r>
      <w:r>
        <w:rPr>
          <w:noProof/>
          <w:lang w:val="en-IE" w:eastAsia="en-IE"/>
        </w:rPr>
        <w:drawing>
          <wp:inline distT="0" distB="0" distL="0" distR="0" wp14:anchorId="71A6ABA8" wp14:editId="22144E69">
            <wp:extent cx="5505450" cy="35433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73ADC" w:rsidRDefault="00273ADC" w:rsidP="00273ADC">
      <w:pPr>
        <w:pStyle w:val="Caption"/>
        <w:keepNext/>
        <w:jc w:val="left"/>
        <w:rPr>
          <w:i w:val="0"/>
        </w:rPr>
      </w:pPr>
      <w:r w:rsidRPr="00B66BF6">
        <w:rPr>
          <w:b/>
          <w:i w:val="0"/>
          <w:sz w:val="20"/>
          <w:szCs w:val="24"/>
        </w:rPr>
        <w:lastRenderedPageBreak/>
        <w:t xml:space="preserve">Figure </w:t>
      </w:r>
      <w:r w:rsidRPr="00B66BF6">
        <w:rPr>
          <w:b/>
          <w:i w:val="0"/>
          <w:sz w:val="20"/>
          <w:szCs w:val="24"/>
        </w:rPr>
        <w:fldChar w:fldCharType="begin"/>
      </w:r>
      <w:r w:rsidRPr="00B66BF6">
        <w:rPr>
          <w:b/>
          <w:i w:val="0"/>
          <w:sz w:val="20"/>
          <w:szCs w:val="24"/>
        </w:rPr>
        <w:instrText xml:space="preserve"> SEQ Figure \* ARABIC </w:instrText>
      </w:r>
      <w:r w:rsidRPr="00B66BF6">
        <w:rPr>
          <w:b/>
          <w:i w:val="0"/>
          <w:sz w:val="20"/>
          <w:szCs w:val="24"/>
        </w:rPr>
        <w:fldChar w:fldCharType="separate"/>
      </w:r>
      <w:r w:rsidRPr="00B66BF6">
        <w:rPr>
          <w:b/>
          <w:i w:val="0"/>
          <w:noProof/>
          <w:sz w:val="20"/>
          <w:szCs w:val="24"/>
        </w:rPr>
        <w:t>3</w:t>
      </w:r>
      <w:r w:rsidRPr="00B66BF6">
        <w:rPr>
          <w:b/>
          <w:i w:val="0"/>
          <w:sz w:val="20"/>
          <w:szCs w:val="24"/>
        </w:rPr>
        <w:fldChar w:fldCharType="end"/>
      </w:r>
      <w:r w:rsidRPr="00B66BF6">
        <w:rPr>
          <w:b/>
          <w:i w:val="0"/>
          <w:sz w:val="20"/>
          <w:szCs w:val="24"/>
        </w:rPr>
        <w:t xml:space="preserve"> </w:t>
      </w:r>
      <w:proofErr w:type="gramStart"/>
      <w:r w:rsidRPr="00B66BF6">
        <w:rPr>
          <w:b/>
          <w:i w:val="0"/>
          <w:sz w:val="20"/>
          <w:szCs w:val="24"/>
        </w:rPr>
        <w:t>The</w:t>
      </w:r>
      <w:proofErr w:type="gramEnd"/>
      <w:r w:rsidRPr="00B66BF6">
        <w:rPr>
          <w:b/>
          <w:i w:val="0"/>
          <w:sz w:val="20"/>
          <w:szCs w:val="24"/>
        </w:rPr>
        <w:t xml:space="preserve"> association between service utilisation and the quasi-continuous Fried phenotype measure in the older population aged </w:t>
      </w:r>
      <w:r w:rsidRPr="00B66BF6">
        <w:rPr>
          <w:rFonts w:cstheme="minorHAnsi"/>
          <w:b/>
          <w:i w:val="0"/>
          <w:sz w:val="20"/>
          <w:szCs w:val="24"/>
        </w:rPr>
        <w:t>≥</w:t>
      </w:r>
      <w:r w:rsidRPr="00B66BF6">
        <w:rPr>
          <w:b/>
          <w:i w:val="0"/>
          <w:sz w:val="20"/>
          <w:szCs w:val="24"/>
        </w:rPr>
        <w:t>65 years (TILDA, wave 1)</w:t>
      </w:r>
      <w:r>
        <w:rPr>
          <w:noProof/>
          <w:lang w:val="en-IE" w:eastAsia="en-IE"/>
        </w:rPr>
        <w:drawing>
          <wp:inline distT="0" distB="0" distL="0" distR="0" wp14:anchorId="0010C7B9" wp14:editId="1ECAB2D1">
            <wp:extent cx="5693134" cy="3379305"/>
            <wp:effectExtent l="0" t="0" r="317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73ADC" w:rsidRPr="00282CFE" w:rsidRDefault="00273ADC" w:rsidP="00273ADC">
      <w:pPr>
        <w:spacing w:line="360" w:lineRule="auto"/>
        <w:rPr>
          <w:rFonts w:ascii="Times New Roman" w:hAnsi="Times New Roman" w:cs="Times New Roman"/>
          <w:sz w:val="24"/>
          <w:szCs w:val="24"/>
        </w:rPr>
      </w:pPr>
      <w:r w:rsidRPr="00282CFE">
        <w:rPr>
          <w:rFonts w:ascii="Times New Roman" w:hAnsi="Times New Roman" w:cs="Times New Roman"/>
          <w:sz w:val="24"/>
          <w:szCs w:val="24"/>
        </w:rPr>
        <w:t xml:space="preserve">We were also able to look at the association medical care utilisation and the quasi-continuous frailty measures. While the results are less stark, those in </w:t>
      </w:r>
      <w:proofErr w:type="spellStart"/>
      <w:r w:rsidRPr="00282CFE">
        <w:rPr>
          <w:rFonts w:ascii="Times New Roman" w:hAnsi="Times New Roman" w:cs="Times New Roman"/>
          <w:sz w:val="24"/>
          <w:szCs w:val="24"/>
        </w:rPr>
        <w:t>decile</w:t>
      </w:r>
      <w:proofErr w:type="spellEnd"/>
      <w:r w:rsidRPr="00282CFE">
        <w:rPr>
          <w:rFonts w:ascii="Times New Roman" w:hAnsi="Times New Roman" w:cs="Times New Roman"/>
          <w:sz w:val="24"/>
          <w:szCs w:val="24"/>
        </w:rPr>
        <w:t xml:space="preserve"> 10 of the quasi-continuous frailty index used between 12-20% of medical care utilisation by comparison to 8-16% for quartile four in the quasi-continuous Fried phenotype and 5-12% for quartile four in the quasi-continuous FRAIL scale.</w:t>
      </w:r>
    </w:p>
    <w:p w:rsidR="00273ADC" w:rsidRPr="00282CFE" w:rsidRDefault="00273ADC" w:rsidP="00273ADC">
      <w:pPr>
        <w:rPr>
          <w:rFonts w:ascii="Times New Roman" w:hAnsi="Times New Roman" w:cs="Times New Roman"/>
          <w:sz w:val="24"/>
          <w:szCs w:val="24"/>
        </w:rPr>
      </w:pPr>
    </w:p>
    <w:p w:rsidR="00273ADC" w:rsidRPr="00282CFE" w:rsidRDefault="00273ADC" w:rsidP="00273ADC">
      <w:pPr>
        <w:spacing w:line="360" w:lineRule="auto"/>
        <w:rPr>
          <w:rFonts w:ascii="Times New Roman" w:hAnsi="Times New Roman" w:cs="Times New Roman"/>
          <w:sz w:val="24"/>
          <w:szCs w:val="24"/>
        </w:rPr>
      </w:pPr>
      <w:r w:rsidRPr="00282CFE">
        <w:rPr>
          <w:rFonts w:ascii="Times New Roman" w:hAnsi="Times New Roman" w:cs="Times New Roman"/>
          <w:b/>
          <w:sz w:val="24"/>
          <w:szCs w:val="24"/>
        </w:rPr>
        <w:t>2.2 Choosing one frailty measure to use</w:t>
      </w:r>
    </w:p>
    <w:p w:rsidR="00273ADC" w:rsidRPr="00282CFE" w:rsidRDefault="00273ADC" w:rsidP="00273ADC">
      <w:pPr>
        <w:spacing w:line="360" w:lineRule="auto"/>
        <w:rPr>
          <w:rFonts w:ascii="Times New Roman" w:hAnsi="Times New Roman" w:cs="Times New Roman"/>
          <w:sz w:val="24"/>
          <w:szCs w:val="24"/>
        </w:rPr>
      </w:pPr>
      <w:r w:rsidRPr="00282CFE">
        <w:rPr>
          <w:rFonts w:ascii="Times New Roman" w:hAnsi="Times New Roman" w:cs="Times New Roman"/>
          <w:sz w:val="24"/>
          <w:szCs w:val="24"/>
        </w:rPr>
        <w:t xml:space="preserve">Overall, the association between frailty and service utilisation was significant across all three quasi-continuous frailty measures. Increasing frailty resulted in a significant increase in the rate of service utilisation across many different types of services. However, the largest increase in service utilisation is captured by the top 10% in the frailty index. Furthermore, the increase in rates of utilisation is found from </w:t>
      </w:r>
      <w:proofErr w:type="spellStart"/>
      <w:r w:rsidRPr="00282CFE">
        <w:rPr>
          <w:rFonts w:ascii="Times New Roman" w:hAnsi="Times New Roman" w:cs="Times New Roman"/>
          <w:sz w:val="24"/>
          <w:szCs w:val="24"/>
        </w:rPr>
        <w:t>decile</w:t>
      </w:r>
      <w:proofErr w:type="spellEnd"/>
      <w:r w:rsidRPr="00282CFE">
        <w:rPr>
          <w:rFonts w:ascii="Times New Roman" w:hAnsi="Times New Roman" w:cs="Times New Roman"/>
          <w:sz w:val="24"/>
          <w:szCs w:val="24"/>
        </w:rPr>
        <w:t xml:space="preserve"> 8 onwards. The frailty score corresponding to </w:t>
      </w:r>
      <w:proofErr w:type="spellStart"/>
      <w:r w:rsidRPr="00282CFE">
        <w:rPr>
          <w:rFonts w:ascii="Times New Roman" w:hAnsi="Times New Roman" w:cs="Times New Roman"/>
          <w:sz w:val="24"/>
          <w:szCs w:val="24"/>
        </w:rPr>
        <w:t>decile</w:t>
      </w:r>
      <w:proofErr w:type="spellEnd"/>
      <w:r w:rsidRPr="00282CFE">
        <w:rPr>
          <w:rFonts w:ascii="Times New Roman" w:hAnsi="Times New Roman" w:cs="Times New Roman"/>
          <w:sz w:val="24"/>
          <w:szCs w:val="24"/>
        </w:rPr>
        <w:t xml:space="preserve"> 8 (&lt;0.25) indicate the theoretical threshold used to </w:t>
      </w:r>
      <w:proofErr w:type="spellStart"/>
      <w:r w:rsidRPr="00282CFE">
        <w:rPr>
          <w:rFonts w:ascii="Times New Roman" w:hAnsi="Times New Roman" w:cs="Times New Roman"/>
          <w:sz w:val="24"/>
          <w:szCs w:val="24"/>
        </w:rPr>
        <w:t>categorise</w:t>
      </w:r>
      <w:proofErr w:type="spellEnd"/>
      <w:r w:rsidRPr="00282CFE">
        <w:rPr>
          <w:rFonts w:ascii="Times New Roman" w:hAnsi="Times New Roman" w:cs="Times New Roman"/>
          <w:sz w:val="24"/>
          <w:szCs w:val="24"/>
        </w:rPr>
        <w:t xml:space="preserve"> ‘frailty’ in the literature. </w:t>
      </w:r>
    </w:p>
    <w:p w:rsidR="00273ADC" w:rsidRPr="00282CFE" w:rsidRDefault="00273ADC" w:rsidP="00273ADC">
      <w:pPr>
        <w:spacing w:line="360" w:lineRule="auto"/>
        <w:rPr>
          <w:rFonts w:ascii="Times New Roman" w:hAnsi="Times New Roman" w:cs="Times New Roman"/>
          <w:b/>
          <w:sz w:val="24"/>
          <w:szCs w:val="24"/>
        </w:rPr>
      </w:pPr>
    </w:p>
    <w:p w:rsidR="00273ADC" w:rsidRPr="00282CFE" w:rsidRDefault="00273ADC" w:rsidP="00273ADC">
      <w:pPr>
        <w:pStyle w:val="ListParagraph"/>
        <w:numPr>
          <w:ilvl w:val="1"/>
          <w:numId w:val="1"/>
        </w:numPr>
        <w:spacing w:line="360" w:lineRule="auto"/>
        <w:ind w:firstLineChars="0"/>
        <w:rPr>
          <w:rFonts w:ascii="Times New Roman" w:hAnsi="Times New Roman" w:cs="Times New Roman"/>
          <w:b/>
          <w:sz w:val="24"/>
          <w:szCs w:val="24"/>
        </w:rPr>
      </w:pPr>
      <w:r w:rsidRPr="00282CFE">
        <w:rPr>
          <w:rFonts w:ascii="Times New Roman" w:hAnsi="Times New Roman" w:cs="Times New Roman"/>
          <w:b/>
          <w:sz w:val="24"/>
          <w:szCs w:val="24"/>
        </w:rPr>
        <w:t>If we had used any other measure would we h</w:t>
      </w:r>
      <w:r w:rsidR="00BC552D" w:rsidRPr="00282CFE">
        <w:rPr>
          <w:rFonts w:ascii="Times New Roman" w:hAnsi="Times New Roman" w:cs="Times New Roman"/>
          <w:b/>
          <w:sz w:val="24"/>
          <w:szCs w:val="24"/>
        </w:rPr>
        <w:t>ave come to the same conclusion</w:t>
      </w:r>
      <w:r w:rsidRPr="00282CFE">
        <w:rPr>
          <w:rFonts w:ascii="Times New Roman" w:hAnsi="Times New Roman" w:cs="Times New Roman"/>
          <w:b/>
          <w:sz w:val="24"/>
          <w:szCs w:val="24"/>
        </w:rPr>
        <w:t>?</w:t>
      </w:r>
    </w:p>
    <w:p w:rsidR="00273ADC" w:rsidRPr="00282CFE" w:rsidRDefault="00273ADC" w:rsidP="00273ADC">
      <w:pPr>
        <w:spacing w:line="360" w:lineRule="auto"/>
        <w:rPr>
          <w:rFonts w:ascii="Times New Roman" w:hAnsi="Times New Roman" w:cs="Times New Roman"/>
          <w:b/>
          <w:sz w:val="24"/>
          <w:szCs w:val="24"/>
        </w:rPr>
      </w:pPr>
      <w:r w:rsidRPr="00282CFE">
        <w:rPr>
          <w:rFonts w:ascii="Times New Roman" w:hAnsi="Times New Roman" w:cs="Times New Roman"/>
          <w:sz w:val="24"/>
          <w:szCs w:val="24"/>
        </w:rPr>
        <w:t xml:space="preserve">To validate the view that each frailty measure is a predictor of service utilisation we ran a sensitivity analyses with receiver operator curve (ROC) analysis. </w:t>
      </w:r>
      <w:r w:rsidRPr="00282CFE">
        <w:rPr>
          <w:rFonts w:ascii="Times New Roman" w:hAnsi="Times New Roman" w:cs="Times New Roman"/>
          <w:color w:val="000000"/>
          <w:sz w:val="24"/>
          <w:szCs w:val="24"/>
          <w:shd w:val="clear" w:color="auto" w:fill="FFFFFF"/>
        </w:rPr>
        <w:t>ROC analysis is used in clinical epidemiology to quantify how accurately medical diagnostic tests can discriminate between two states (</w:t>
      </w:r>
      <w:proofErr w:type="spellStart"/>
      <w:r w:rsidRPr="00282CFE">
        <w:rPr>
          <w:rFonts w:ascii="Times New Roman" w:hAnsi="Times New Roman" w:cs="Times New Roman"/>
          <w:color w:val="000000"/>
          <w:sz w:val="24"/>
          <w:szCs w:val="24"/>
          <w:shd w:val="clear" w:color="auto" w:fill="FFFFFF"/>
        </w:rPr>
        <w:t>Hajian-Tilaki</w:t>
      </w:r>
      <w:proofErr w:type="spellEnd"/>
      <w:r w:rsidRPr="00282CFE">
        <w:rPr>
          <w:rFonts w:ascii="Times New Roman" w:hAnsi="Times New Roman" w:cs="Times New Roman"/>
          <w:color w:val="000000"/>
          <w:sz w:val="24"/>
          <w:szCs w:val="24"/>
          <w:shd w:val="clear" w:color="auto" w:fill="FFFFFF"/>
        </w:rPr>
        <w:t xml:space="preserve">, 2013), in this case “service user” and “not a service user”. </w:t>
      </w:r>
      <w:r w:rsidRPr="00282CFE">
        <w:rPr>
          <w:rFonts w:ascii="Times New Roman" w:hAnsi="Times New Roman" w:cs="Times New Roman"/>
          <w:color w:val="000000"/>
          <w:sz w:val="24"/>
          <w:szCs w:val="24"/>
          <w:shd w:val="clear" w:color="auto" w:fill="FFFFFF"/>
        </w:rPr>
        <w:lastRenderedPageBreak/>
        <w:t xml:space="preserve">We used the area under the curve (AUC) as a summary of the </w:t>
      </w:r>
      <w:r w:rsidRPr="00282CFE">
        <w:rPr>
          <w:rFonts w:ascii="Times New Roman" w:hAnsi="Times New Roman" w:cs="Times New Roman"/>
          <w:sz w:val="24"/>
          <w:szCs w:val="24"/>
          <w:shd w:val="clear" w:color="auto" w:fill="FFFFFF"/>
        </w:rPr>
        <w:t>combined measure of sensitivity and specificity that describes the inherent validity of the frailty measures (</w:t>
      </w:r>
      <w:proofErr w:type="spellStart"/>
      <w:r w:rsidRPr="00282CFE">
        <w:rPr>
          <w:rFonts w:ascii="Times New Roman" w:hAnsi="Times New Roman" w:cs="Times New Roman"/>
          <w:sz w:val="24"/>
          <w:szCs w:val="24"/>
          <w:shd w:val="clear" w:color="auto" w:fill="FFFFFF"/>
        </w:rPr>
        <w:t>Hajian-Tilaki</w:t>
      </w:r>
      <w:proofErr w:type="spellEnd"/>
      <w:r w:rsidRPr="00282CFE">
        <w:rPr>
          <w:rFonts w:ascii="Times New Roman" w:hAnsi="Times New Roman" w:cs="Times New Roman"/>
          <w:sz w:val="24"/>
          <w:szCs w:val="24"/>
          <w:shd w:val="clear" w:color="auto" w:fill="FFFFFF"/>
        </w:rPr>
        <w:t xml:space="preserve">, 2013), see Table </w:t>
      </w:r>
      <w:r w:rsidR="00282CFE">
        <w:rPr>
          <w:rFonts w:ascii="Times New Roman" w:hAnsi="Times New Roman" w:cs="Times New Roman"/>
          <w:sz w:val="24"/>
          <w:szCs w:val="24"/>
          <w:shd w:val="clear" w:color="auto" w:fill="FFFFFF"/>
        </w:rPr>
        <w:t>2</w:t>
      </w:r>
      <w:r w:rsidRPr="00282CFE">
        <w:rPr>
          <w:rFonts w:ascii="Times New Roman" w:hAnsi="Times New Roman" w:cs="Times New Roman"/>
          <w:sz w:val="24"/>
          <w:szCs w:val="24"/>
          <w:shd w:val="clear" w:color="auto" w:fill="FFFFFF"/>
        </w:rPr>
        <w:t xml:space="preserve"> below. </w:t>
      </w:r>
      <w:r w:rsidRPr="00282CFE">
        <w:rPr>
          <w:rFonts w:ascii="Times New Roman" w:hAnsi="Times New Roman" w:cs="Times New Roman"/>
          <w:b/>
          <w:sz w:val="24"/>
          <w:szCs w:val="24"/>
        </w:rPr>
        <w:t xml:space="preserve"> </w:t>
      </w:r>
      <w:r w:rsidR="00282CFE" w:rsidRPr="00282CFE">
        <w:rPr>
          <w:rFonts w:ascii="Times New Roman" w:hAnsi="Times New Roman" w:cs="Times New Roman"/>
          <w:sz w:val="24"/>
          <w:szCs w:val="21"/>
        </w:rPr>
        <w:t>In this analysis, the</w:t>
      </w:r>
      <w:r w:rsidR="00282CFE" w:rsidRPr="00282CFE">
        <w:rPr>
          <w:rFonts w:ascii="Times New Roman" w:hAnsi="Times New Roman" w:cs="Times New Roman"/>
          <w:color w:val="000000"/>
          <w:sz w:val="24"/>
          <w:szCs w:val="21"/>
          <w:shd w:val="clear" w:color="auto" w:fill="FFFFFF"/>
        </w:rPr>
        <w:t xml:space="preserve"> AUC scores show that each frailty measures has predictive ability to discriminate </w:t>
      </w:r>
      <w:r w:rsidR="00282CFE" w:rsidRPr="00282CFE">
        <w:rPr>
          <w:rFonts w:ascii="Times New Roman" w:hAnsi="Times New Roman" w:cs="Times New Roman"/>
          <w:color w:val="000000"/>
          <w:sz w:val="24"/>
          <w:shd w:val="clear" w:color="auto" w:fill="FFFFFF"/>
        </w:rPr>
        <w:t xml:space="preserve">those who </w:t>
      </w:r>
      <w:proofErr w:type="spellStart"/>
      <w:r w:rsidR="00282CFE" w:rsidRPr="00282CFE">
        <w:rPr>
          <w:rFonts w:ascii="Times New Roman" w:hAnsi="Times New Roman" w:cs="Times New Roman"/>
          <w:color w:val="000000"/>
          <w:sz w:val="24"/>
          <w:shd w:val="clear" w:color="auto" w:fill="FFFFFF"/>
        </w:rPr>
        <w:t>utilise</w:t>
      </w:r>
      <w:proofErr w:type="spellEnd"/>
      <w:r w:rsidR="00282CFE" w:rsidRPr="00282CFE">
        <w:rPr>
          <w:rFonts w:ascii="Times New Roman" w:hAnsi="Times New Roman" w:cs="Times New Roman"/>
          <w:color w:val="000000"/>
          <w:sz w:val="24"/>
          <w:shd w:val="clear" w:color="auto" w:fill="FFFFFF"/>
        </w:rPr>
        <w:t xml:space="preserve"> services.</w:t>
      </w:r>
    </w:p>
    <w:p w:rsidR="00273ADC" w:rsidRPr="00282CFE" w:rsidRDefault="00273ADC" w:rsidP="00273ADC">
      <w:pPr>
        <w:spacing w:line="360" w:lineRule="auto"/>
        <w:rPr>
          <w:rFonts w:ascii="Times New Roman" w:hAnsi="Times New Roman" w:cs="Times New Roman"/>
          <w:color w:val="000000"/>
          <w:shd w:val="clear" w:color="auto" w:fill="FFFFFF"/>
        </w:rPr>
      </w:pPr>
    </w:p>
    <w:p w:rsidR="00273ADC" w:rsidRPr="00B66BF6" w:rsidRDefault="00273ADC" w:rsidP="00273ADC">
      <w:pPr>
        <w:pStyle w:val="Caption"/>
        <w:keepNext/>
        <w:rPr>
          <w:rFonts w:cs="Times New Roman"/>
          <w:b/>
          <w:i w:val="0"/>
          <w:sz w:val="20"/>
        </w:rPr>
      </w:pPr>
      <w:r w:rsidRPr="00B66BF6">
        <w:rPr>
          <w:rFonts w:cs="Times New Roman"/>
          <w:b/>
          <w:i w:val="0"/>
          <w:sz w:val="20"/>
        </w:rPr>
        <w:t xml:space="preserve">Table </w:t>
      </w:r>
      <w:r w:rsidRPr="00B66BF6">
        <w:rPr>
          <w:rFonts w:cs="Times New Roman"/>
          <w:b/>
          <w:i w:val="0"/>
          <w:sz w:val="20"/>
        </w:rPr>
        <w:fldChar w:fldCharType="begin"/>
      </w:r>
      <w:r w:rsidRPr="00B66BF6">
        <w:rPr>
          <w:rFonts w:cs="Times New Roman"/>
          <w:b/>
          <w:i w:val="0"/>
          <w:sz w:val="20"/>
        </w:rPr>
        <w:instrText xml:space="preserve"> SEQ Table \* ARABIC </w:instrText>
      </w:r>
      <w:r w:rsidRPr="00B66BF6">
        <w:rPr>
          <w:rFonts w:cs="Times New Roman"/>
          <w:b/>
          <w:i w:val="0"/>
          <w:sz w:val="20"/>
        </w:rPr>
        <w:fldChar w:fldCharType="separate"/>
      </w:r>
      <w:r w:rsidR="00282CFE" w:rsidRPr="00B66BF6">
        <w:rPr>
          <w:rFonts w:cs="Times New Roman"/>
          <w:b/>
          <w:i w:val="0"/>
          <w:noProof/>
          <w:sz w:val="20"/>
        </w:rPr>
        <w:t>2</w:t>
      </w:r>
      <w:r w:rsidRPr="00B66BF6">
        <w:rPr>
          <w:rFonts w:cs="Times New Roman"/>
          <w:b/>
          <w:i w:val="0"/>
          <w:noProof/>
          <w:sz w:val="20"/>
        </w:rPr>
        <w:fldChar w:fldCharType="end"/>
      </w:r>
      <w:r w:rsidRPr="00B66BF6">
        <w:rPr>
          <w:rFonts w:cs="Times New Roman"/>
          <w:b/>
          <w:i w:val="0"/>
          <w:sz w:val="20"/>
        </w:rPr>
        <w:t xml:space="preserve"> AUC scores as a predictor of service use outcomes across three frailty measures among the sample aged ≥65 years in TILDA, wave 1 </w:t>
      </w:r>
    </w:p>
    <w:tbl>
      <w:tblPr>
        <w:tblStyle w:val="TableGrid"/>
        <w:tblW w:w="7372" w:type="dxa"/>
        <w:jc w:val="center"/>
        <w:tblLook w:val="04A0" w:firstRow="1" w:lastRow="0" w:firstColumn="1" w:lastColumn="0" w:noHBand="0" w:noVBand="1"/>
      </w:tblPr>
      <w:tblGrid>
        <w:gridCol w:w="2861"/>
        <w:gridCol w:w="1529"/>
        <w:gridCol w:w="1586"/>
        <w:gridCol w:w="1396"/>
      </w:tblGrid>
      <w:tr w:rsidR="00273ADC" w:rsidRPr="00282CFE" w:rsidTr="007F4ADC">
        <w:trPr>
          <w:trHeight w:val="22"/>
          <w:jc w:val="center"/>
        </w:trPr>
        <w:tc>
          <w:tcPr>
            <w:tcW w:w="2861"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 </w:t>
            </w:r>
          </w:p>
        </w:tc>
        <w:tc>
          <w:tcPr>
            <w:tcW w:w="1529"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eastAsia="en-IE"/>
              </w:rPr>
            </w:pPr>
            <w:r w:rsidRPr="00282CFE">
              <w:rPr>
                <w:rFonts w:ascii="Times New Roman" w:eastAsia="Times New Roman" w:hAnsi="Times New Roman" w:cs="Times New Roman"/>
                <w:b/>
                <w:color w:val="000000"/>
                <w:kern w:val="0"/>
                <w:sz w:val="16"/>
                <w:szCs w:val="16"/>
                <w:lang w:eastAsia="en-IE"/>
              </w:rPr>
              <w:t xml:space="preserve">Frailty Index </w:t>
            </w:r>
          </w:p>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(n=3,507)</w:t>
            </w:r>
          </w:p>
        </w:tc>
        <w:tc>
          <w:tcPr>
            <w:tcW w:w="1586"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Fried phenotype (n=2,286)  </w:t>
            </w:r>
          </w:p>
        </w:tc>
        <w:tc>
          <w:tcPr>
            <w:tcW w:w="1396"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eastAsia="en-IE"/>
              </w:rPr>
            </w:pPr>
            <w:r w:rsidRPr="00282CFE">
              <w:rPr>
                <w:rFonts w:ascii="Times New Roman" w:eastAsia="Times New Roman" w:hAnsi="Times New Roman" w:cs="Times New Roman"/>
                <w:b/>
                <w:color w:val="000000"/>
                <w:kern w:val="0"/>
                <w:sz w:val="16"/>
                <w:szCs w:val="16"/>
                <w:lang w:eastAsia="en-IE"/>
              </w:rPr>
              <w:t xml:space="preserve">FRAIL scale </w:t>
            </w:r>
          </w:p>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(n=3,486) </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Public Health Nurse</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0.73</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0.72</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0.72</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Occupational therapy</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0.77</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0.67</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0.71</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Chiropody</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0.67</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0.62</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0.62</w:t>
            </w:r>
          </w:p>
        </w:tc>
      </w:tr>
      <w:tr w:rsidR="00273ADC" w:rsidRPr="00282CFE" w:rsidTr="007F4ADC">
        <w:trPr>
          <w:trHeight w:val="8"/>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Physiotherapy</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0.67</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0.64</w:t>
            </w:r>
          </w:p>
        </w:tc>
      </w:tr>
      <w:tr w:rsidR="00273ADC" w:rsidRPr="00282CFE" w:rsidTr="007F4ADC">
        <w:trPr>
          <w:trHeight w:val="10"/>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Speech and language therapy</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0.69</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0.77</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0.70</w:t>
            </w:r>
          </w:p>
        </w:tc>
      </w:tr>
      <w:tr w:rsidR="00273ADC" w:rsidRPr="00282CFE" w:rsidTr="007F4ADC">
        <w:trPr>
          <w:trHeight w:val="11"/>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Social work</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0.61</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0.50</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0.66</w:t>
            </w:r>
          </w:p>
        </w:tc>
      </w:tr>
      <w:tr w:rsidR="00273ADC" w:rsidRPr="00282CFE" w:rsidTr="007F4ADC">
        <w:trPr>
          <w:trHeight w:val="9"/>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Psychological </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0.67</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0.65</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0.70</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Homecare</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0.76</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0.77</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0.43</w:t>
            </w:r>
          </w:p>
        </w:tc>
      </w:tr>
      <w:tr w:rsidR="00273ADC" w:rsidRPr="00282CFE" w:rsidTr="007F4ADC">
        <w:trPr>
          <w:trHeight w:val="12"/>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Meals on wheels </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0.68</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0.74</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0.68</w:t>
            </w:r>
          </w:p>
        </w:tc>
      </w:tr>
      <w:tr w:rsidR="00273ADC" w:rsidRPr="00282CFE" w:rsidTr="007F4ADC">
        <w:trPr>
          <w:trHeight w:val="11"/>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Day </w:t>
            </w:r>
            <w:proofErr w:type="spellStart"/>
            <w:r w:rsidRPr="00282CFE">
              <w:rPr>
                <w:rFonts w:ascii="Times New Roman" w:eastAsia="Times New Roman" w:hAnsi="Times New Roman" w:cs="Times New Roman"/>
                <w:b/>
                <w:color w:val="000000"/>
                <w:kern w:val="0"/>
                <w:sz w:val="16"/>
                <w:szCs w:val="16"/>
                <w:lang w:eastAsia="en-IE"/>
              </w:rPr>
              <w:t>centre</w:t>
            </w:r>
            <w:proofErr w:type="spellEnd"/>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0.70</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0.68</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0.66</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Optician </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0.57</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0.55</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0.55</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Dental</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0.54</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0.52</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0.54</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Hearing </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0.58</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0.61</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Dietician </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0.70</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0.57</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0.66</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Respite </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0.82</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0.71</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0.75</w:t>
            </w:r>
          </w:p>
        </w:tc>
      </w:tr>
      <w:tr w:rsidR="00273ADC" w:rsidRPr="00282CFE" w:rsidTr="007F4ADC">
        <w:trPr>
          <w:trHeight w:val="12"/>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General Practitioner (dichotomous)</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0.71</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0.61</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0.59</w:t>
            </w:r>
          </w:p>
        </w:tc>
      </w:tr>
      <w:tr w:rsidR="00273ADC" w:rsidRPr="00282CFE" w:rsidTr="007F4ADC">
        <w:trPr>
          <w:trHeight w:val="12"/>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Emergency Department (dichotomous)</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0.59</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0.58</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0.58</w:t>
            </w:r>
          </w:p>
        </w:tc>
      </w:tr>
      <w:tr w:rsidR="00273ADC" w:rsidRPr="00282CFE" w:rsidTr="007F4ADC">
        <w:trPr>
          <w:trHeight w:val="12"/>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Outpatient clinic (dichotomous)</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0.65</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0.54</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0.58</w:t>
            </w:r>
          </w:p>
        </w:tc>
      </w:tr>
      <w:tr w:rsidR="00273ADC" w:rsidRPr="00282CFE" w:rsidTr="007F4ADC">
        <w:trPr>
          <w:trHeight w:val="12"/>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Day case procedures (dichotomous)</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0.53</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0.56</w:t>
            </w:r>
          </w:p>
        </w:tc>
      </w:tr>
      <w:tr w:rsidR="00273ADC" w:rsidRPr="00282CFE" w:rsidTr="007F4ADC">
        <w:trPr>
          <w:trHeight w:val="13"/>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Hospital admissions (dichotomous)</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0.62</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0.62</w:t>
            </w:r>
          </w:p>
        </w:tc>
      </w:tr>
      <w:tr w:rsidR="00273ADC" w:rsidRPr="00282CFE" w:rsidTr="007F4ADC">
        <w:trPr>
          <w:trHeight w:val="11"/>
          <w:jc w:val="center"/>
        </w:trPr>
        <w:tc>
          <w:tcPr>
            <w:tcW w:w="286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 xml:space="preserve">Nights spent in hospital (dichotomous) </w:t>
            </w:r>
          </w:p>
        </w:tc>
        <w:tc>
          <w:tcPr>
            <w:tcW w:w="1529"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0.62</w:t>
            </w:r>
          </w:p>
        </w:tc>
        <w:tc>
          <w:tcPr>
            <w:tcW w:w="158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0.61</w:t>
            </w:r>
          </w:p>
        </w:tc>
        <w:tc>
          <w:tcPr>
            <w:tcW w:w="1396" w:type="dxa"/>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0.62</w:t>
            </w:r>
          </w:p>
        </w:tc>
      </w:tr>
    </w:tbl>
    <w:p w:rsidR="00273ADC" w:rsidRPr="00282CFE" w:rsidRDefault="00273ADC" w:rsidP="00273ADC">
      <w:pPr>
        <w:spacing w:line="360" w:lineRule="auto"/>
        <w:rPr>
          <w:rFonts w:ascii="Times New Roman" w:hAnsi="Times New Roman" w:cs="Times New Roman"/>
          <w:sz w:val="22"/>
        </w:rPr>
      </w:pPr>
    </w:p>
    <w:p w:rsidR="00282CFE" w:rsidRDefault="00273ADC" w:rsidP="00282CFE">
      <w:pPr>
        <w:spacing w:line="360" w:lineRule="auto"/>
        <w:rPr>
          <w:rFonts w:ascii="Times New Roman" w:hAnsi="Times New Roman" w:cs="Times New Roman"/>
          <w:color w:val="000000"/>
          <w:sz w:val="24"/>
          <w:shd w:val="clear" w:color="auto" w:fill="FFFFFF"/>
        </w:rPr>
      </w:pPr>
      <w:r w:rsidRPr="00282CFE">
        <w:rPr>
          <w:rFonts w:ascii="Times New Roman" w:hAnsi="Times New Roman" w:cs="Times New Roman"/>
          <w:color w:val="000000"/>
          <w:sz w:val="24"/>
          <w:shd w:val="clear" w:color="auto" w:fill="FFFFFF"/>
        </w:rPr>
        <w:t xml:space="preserve">We also compared the covariance between the three correlated ROC curves to test if there were significant differences in the area under the curve across the three measures, see Table </w:t>
      </w:r>
      <w:r w:rsidR="00282CFE">
        <w:rPr>
          <w:rFonts w:ascii="Times New Roman" w:hAnsi="Times New Roman" w:cs="Times New Roman"/>
          <w:color w:val="000000"/>
          <w:sz w:val="24"/>
          <w:shd w:val="clear" w:color="auto" w:fill="FFFFFF"/>
        </w:rPr>
        <w:t>3.</w:t>
      </w:r>
      <w:r w:rsidRPr="00282CFE">
        <w:rPr>
          <w:rFonts w:ascii="Times New Roman" w:hAnsi="Times New Roman" w:cs="Times New Roman"/>
          <w:color w:val="000000"/>
          <w:sz w:val="24"/>
          <w:shd w:val="clear" w:color="auto" w:fill="FFFFFF"/>
        </w:rPr>
        <w:t xml:space="preserve"> </w:t>
      </w:r>
    </w:p>
    <w:p w:rsidR="00B66BF6" w:rsidRPr="00B66BF6" w:rsidRDefault="00B66BF6" w:rsidP="00B66BF6">
      <w:pPr>
        <w:pStyle w:val="Caption"/>
      </w:pPr>
    </w:p>
    <w:p w:rsidR="00273ADC" w:rsidRPr="00B66BF6" w:rsidRDefault="00273ADC" w:rsidP="00B66BF6">
      <w:pPr>
        <w:pStyle w:val="Caption"/>
        <w:rPr>
          <w:b/>
          <w:i w:val="0"/>
          <w:sz w:val="20"/>
        </w:rPr>
      </w:pPr>
      <w:r w:rsidRPr="00B66BF6">
        <w:rPr>
          <w:b/>
          <w:i w:val="0"/>
          <w:sz w:val="20"/>
        </w:rPr>
        <w:t xml:space="preserve">Table </w:t>
      </w:r>
      <w:r w:rsidRPr="00B66BF6">
        <w:rPr>
          <w:b/>
          <w:i w:val="0"/>
          <w:sz w:val="20"/>
        </w:rPr>
        <w:fldChar w:fldCharType="begin"/>
      </w:r>
      <w:r w:rsidRPr="00B66BF6">
        <w:rPr>
          <w:b/>
          <w:i w:val="0"/>
          <w:sz w:val="20"/>
        </w:rPr>
        <w:instrText xml:space="preserve"> SEQ Table \* ARABIC </w:instrText>
      </w:r>
      <w:r w:rsidRPr="00B66BF6">
        <w:rPr>
          <w:b/>
          <w:i w:val="0"/>
          <w:sz w:val="20"/>
        </w:rPr>
        <w:fldChar w:fldCharType="separate"/>
      </w:r>
      <w:r w:rsidR="00282CFE" w:rsidRPr="00B66BF6">
        <w:rPr>
          <w:b/>
          <w:i w:val="0"/>
          <w:sz w:val="20"/>
        </w:rPr>
        <w:t>3</w:t>
      </w:r>
      <w:r w:rsidRPr="00B66BF6">
        <w:rPr>
          <w:b/>
          <w:i w:val="0"/>
          <w:sz w:val="20"/>
        </w:rPr>
        <w:fldChar w:fldCharType="end"/>
      </w:r>
      <w:r w:rsidRPr="00B66BF6">
        <w:rPr>
          <w:b/>
          <w:i w:val="0"/>
          <w:sz w:val="20"/>
        </w:rPr>
        <w:t xml:space="preserve"> A comparative analysis of AUC scores for three frailty measures as a predictor of service use outcomes among the sample aged ≥65 years in TILDA, wave 1 </w:t>
      </w:r>
    </w:p>
    <w:tbl>
      <w:tblPr>
        <w:tblStyle w:val="TableGrid"/>
        <w:tblW w:w="8205" w:type="dxa"/>
        <w:jc w:val="center"/>
        <w:tblLook w:val="04A0" w:firstRow="1" w:lastRow="0" w:firstColumn="1" w:lastColumn="0" w:noHBand="0" w:noVBand="1"/>
      </w:tblPr>
      <w:tblGrid>
        <w:gridCol w:w="2871"/>
        <w:gridCol w:w="1529"/>
        <w:gridCol w:w="1586"/>
        <w:gridCol w:w="1396"/>
        <w:gridCol w:w="823"/>
      </w:tblGrid>
      <w:tr w:rsidR="00273ADC" w:rsidRPr="00282CFE" w:rsidTr="007F4ADC">
        <w:trPr>
          <w:trHeight w:val="22"/>
          <w:jc w:val="center"/>
        </w:trPr>
        <w:tc>
          <w:tcPr>
            <w:tcW w:w="2871"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 </w:t>
            </w:r>
          </w:p>
        </w:tc>
        <w:tc>
          <w:tcPr>
            <w:tcW w:w="1529"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eastAsia="en-IE"/>
              </w:rPr>
            </w:pPr>
            <w:r w:rsidRPr="00282CFE">
              <w:rPr>
                <w:rFonts w:ascii="Times New Roman" w:eastAsia="Times New Roman" w:hAnsi="Times New Roman" w:cs="Times New Roman"/>
                <w:b/>
                <w:color w:val="000000"/>
                <w:kern w:val="0"/>
                <w:sz w:val="16"/>
                <w:szCs w:val="16"/>
                <w:lang w:eastAsia="en-IE"/>
              </w:rPr>
              <w:t xml:space="preserve">Frailty Index </w:t>
            </w:r>
          </w:p>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(n=2,286)</w:t>
            </w:r>
          </w:p>
        </w:tc>
        <w:tc>
          <w:tcPr>
            <w:tcW w:w="1586"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Fried phenotype (n=2,286)  </w:t>
            </w:r>
          </w:p>
        </w:tc>
        <w:tc>
          <w:tcPr>
            <w:tcW w:w="1396"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eastAsia="en-IE"/>
              </w:rPr>
            </w:pPr>
            <w:r w:rsidRPr="00282CFE">
              <w:rPr>
                <w:rFonts w:ascii="Times New Roman" w:eastAsia="Times New Roman" w:hAnsi="Times New Roman" w:cs="Times New Roman"/>
                <w:b/>
                <w:color w:val="000000"/>
                <w:kern w:val="0"/>
                <w:sz w:val="16"/>
                <w:szCs w:val="16"/>
                <w:lang w:eastAsia="en-IE"/>
              </w:rPr>
              <w:t xml:space="preserve">FRAIL scale </w:t>
            </w:r>
          </w:p>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(n=2,286) </w:t>
            </w:r>
          </w:p>
        </w:tc>
        <w:tc>
          <w:tcPr>
            <w:tcW w:w="823"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eastAsia="en-IE"/>
              </w:rPr>
            </w:pPr>
          </w:p>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p-value</w:t>
            </w:r>
            <w:r w:rsidRPr="00282CFE">
              <w:rPr>
                <w:rFonts w:ascii="Times New Roman" w:eastAsia="Times New Roman" w:hAnsi="Times New Roman" w:cs="Times New Roman"/>
                <w:color w:val="000000"/>
                <w:kern w:val="0"/>
                <w:sz w:val="16"/>
                <w:szCs w:val="16"/>
                <w:lang w:eastAsia="en-IE"/>
              </w:rPr>
              <w:t xml:space="preserve"> </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Public Health Nurse</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0.73</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0.72</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0.71</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Occupational therapy</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0.77</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0.68</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0.67</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&lt;0.01</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Chiropody</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0.68</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0.62</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0.63</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&lt;0.05</w:t>
            </w:r>
          </w:p>
        </w:tc>
      </w:tr>
      <w:tr w:rsidR="00273ADC" w:rsidRPr="00282CFE" w:rsidTr="007F4ADC">
        <w:trPr>
          <w:trHeight w:val="8"/>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Physiotherapy</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0.65</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0.60</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0.61</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&lt;0.05</w:t>
            </w:r>
          </w:p>
        </w:tc>
      </w:tr>
      <w:tr w:rsidR="00273ADC" w:rsidRPr="00282CFE" w:rsidTr="007F4ADC">
        <w:trPr>
          <w:trHeight w:val="10"/>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Speech and language therapy</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0.60</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0.77</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0.58</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&lt;0.001</w:t>
            </w:r>
          </w:p>
        </w:tc>
      </w:tr>
      <w:tr w:rsidR="00273ADC" w:rsidRPr="00282CFE" w:rsidTr="007F4ADC">
        <w:trPr>
          <w:trHeight w:val="11"/>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Social work</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0.89</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0.50</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0.82</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&lt;0.001</w:t>
            </w:r>
          </w:p>
        </w:tc>
      </w:tr>
      <w:tr w:rsidR="00273ADC" w:rsidRPr="00282CFE" w:rsidTr="007F4ADC">
        <w:trPr>
          <w:trHeight w:val="9"/>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Psychological </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0.78</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0.65</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0.77</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=0.25</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Homecare</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0.76</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0.77</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0.73</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=0.17</w:t>
            </w:r>
          </w:p>
        </w:tc>
      </w:tr>
      <w:tr w:rsidR="00273ADC" w:rsidRPr="00282CFE" w:rsidTr="007F4ADC">
        <w:trPr>
          <w:trHeight w:val="12"/>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Meals on wheels </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0.73</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0.74</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0.72</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=0.95</w:t>
            </w:r>
          </w:p>
        </w:tc>
      </w:tr>
      <w:tr w:rsidR="00273ADC" w:rsidRPr="00282CFE" w:rsidTr="007F4ADC">
        <w:trPr>
          <w:trHeight w:val="11"/>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Day </w:t>
            </w:r>
            <w:proofErr w:type="spellStart"/>
            <w:r w:rsidRPr="00282CFE">
              <w:rPr>
                <w:rFonts w:ascii="Times New Roman" w:eastAsia="Times New Roman" w:hAnsi="Times New Roman" w:cs="Times New Roman"/>
                <w:b/>
                <w:color w:val="000000"/>
                <w:kern w:val="0"/>
                <w:sz w:val="16"/>
                <w:szCs w:val="16"/>
                <w:lang w:eastAsia="en-IE"/>
              </w:rPr>
              <w:t>centre</w:t>
            </w:r>
            <w:proofErr w:type="spellEnd"/>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0.67</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0.68</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0.64</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=0.46</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Optician </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0.57</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0.55</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0.54</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&lt;0.05</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Dental</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0.53</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0.52</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0.54</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=0.14</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Hearing </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0.58</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0.58</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0.58</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=0.96</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Dietician </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0.73</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0.57</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0.65</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&lt;0.01</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eastAsia="en-IE"/>
              </w:rPr>
              <w:t xml:space="preserve">Respite </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0.79</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0.71</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0.76</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eastAsia="en-IE"/>
              </w:rPr>
              <w:t>=0.53</w:t>
            </w:r>
          </w:p>
        </w:tc>
      </w:tr>
      <w:tr w:rsidR="00273ADC" w:rsidRPr="00282CFE" w:rsidTr="007F4ADC">
        <w:trPr>
          <w:trHeight w:val="12"/>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General Practitioner (dichotomous)</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0.61</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0.61</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&lt;0.001</w:t>
            </w:r>
          </w:p>
        </w:tc>
      </w:tr>
      <w:tr w:rsidR="00273ADC" w:rsidRPr="00282CFE" w:rsidTr="007F4ADC">
        <w:trPr>
          <w:trHeight w:val="12"/>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Emergency Department (dichotomous)</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0.58</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0.58</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0.57</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=0.78</w:t>
            </w:r>
          </w:p>
        </w:tc>
      </w:tr>
      <w:tr w:rsidR="00273ADC" w:rsidRPr="00282CFE" w:rsidTr="007F4ADC">
        <w:trPr>
          <w:trHeight w:val="12"/>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Outpatient clinic (dichotomous)</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0.63</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0.54</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0.57</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&lt;0.001</w:t>
            </w:r>
          </w:p>
        </w:tc>
      </w:tr>
      <w:tr w:rsidR="00273ADC" w:rsidRPr="00282CFE" w:rsidTr="007F4ADC">
        <w:trPr>
          <w:trHeight w:val="12"/>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Day case procedures (dichotomous)</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0.59</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0.53</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0.55</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&lt;0.001</w:t>
            </w:r>
          </w:p>
        </w:tc>
      </w:tr>
      <w:tr w:rsidR="00273ADC" w:rsidRPr="00282CFE" w:rsidTr="007F4ADC">
        <w:trPr>
          <w:trHeight w:val="13"/>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Hospital admissions (dichotomous)</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=0.93</w:t>
            </w:r>
          </w:p>
        </w:tc>
      </w:tr>
      <w:tr w:rsidR="00273ADC" w:rsidRPr="00282CFE" w:rsidTr="007F4ADC">
        <w:trPr>
          <w:trHeight w:val="11"/>
          <w:jc w:val="center"/>
        </w:trPr>
        <w:tc>
          <w:tcPr>
            <w:tcW w:w="2871" w:type="dxa"/>
            <w:hideMark/>
          </w:tcPr>
          <w:p w:rsidR="00273ADC" w:rsidRPr="00282CFE" w:rsidRDefault="00273ADC" w:rsidP="007F4ADC">
            <w:pPr>
              <w:widowControl/>
              <w:rPr>
                <w:rFonts w:ascii="Times New Roman" w:eastAsia="Times New Roman" w:hAnsi="Times New Roman" w:cs="Times New Roman"/>
                <w:b/>
                <w:color w:val="000000"/>
                <w:kern w:val="0"/>
                <w:sz w:val="16"/>
                <w:szCs w:val="16"/>
                <w:lang w:val="en-IE" w:eastAsia="en-IE"/>
              </w:rPr>
            </w:pPr>
            <w:r w:rsidRPr="00282CFE">
              <w:rPr>
                <w:rFonts w:ascii="Times New Roman" w:eastAsia="Times New Roman" w:hAnsi="Times New Roman" w:cs="Times New Roman"/>
                <w:b/>
                <w:color w:val="000000"/>
                <w:kern w:val="0"/>
                <w:sz w:val="16"/>
                <w:szCs w:val="16"/>
                <w:lang w:val="en-IE" w:eastAsia="en-IE"/>
              </w:rPr>
              <w:t xml:space="preserve">Nights spent in hospital (dichotomous) </w:t>
            </w:r>
          </w:p>
        </w:tc>
        <w:tc>
          <w:tcPr>
            <w:tcW w:w="1529"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158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0.61</w:t>
            </w:r>
          </w:p>
        </w:tc>
        <w:tc>
          <w:tcPr>
            <w:tcW w:w="1396"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0.60</w:t>
            </w:r>
          </w:p>
        </w:tc>
        <w:tc>
          <w:tcPr>
            <w:tcW w:w="823" w:type="dxa"/>
            <w:hideMark/>
          </w:tcPr>
          <w:p w:rsidR="00273ADC" w:rsidRPr="00282CFE" w:rsidRDefault="00273ADC" w:rsidP="007F4ADC">
            <w:pPr>
              <w:widowControl/>
              <w:rPr>
                <w:rFonts w:ascii="Times New Roman" w:eastAsia="Times New Roman" w:hAnsi="Times New Roman" w:cs="Times New Roman"/>
                <w:color w:val="000000"/>
                <w:kern w:val="0"/>
                <w:sz w:val="16"/>
                <w:szCs w:val="16"/>
                <w:lang w:val="en-IE" w:eastAsia="en-IE"/>
              </w:rPr>
            </w:pPr>
            <w:r w:rsidRPr="00282CFE">
              <w:rPr>
                <w:rFonts w:ascii="Times New Roman" w:eastAsia="Times New Roman" w:hAnsi="Times New Roman" w:cs="Times New Roman"/>
                <w:color w:val="000000"/>
                <w:kern w:val="0"/>
                <w:sz w:val="16"/>
                <w:szCs w:val="16"/>
                <w:lang w:val="en-IE" w:eastAsia="en-IE"/>
              </w:rPr>
              <w:t>=0.96</w:t>
            </w:r>
          </w:p>
        </w:tc>
      </w:tr>
    </w:tbl>
    <w:p w:rsidR="00282CFE" w:rsidRDefault="00282CFE" w:rsidP="00282CFE">
      <w:pPr>
        <w:spacing w:line="360" w:lineRule="auto"/>
        <w:rPr>
          <w:rFonts w:ascii="Times New Roman" w:hAnsi="Times New Roman" w:cs="Times New Roman"/>
          <w:color w:val="000000"/>
          <w:sz w:val="24"/>
          <w:shd w:val="clear" w:color="auto" w:fill="FFFFFF"/>
        </w:rPr>
      </w:pPr>
      <w:r w:rsidRPr="00282CFE">
        <w:rPr>
          <w:rFonts w:ascii="Times New Roman" w:hAnsi="Times New Roman" w:cs="Times New Roman"/>
          <w:color w:val="000000"/>
          <w:sz w:val="24"/>
          <w:shd w:val="clear" w:color="auto" w:fill="FFFFFF"/>
        </w:rPr>
        <w:lastRenderedPageBreak/>
        <w:t xml:space="preserve">In this repeated measures analysis, the sample size is reduced to the minimum number of TILDA participants aged 65 years and older, who had a frailty classification across three of the frailty measures (n=2286). Significant differences were detected across many of the services, however, low cell counts resulted in an inability to reject the null hypothesis that the AUC scores were significantly different.  </w:t>
      </w:r>
    </w:p>
    <w:p w:rsidR="00282CFE" w:rsidRDefault="00282CFE" w:rsidP="00273ADC">
      <w:pPr>
        <w:spacing w:line="360" w:lineRule="auto"/>
        <w:rPr>
          <w:rFonts w:ascii="Times New Roman" w:hAnsi="Times New Roman" w:cs="Times New Roman"/>
          <w:color w:val="000000"/>
          <w:sz w:val="24"/>
          <w:shd w:val="clear" w:color="auto" w:fill="FFFFFF"/>
        </w:rPr>
      </w:pPr>
    </w:p>
    <w:p w:rsidR="00273ADC" w:rsidRPr="00282CFE" w:rsidRDefault="00273ADC" w:rsidP="00273ADC">
      <w:pPr>
        <w:spacing w:line="360" w:lineRule="auto"/>
        <w:rPr>
          <w:rFonts w:ascii="Times New Roman" w:hAnsi="Times New Roman" w:cs="Times New Roman"/>
          <w:color w:val="000000"/>
          <w:sz w:val="24"/>
          <w:shd w:val="clear" w:color="auto" w:fill="FFFFFF"/>
        </w:rPr>
      </w:pPr>
      <w:r w:rsidRPr="00282CFE">
        <w:rPr>
          <w:rFonts w:ascii="Times New Roman" w:hAnsi="Times New Roman" w:cs="Times New Roman"/>
          <w:color w:val="000000"/>
          <w:sz w:val="24"/>
          <w:shd w:val="clear" w:color="auto" w:fill="FFFFFF"/>
        </w:rPr>
        <w:t xml:space="preserve">Overall, this analyses validates the point that frailty, measured in different ways, is a predictor of service utilisation. Higher AUC scores were found for the frailty index in many services, confirming the view that the frailty index is a useful measure to use in this study. There are reasons for why we found this. Firstly, the Fried phenotype measure results in a loss of 35% of TILDA participants aged 65 years and older as it is based from objectively measured data from the TILDA Health Assessment. We know from previous analyses on the health assessment and CAPI samples that the health assessment sample is a younger, fitter sample (Cronin et al, 2013; Kearney et al, 2011). It is likely that older people who were very-frail were unable to travel to the health </w:t>
      </w:r>
      <w:proofErr w:type="spellStart"/>
      <w:r w:rsidRPr="00282CFE">
        <w:rPr>
          <w:rFonts w:ascii="Times New Roman" w:hAnsi="Times New Roman" w:cs="Times New Roman"/>
          <w:color w:val="000000"/>
          <w:sz w:val="24"/>
          <w:shd w:val="clear" w:color="auto" w:fill="FFFFFF"/>
        </w:rPr>
        <w:t>centre</w:t>
      </w:r>
      <w:proofErr w:type="spellEnd"/>
      <w:r w:rsidRPr="00282CFE">
        <w:rPr>
          <w:rFonts w:ascii="Times New Roman" w:hAnsi="Times New Roman" w:cs="Times New Roman"/>
          <w:color w:val="000000"/>
          <w:sz w:val="24"/>
          <w:shd w:val="clear" w:color="auto" w:fill="FFFFFF"/>
        </w:rPr>
        <w:t xml:space="preserve"> to undertake the health assessment and consequently are missing from this sample. Secondly, significant differences were unlikely to have been detected in the trimmed sample (n=2286) due to low cell counts in the “received service”. If we were to perform this analysis on a larger dataset, this problem may be overcome. Overall, we have strong reasons to choose the frailty index for this study, and modest evidence to suggest the frailty index is the best measure to examine service use outcomes. </w:t>
      </w:r>
    </w:p>
    <w:p w:rsidR="00D232A7" w:rsidRPr="00282CFE" w:rsidRDefault="00D232A7" w:rsidP="00730E78">
      <w:pPr>
        <w:spacing w:line="360" w:lineRule="auto"/>
        <w:rPr>
          <w:rFonts w:ascii="Times New Roman" w:hAnsi="Times New Roman" w:cs="Times New Roman"/>
          <w:color w:val="000000"/>
          <w:sz w:val="24"/>
          <w:shd w:val="clear" w:color="auto" w:fill="FFFFFF"/>
        </w:rPr>
      </w:pPr>
    </w:p>
    <w:p w:rsidR="00D232A7" w:rsidRPr="00282CFE" w:rsidRDefault="00D232A7" w:rsidP="00730E78">
      <w:pPr>
        <w:spacing w:line="360" w:lineRule="auto"/>
        <w:rPr>
          <w:rFonts w:ascii="Times New Roman" w:hAnsi="Times New Roman" w:cs="Times New Roman"/>
          <w:b/>
          <w:color w:val="000000"/>
          <w:sz w:val="24"/>
          <w:shd w:val="clear" w:color="auto" w:fill="FFFFFF"/>
        </w:rPr>
      </w:pPr>
      <w:r w:rsidRPr="00282CFE">
        <w:rPr>
          <w:rFonts w:ascii="Times New Roman" w:hAnsi="Times New Roman" w:cs="Times New Roman"/>
          <w:b/>
          <w:color w:val="000000"/>
          <w:sz w:val="24"/>
          <w:shd w:val="clear" w:color="auto" w:fill="FFFFFF"/>
        </w:rPr>
        <w:t>References</w:t>
      </w:r>
    </w:p>
    <w:p w:rsidR="00D232A7" w:rsidRPr="00282CFE" w:rsidRDefault="00D232A7" w:rsidP="00D232A7">
      <w:pPr>
        <w:rPr>
          <w:rFonts w:ascii="Times New Roman" w:hAnsi="Times New Roman" w:cs="Times New Roman"/>
          <w:color w:val="000000" w:themeColor="text1"/>
          <w:sz w:val="24"/>
          <w:szCs w:val="21"/>
          <w:shd w:val="clear" w:color="auto" w:fill="FFFFFF"/>
        </w:rPr>
      </w:pPr>
      <w:r w:rsidRPr="00282CFE">
        <w:rPr>
          <w:rFonts w:ascii="Times New Roman" w:hAnsi="Times New Roman" w:cs="Times New Roman"/>
          <w:color w:val="000000" w:themeColor="text1"/>
          <w:sz w:val="24"/>
          <w:szCs w:val="21"/>
          <w:shd w:val="clear" w:color="auto" w:fill="FFFFFF"/>
        </w:rPr>
        <w:t xml:space="preserve">Cronin H, </w:t>
      </w:r>
      <w:proofErr w:type="spellStart"/>
      <w:r w:rsidRPr="00282CFE">
        <w:rPr>
          <w:rFonts w:ascii="Times New Roman" w:hAnsi="Times New Roman" w:cs="Times New Roman"/>
          <w:color w:val="000000" w:themeColor="text1"/>
          <w:sz w:val="24"/>
          <w:szCs w:val="21"/>
          <w:shd w:val="clear" w:color="auto" w:fill="FFFFFF"/>
        </w:rPr>
        <w:t>O'Regan</w:t>
      </w:r>
      <w:proofErr w:type="spellEnd"/>
      <w:r w:rsidRPr="00282CFE">
        <w:rPr>
          <w:rFonts w:ascii="Times New Roman" w:hAnsi="Times New Roman" w:cs="Times New Roman"/>
          <w:color w:val="000000" w:themeColor="text1"/>
          <w:sz w:val="24"/>
          <w:szCs w:val="21"/>
          <w:shd w:val="clear" w:color="auto" w:fill="FFFFFF"/>
        </w:rPr>
        <w:t xml:space="preserve"> C, Finucane C, Kearney P, Kenny RA. Health and aging: development of the Irish Longitudinal Study on </w:t>
      </w:r>
      <w:proofErr w:type="gramStart"/>
      <w:r w:rsidRPr="00282CFE">
        <w:rPr>
          <w:rFonts w:ascii="Times New Roman" w:hAnsi="Times New Roman" w:cs="Times New Roman"/>
          <w:color w:val="000000" w:themeColor="text1"/>
          <w:sz w:val="24"/>
          <w:szCs w:val="21"/>
          <w:shd w:val="clear" w:color="auto" w:fill="FFFFFF"/>
        </w:rPr>
        <w:t>Ageing</w:t>
      </w:r>
      <w:proofErr w:type="gramEnd"/>
      <w:r w:rsidRPr="00282CFE">
        <w:rPr>
          <w:rFonts w:ascii="Times New Roman" w:hAnsi="Times New Roman" w:cs="Times New Roman"/>
          <w:color w:val="000000" w:themeColor="text1"/>
          <w:sz w:val="24"/>
          <w:szCs w:val="21"/>
          <w:shd w:val="clear" w:color="auto" w:fill="FFFFFF"/>
        </w:rPr>
        <w:t xml:space="preserve"> health assessment. J Am </w:t>
      </w:r>
      <w:proofErr w:type="spellStart"/>
      <w:r w:rsidRPr="00282CFE">
        <w:rPr>
          <w:rFonts w:ascii="Times New Roman" w:hAnsi="Times New Roman" w:cs="Times New Roman"/>
          <w:color w:val="000000" w:themeColor="text1"/>
          <w:sz w:val="24"/>
          <w:szCs w:val="21"/>
          <w:shd w:val="clear" w:color="auto" w:fill="FFFFFF"/>
        </w:rPr>
        <w:t>Geriatr</w:t>
      </w:r>
      <w:proofErr w:type="spellEnd"/>
      <w:r w:rsidRPr="00282CFE">
        <w:rPr>
          <w:rFonts w:ascii="Times New Roman" w:hAnsi="Times New Roman" w:cs="Times New Roman"/>
          <w:color w:val="000000" w:themeColor="text1"/>
          <w:sz w:val="24"/>
          <w:szCs w:val="21"/>
          <w:shd w:val="clear" w:color="auto" w:fill="FFFFFF"/>
        </w:rPr>
        <w:t xml:space="preserve"> Soc. 2013 May</w:t>
      </w:r>
      <w:proofErr w:type="gramStart"/>
      <w:r w:rsidRPr="00282CFE">
        <w:rPr>
          <w:rFonts w:ascii="Times New Roman" w:hAnsi="Times New Roman" w:cs="Times New Roman"/>
          <w:color w:val="000000" w:themeColor="text1"/>
          <w:sz w:val="24"/>
          <w:szCs w:val="21"/>
          <w:shd w:val="clear" w:color="auto" w:fill="FFFFFF"/>
        </w:rPr>
        <w:t>;61</w:t>
      </w:r>
      <w:proofErr w:type="gramEnd"/>
      <w:r w:rsidRPr="00282CFE">
        <w:rPr>
          <w:rFonts w:ascii="Times New Roman" w:hAnsi="Times New Roman" w:cs="Times New Roman"/>
          <w:color w:val="000000" w:themeColor="text1"/>
          <w:sz w:val="24"/>
          <w:szCs w:val="21"/>
          <w:shd w:val="clear" w:color="auto" w:fill="FFFFFF"/>
        </w:rPr>
        <w:t xml:space="preserve"> </w:t>
      </w:r>
      <w:proofErr w:type="spellStart"/>
      <w:r w:rsidRPr="00282CFE">
        <w:rPr>
          <w:rFonts w:ascii="Times New Roman" w:hAnsi="Times New Roman" w:cs="Times New Roman"/>
          <w:color w:val="000000" w:themeColor="text1"/>
          <w:sz w:val="24"/>
          <w:szCs w:val="21"/>
          <w:shd w:val="clear" w:color="auto" w:fill="FFFFFF"/>
        </w:rPr>
        <w:t>Suppl</w:t>
      </w:r>
      <w:proofErr w:type="spellEnd"/>
      <w:r w:rsidRPr="00282CFE">
        <w:rPr>
          <w:rFonts w:ascii="Times New Roman" w:hAnsi="Times New Roman" w:cs="Times New Roman"/>
          <w:color w:val="000000" w:themeColor="text1"/>
          <w:sz w:val="24"/>
          <w:szCs w:val="21"/>
          <w:shd w:val="clear" w:color="auto" w:fill="FFFFFF"/>
        </w:rPr>
        <w:t xml:space="preserve"> 2:S269-78</w:t>
      </w:r>
    </w:p>
    <w:p w:rsidR="00D232A7" w:rsidRPr="00282CFE" w:rsidRDefault="00D232A7" w:rsidP="00D232A7">
      <w:pPr>
        <w:rPr>
          <w:rFonts w:ascii="Times New Roman" w:hAnsi="Times New Roman" w:cs="Times New Roman"/>
          <w:color w:val="000000" w:themeColor="text1"/>
          <w:sz w:val="24"/>
          <w:szCs w:val="21"/>
          <w:shd w:val="clear" w:color="auto" w:fill="FFFFFF"/>
        </w:rPr>
      </w:pPr>
    </w:p>
    <w:p w:rsidR="00D232A7" w:rsidRPr="00282CFE" w:rsidRDefault="00D232A7" w:rsidP="00D232A7">
      <w:pPr>
        <w:rPr>
          <w:rFonts w:ascii="Times New Roman" w:hAnsi="Times New Roman" w:cs="Times New Roman"/>
          <w:color w:val="000000" w:themeColor="text1"/>
          <w:sz w:val="24"/>
          <w:szCs w:val="21"/>
          <w:shd w:val="clear" w:color="auto" w:fill="FFFFFF"/>
        </w:rPr>
      </w:pPr>
      <w:r w:rsidRPr="00282CFE">
        <w:rPr>
          <w:rFonts w:ascii="Times New Roman" w:hAnsi="Times New Roman" w:cs="Times New Roman"/>
          <w:color w:val="000000" w:themeColor="text1"/>
          <w:sz w:val="24"/>
          <w:szCs w:val="21"/>
          <w:shd w:val="clear" w:color="auto" w:fill="FFFFFF"/>
        </w:rPr>
        <w:t xml:space="preserve">Kearney PM, Cronin H, </w:t>
      </w:r>
      <w:proofErr w:type="spellStart"/>
      <w:r w:rsidRPr="00282CFE">
        <w:rPr>
          <w:rFonts w:ascii="Times New Roman" w:hAnsi="Times New Roman" w:cs="Times New Roman"/>
          <w:color w:val="000000" w:themeColor="text1"/>
          <w:sz w:val="24"/>
          <w:szCs w:val="21"/>
          <w:shd w:val="clear" w:color="auto" w:fill="FFFFFF"/>
        </w:rPr>
        <w:t>O'Regan</w:t>
      </w:r>
      <w:proofErr w:type="spellEnd"/>
      <w:r w:rsidRPr="00282CFE">
        <w:rPr>
          <w:rFonts w:ascii="Times New Roman" w:hAnsi="Times New Roman" w:cs="Times New Roman"/>
          <w:color w:val="000000" w:themeColor="text1"/>
          <w:sz w:val="24"/>
          <w:szCs w:val="21"/>
          <w:shd w:val="clear" w:color="auto" w:fill="FFFFFF"/>
        </w:rPr>
        <w:t xml:space="preserve"> C, </w:t>
      </w:r>
      <w:proofErr w:type="spellStart"/>
      <w:r w:rsidRPr="00282CFE">
        <w:rPr>
          <w:rFonts w:ascii="Times New Roman" w:hAnsi="Times New Roman" w:cs="Times New Roman"/>
          <w:color w:val="000000" w:themeColor="text1"/>
          <w:sz w:val="24"/>
          <w:szCs w:val="21"/>
          <w:shd w:val="clear" w:color="auto" w:fill="FFFFFF"/>
        </w:rPr>
        <w:t>Kamiya</w:t>
      </w:r>
      <w:proofErr w:type="spellEnd"/>
      <w:r w:rsidRPr="00282CFE">
        <w:rPr>
          <w:rFonts w:ascii="Times New Roman" w:hAnsi="Times New Roman" w:cs="Times New Roman"/>
          <w:color w:val="000000" w:themeColor="text1"/>
          <w:sz w:val="24"/>
          <w:szCs w:val="21"/>
          <w:shd w:val="clear" w:color="auto" w:fill="FFFFFF"/>
        </w:rPr>
        <w:t xml:space="preserve"> Y, Whelan BJ, Kenny RA. Comparison of </w:t>
      </w:r>
      <w:proofErr w:type="spellStart"/>
      <w:r w:rsidRPr="00282CFE">
        <w:rPr>
          <w:rFonts w:ascii="Times New Roman" w:hAnsi="Times New Roman" w:cs="Times New Roman"/>
          <w:color w:val="000000" w:themeColor="text1"/>
          <w:sz w:val="24"/>
          <w:szCs w:val="21"/>
          <w:shd w:val="clear" w:color="auto" w:fill="FFFFFF"/>
        </w:rPr>
        <w:t>centre</w:t>
      </w:r>
      <w:proofErr w:type="spellEnd"/>
      <w:r w:rsidRPr="00282CFE">
        <w:rPr>
          <w:rFonts w:ascii="Times New Roman" w:hAnsi="Times New Roman" w:cs="Times New Roman"/>
          <w:color w:val="000000" w:themeColor="text1"/>
          <w:sz w:val="24"/>
          <w:szCs w:val="21"/>
          <w:shd w:val="clear" w:color="auto" w:fill="FFFFFF"/>
        </w:rPr>
        <w:t xml:space="preserve"> and home-based health assessments: early experience from the Irish Longitudinal Study on Ageing (TILDA). Age Ageing. 2011 Jan</w:t>
      </w:r>
      <w:proofErr w:type="gramStart"/>
      <w:r w:rsidRPr="00282CFE">
        <w:rPr>
          <w:rFonts w:ascii="Times New Roman" w:hAnsi="Times New Roman" w:cs="Times New Roman"/>
          <w:color w:val="000000" w:themeColor="text1"/>
          <w:sz w:val="24"/>
          <w:szCs w:val="21"/>
          <w:shd w:val="clear" w:color="auto" w:fill="FFFFFF"/>
        </w:rPr>
        <w:t>;40</w:t>
      </w:r>
      <w:proofErr w:type="gramEnd"/>
      <w:r w:rsidRPr="00282CFE">
        <w:rPr>
          <w:rFonts w:ascii="Times New Roman" w:hAnsi="Times New Roman" w:cs="Times New Roman"/>
          <w:color w:val="000000" w:themeColor="text1"/>
          <w:sz w:val="24"/>
          <w:szCs w:val="21"/>
          <w:shd w:val="clear" w:color="auto" w:fill="FFFFFF"/>
        </w:rPr>
        <w:t>(1):85-90.</w:t>
      </w:r>
    </w:p>
    <w:p w:rsidR="00F753FF" w:rsidRPr="00282CFE" w:rsidRDefault="00F753FF" w:rsidP="00D232A7">
      <w:pPr>
        <w:rPr>
          <w:rFonts w:ascii="Times New Roman" w:hAnsi="Times New Roman" w:cs="Times New Roman"/>
          <w:color w:val="000000" w:themeColor="text1"/>
          <w:sz w:val="24"/>
          <w:szCs w:val="21"/>
          <w:shd w:val="clear" w:color="auto" w:fill="FFFFFF"/>
        </w:rPr>
      </w:pPr>
    </w:p>
    <w:p w:rsidR="00F753FF" w:rsidRPr="00282CFE" w:rsidRDefault="00F753FF" w:rsidP="00F753FF">
      <w:pPr>
        <w:rPr>
          <w:rFonts w:ascii="Times New Roman" w:hAnsi="Times New Roman" w:cs="Times New Roman"/>
          <w:color w:val="000000" w:themeColor="text1"/>
          <w:sz w:val="24"/>
          <w:szCs w:val="21"/>
          <w:shd w:val="clear" w:color="auto" w:fill="FFFFFF"/>
        </w:rPr>
      </w:pPr>
      <w:proofErr w:type="spellStart"/>
      <w:r w:rsidRPr="00282CFE">
        <w:rPr>
          <w:rFonts w:ascii="Times New Roman" w:hAnsi="Times New Roman" w:cs="Times New Roman"/>
          <w:sz w:val="24"/>
          <w:shd w:val="clear" w:color="auto" w:fill="FFFFFF"/>
        </w:rPr>
        <w:t>Hajian-Tilaki</w:t>
      </w:r>
      <w:proofErr w:type="spellEnd"/>
      <w:r w:rsidRPr="00282CFE">
        <w:rPr>
          <w:rFonts w:ascii="Times New Roman" w:hAnsi="Times New Roman" w:cs="Times New Roman"/>
          <w:sz w:val="24"/>
          <w:shd w:val="clear" w:color="auto" w:fill="FFFFFF"/>
        </w:rPr>
        <w:t xml:space="preserve"> K. Receiver Operating Characteristic (ROC) Curve Analysis for Medical Diagnostic Test </w:t>
      </w:r>
      <w:proofErr w:type="gramStart"/>
      <w:r w:rsidRPr="00282CFE">
        <w:rPr>
          <w:rFonts w:ascii="Times New Roman" w:hAnsi="Times New Roman" w:cs="Times New Roman"/>
          <w:sz w:val="24"/>
          <w:shd w:val="clear" w:color="auto" w:fill="FFFFFF"/>
        </w:rPr>
        <w:t>Evaluation . </w:t>
      </w:r>
      <w:proofErr w:type="gramEnd"/>
      <w:r w:rsidRPr="00282CFE">
        <w:rPr>
          <w:rFonts w:ascii="Times New Roman" w:hAnsi="Times New Roman" w:cs="Times New Roman"/>
          <w:iCs/>
          <w:sz w:val="24"/>
          <w:shd w:val="clear" w:color="auto" w:fill="FFFFFF"/>
        </w:rPr>
        <w:t>Caspian Journal of Internal Medicine</w:t>
      </w:r>
      <w:r w:rsidRPr="00282CFE">
        <w:rPr>
          <w:rFonts w:ascii="Times New Roman" w:hAnsi="Times New Roman" w:cs="Times New Roman"/>
          <w:sz w:val="24"/>
          <w:shd w:val="clear" w:color="auto" w:fill="FFFFFF"/>
        </w:rPr>
        <w:t>. 2013</w:t>
      </w:r>
      <w:proofErr w:type="gramStart"/>
      <w:r w:rsidRPr="00282CFE">
        <w:rPr>
          <w:rFonts w:ascii="Times New Roman" w:hAnsi="Times New Roman" w:cs="Times New Roman"/>
          <w:sz w:val="24"/>
          <w:shd w:val="clear" w:color="auto" w:fill="FFFFFF"/>
        </w:rPr>
        <w:t>;4</w:t>
      </w:r>
      <w:proofErr w:type="gramEnd"/>
      <w:r w:rsidRPr="00282CFE">
        <w:rPr>
          <w:rFonts w:ascii="Times New Roman" w:hAnsi="Times New Roman" w:cs="Times New Roman"/>
          <w:sz w:val="24"/>
          <w:shd w:val="clear" w:color="auto" w:fill="FFFFFF"/>
        </w:rPr>
        <w:t>(2):627-635.</w:t>
      </w:r>
    </w:p>
    <w:p w:rsidR="00485601" w:rsidRPr="00282CFE" w:rsidRDefault="00485601">
      <w:pPr>
        <w:rPr>
          <w:rFonts w:ascii="Times New Roman" w:hAnsi="Times New Roman" w:cs="Times New Roman"/>
        </w:rPr>
      </w:pPr>
    </w:p>
    <w:sectPr w:rsidR="00485601" w:rsidRPr="00282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47BA"/>
    <w:multiLevelType w:val="multilevel"/>
    <w:tmpl w:val="31586E5E"/>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CC8"/>
    <w:rsid w:val="00172E05"/>
    <w:rsid w:val="001A6B09"/>
    <w:rsid w:val="001C72EB"/>
    <w:rsid w:val="00273ADC"/>
    <w:rsid w:val="0027407A"/>
    <w:rsid w:val="00282CFE"/>
    <w:rsid w:val="00485601"/>
    <w:rsid w:val="004F4ADB"/>
    <w:rsid w:val="00660E54"/>
    <w:rsid w:val="00730E78"/>
    <w:rsid w:val="008A6CC8"/>
    <w:rsid w:val="00AF1A69"/>
    <w:rsid w:val="00B66BF6"/>
    <w:rsid w:val="00BA647B"/>
    <w:rsid w:val="00BC552D"/>
    <w:rsid w:val="00D232A7"/>
    <w:rsid w:val="00F27CCA"/>
    <w:rsid w:val="00F753F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31664-EBAB-440F-9D62-949B2B5F7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CC8"/>
    <w:pPr>
      <w:widowControl w:val="0"/>
      <w:spacing w:after="0" w:line="240" w:lineRule="auto"/>
      <w:jc w:val="both"/>
    </w:pPr>
    <w:rPr>
      <w:rFonts w:eastAsiaTheme="minorEastAsia"/>
      <w:kern w:val="2"/>
      <w:sz w:val="21"/>
      <w:lang w:val="en-US" w:eastAsia="zh-CN"/>
    </w:rPr>
  </w:style>
  <w:style w:type="paragraph" w:styleId="Heading1">
    <w:name w:val="heading 1"/>
    <w:basedOn w:val="Normal"/>
    <w:next w:val="Normal"/>
    <w:link w:val="Heading1Char"/>
    <w:uiPriority w:val="9"/>
    <w:qFormat/>
    <w:rsid w:val="00B66BF6"/>
    <w:pPr>
      <w:keepNext/>
      <w:keepLines/>
      <w:spacing w:before="24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6CC8"/>
    <w:pPr>
      <w:ind w:firstLineChars="200" w:firstLine="420"/>
    </w:pPr>
  </w:style>
  <w:style w:type="paragraph" w:styleId="PlainText">
    <w:name w:val="Plain Text"/>
    <w:basedOn w:val="Normal"/>
    <w:link w:val="PlainTextChar"/>
    <w:uiPriority w:val="99"/>
    <w:unhideWhenUsed/>
    <w:rsid w:val="008A6CC8"/>
    <w:pPr>
      <w:widowControl/>
      <w:jc w:val="left"/>
    </w:pPr>
    <w:rPr>
      <w:rFonts w:ascii="Calibri" w:eastAsiaTheme="minorHAnsi" w:hAnsi="Calibri"/>
      <w:kern w:val="0"/>
      <w:sz w:val="22"/>
      <w:szCs w:val="21"/>
      <w:lang w:val="en-IE" w:eastAsia="en-US"/>
    </w:rPr>
  </w:style>
  <w:style w:type="character" w:customStyle="1" w:styleId="PlainTextChar">
    <w:name w:val="Plain Text Char"/>
    <w:basedOn w:val="DefaultParagraphFont"/>
    <w:link w:val="PlainText"/>
    <w:uiPriority w:val="99"/>
    <w:rsid w:val="008A6CC8"/>
    <w:rPr>
      <w:rFonts w:ascii="Calibri" w:hAnsi="Calibri"/>
      <w:szCs w:val="21"/>
    </w:rPr>
  </w:style>
  <w:style w:type="character" w:styleId="CommentReference">
    <w:name w:val="annotation reference"/>
    <w:basedOn w:val="DefaultParagraphFont"/>
    <w:uiPriority w:val="99"/>
    <w:semiHidden/>
    <w:unhideWhenUsed/>
    <w:rsid w:val="008A6CC8"/>
    <w:rPr>
      <w:sz w:val="16"/>
      <w:szCs w:val="16"/>
    </w:rPr>
  </w:style>
  <w:style w:type="table" w:styleId="TableGrid">
    <w:name w:val="Table Grid"/>
    <w:basedOn w:val="TableNormal"/>
    <w:uiPriority w:val="39"/>
    <w:rsid w:val="008A6CC8"/>
    <w:pPr>
      <w:spacing w:after="0" w:line="240" w:lineRule="auto"/>
    </w:pPr>
    <w:rPr>
      <w:rFonts w:eastAsiaTheme="minorEastAsia"/>
      <w:kern w:val="2"/>
      <w:sz w:val="21"/>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B66BF6"/>
    <w:pPr>
      <w:spacing w:after="200"/>
    </w:pPr>
    <w:rPr>
      <w:rFonts w:ascii="Times New Roman" w:hAnsi="Times New Roman"/>
      <w:i/>
      <w:iCs/>
      <w:sz w:val="18"/>
      <w:szCs w:val="18"/>
    </w:rPr>
  </w:style>
  <w:style w:type="table" w:styleId="GridTable1Light">
    <w:name w:val="Grid Table 1 Light"/>
    <w:basedOn w:val="TableNormal"/>
    <w:uiPriority w:val="46"/>
    <w:rsid w:val="008A6CC8"/>
    <w:pPr>
      <w:spacing w:after="0" w:line="240" w:lineRule="auto"/>
    </w:pPr>
    <w:rPr>
      <w:rFonts w:eastAsiaTheme="minorEastAsia"/>
      <w:kern w:val="2"/>
      <w:sz w:val="21"/>
      <w:lang w:val="en-US" w:eastAsia="zh-CN"/>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2740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07A"/>
    <w:rPr>
      <w:rFonts w:ascii="Segoe UI" w:eastAsiaTheme="minorEastAsia" w:hAnsi="Segoe UI" w:cs="Segoe UI"/>
      <w:kern w:val="2"/>
      <w:sz w:val="18"/>
      <w:szCs w:val="18"/>
      <w:lang w:val="en-US" w:eastAsia="zh-CN"/>
    </w:rPr>
  </w:style>
  <w:style w:type="character" w:customStyle="1" w:styleId="Heading1Char">
    <w:name w:val="Heading 1 Char"/>
    <w:basedOn w:val="DefaultParagraphFont"/>
    <w:link w:val="Heading1"/>
    <w:uiPriority w:val="9"/>
    <w:rsid w:val="00B66BF6"/>
    <w:rPr>
      <w:rFonts w:asciiTheme="majorHAnsi" w:eastAsiaTheme="majorEastAsia" w:hAnsiTheme="majorHAnsi" w:cstheme="majorBidi"/>
      <w:kern w:val="2"/>
      <w:sz w:val="32"/>
      <w:szCs w:val="3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oroe\Downloads\Quasicontinuous%20analysis%20of%20frailty%20and%20service%20us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oroe\Downloads\Quasicontinuous%20analysis%20of%20frailty%20and%20service%20us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oroe\Downloads\Quasicontinuous%20analysis%20of%20frailty%20and%20service%20use.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'Rockwood Deciles'!$B$101</c:f>
              <c:strCache>
                <c:ptCount val="1"/>
                <c:pt idx="0">
                  <c:v>Decile1</c:v>
                </c:pt>
              </c:strCache>
            </c:strRef>
          </c:tx>
          <c:spPr>
            <a:solidFill>
              <a:schemeClr val="accent1"/>
            </a:solidFill>
            <a:ln>
              <a:noFill/>
            </a:ln>
            <a:effectLst/>
          </c:spPr>
          <c:invertIfNegative val="0"/>
          <c:dLbls>
            <c:delete val="1"/>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Deciles'!$B$102:$B$122</c:f>
              <c:numCache>
                <c:formatCode>General</c:formatCode>
                <c:ptCount val="21"/>
                <c:pt idx="0">
                  <c:v>2.23</c:v>
                </c:pt>
                <c:pt idx="1">
                  <c:v>0</c:v>
                </c:pt>
                <c:pt idx="2">
                  <c:v>0</c:v>
                </c:pt>
                <c:pt idx="3">
                  <c:v>0</c:v>
                </c:pt>
                <c:pt idx="4">
                  <c:v>1.42</c:v>
                </c:pt>
                <c:pt idx="5">
                  <c:v>2.94</c:v>
                </c:pt>
                <c:pt idx="6">
                  <c:v>0.08</c:v>
                </c:pt>
                <c:pt idx="7">
                  <c:v>1.49</c:v>
                </c:pt>
                <c:pt idx="8">
                  <c:v>8.69</c:v>
                </c:pt>
                <c:pt idx="9">
                  <c:v>3.91</c:v>
                </c:pt>
                <c:pt idx="10">
                  <c:v>4.13</c:v>
                </c:pt>
                <c:pt idx="11">
                  <c:v>3.88</c:v>
                </c:pt>
                <c:pt idx="12">
                  <c:v>3.06</c:v>
                </c:pt>
                <c:pt idx="13">
                  <c:v>6.2</c:v>
                </c:pt>
                <c:pt idx="14">
                  <c:v>6.09</c:v>
                </c:pt>
                <c:pt idx="15">
                  <c:v>7.87</c:v>
                </c:pt>
                <c:pt idx="16">
                  <c:v>8.2899999999999991</c:v>
                </c:pt>
                <c:pt idx="17">
                  <c:v>5.22</c:v>
                </c:pt>
                <c:pt idx="18">
                  <c:v>6.61</c:v>
                </c:pt>
                <c:pt idx="19">
                  <c:v>9.69</c:v>
                </c:pt>
                <c:pt idx="20">
                  <c:v>11.51</c:v>
                </c:pt>
              </c:numCache>
            </c:numRef>
          </c:val>
        </c:ser>
        <c:ser>
          <c:idx val="1"/>
          <c:order val="1"/>
          <c:tx>
            <c:strRef>
              <c:f>'Rockwood Deciles'!$C$101</c:f>
              <c:strCache>
                <c:ptCount val="1"/>
                <c:pt idx="0">
                  <c:v>Decile 2 </c:v>
                </c:pt>
              </c:strCache>
            </c:strRef>
          </c:tx>
          <c:spPr>
            <a:solidFill>
              <a:schemeClr val="accent3"/>
            </a:solidFill>
            <a:ln>
              <a:noFill/>
            </a:ln>
            <a:effectLst/>
          </c:spPr>
          <c:invertIfNegative val="0"/>
          <c:dLbls>
            <c:delete val="1"/>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Deciles'!$C$102:$C$122</c:f>
              <c:numCache>
                <c:formatCode>General</c:formatCode>
                <c:ptCount val="21"/>
                <c:pt idx="0">
                  <c:v>0.7</c:v>
                </c:pt>
                <c:pt idx="1">
                  <c:v>22.3</c:v>
                </c:pt>
                <c:pt idx="2">
                  <c:v>0</c:v>
                </c:pt>
                <c:pt idx="3">
                  <c:v>0</c:v>
                </c:pt>
                <c:pt idx="4">
                  <c:v>1.91</c:v>
                </c:pt>
                <c:pt idx="5">
                  <c:v>3.05</c:v>
                </c:pt>
                <c:pt idx="6">
                  <c:v>0</c:v>
                </c:pt>
                <c:pt idx="7">
                  <c:v>6.29</c:v>
                </c:pt>
                <c:pt idx="8">
                  <c:v>1.63</c:v>
                </c:pt>
                <c:pt idx="9">
                  <c:v>10.38</c:v>
                </c:pt>
                <c:pt idx="10">
                  <c:v>4.63</c:v>
                </c:pt>
                <c:pt idx="11">
                  <c:v>3.84</c:v>
                </c:pt>
                <c:pt idx="12">
                  <c:v>6.08</c:v>
                </c:pt>
                <c:pt idx="13">
                  <c:v>7.27</c:v>
                </c:pt>
                <c:pt idx="14">
                  <c:v>7.4</c:v>
                </c:pt>
                <c:pt idx="15">
                  <c:v>8.14</c:v>
                </c:pt>
                <c:pt idx="16">
                  <c:v>10.59</c:v>
                </c:pt>
                <c:pt idx="17">
                  <c:v>8.25</c:v>
                </c:pt>
                <c:pt idx="18">
                  <c:v>8</c:v>
                </c:pt>
                <c:pt idx="19">
                  <c:v>11.12</c:v>
                </c:pt>
                <c:pt idx="20">
                  <c:v>11.42</c:v>
                </c:pt>
              </c:numCache>
            </c:numRef>
          </c:val>
        </c:ser>
        <c:ser>
          <c:idx val="2"/>
          <c:order val="2"/>
          <c:tx>
            <c:strRef>
              <c:f>'Rockwood Deciles'!$D$101</c:f>
              <c:strCache>
                <c:ptCount val="1"/>
                <c:pt idx="0">
                  <c:v>Decile 3</c:v>
                </c:pt>
              </c:strCache>
            </c:strRef>
          </c:tx>
          <c:spPr>
            <a:solidFill>
              <a:schemeClr val="accent5"/>
            </a:solidFill>
            <a:ln>
              <a:noFill/>
            </a:ln>
            <a:effectLst/>
          </c:spPr>
          <c:invertIfNegative val="0"/>
          <c:dLbls>
            <c:delete val="1"/>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Deciles'!$D$102:$D$122</c:f>
              <c:numCache>
                <c:formatCode>General</c:formatCode>
                <c:ptCount val="21"/>
                <c:pt idx="0">
                  <c:v>1.53</c:v>
                </c:pt>
                <c:pt idx="1">
                  <c:v>0</c:v>
                </c:pt>
                <c:pt idx="2">
                  <c:v>0</c:v>
                </c:pt>
                <c:pt idx="3">
                  <c:v>0</c:v>
                </c:pt>
                <c:pt idx="4">
                  <c:v>1.51</c:v>
                </c:pt>
                <c:pt idx="5">
                  <c:v>1.46</c:v>
                </c:pt>
                <c:pt idx="6">
                  <c:v>2.91</c:v>
                </c:pt>
                <c:pt idx="7">
                  <c:v>0</c:v>
                </c:pt>
                <c:pt idx="8">
                  <c:v>1.81</c:v>
                </c:pt>
                <c:pt idx="9">
                  <c:v>3.57</c:v>
                </c:pt>
                <c:pt idx="10">
                  <c:v>0.9</c:v>
                </c:pt>
                <c:pt idx="11">
                  <c:v>1.42</c:v>
                </c:pt>
                <c:pt idx="12">
                  <c:v>8.75</c:v>
                </c:pt>
                <c:pt idx="13">
                  <c:v>3.02</c:v>
                </c:pt>
                <c:pt idx="14">
                  <c:v>3.14</c:v>
                </c:pt>
                <c:pt idx="15">
                  <c:v>3.69</c:v>
                </c:pt>
                <c:pt idx="16">
                  <c:v>2.16</c:v>
                </c:pt>
                <c:pt idx="17">
                  <c:v>3.76</c:v>
                </c:pt>
                <c:pt idx="18">
                  <c:v>3.26</c:v>
                </c:pt>
                <c:pt idx="19">
                  <c:v>4.05</c:v>
                </c:pt>
                <c:pt idx="20">
                  <c:v>4.5</c:v>
                </c:pt>
              </c:numCache>
            </c:numRef>
          </c:val>
        </c:ser>
        <c:ser>
          <c:idx val="3"/>
          <c:order val="3"/>
          <c:tx>
            <c:strRef>
              <c:f>'Rockwood Deciles'!$E$101</c:f>
              <c:strCache>
                <c:ptCount val="1"/>
                <c:pt idx="0">
                  <c:v>Decile 4</c:v>
                </c:pt>
              </c:strCache>
            </c:strRef>
          </c:tx>
          <c:spPr>
            <a:solidFill>
              <a:schemeClr val="accent1">
                <a:lumMod val="60000"/>
              </a:schemeClr>
            </a:solidFill>
            <a:ln>
              <a:noFill/>
            </a:ln>
            <a:effectLst/>
          </c:spPr>
          <c:invertIfNegative val="0"/>
          <c:dLbls>
            <c:delete val="1"/>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Deciles'!$E$102:$E$122</c:f>
              <c:numCache>
                <c:formatCode>General</c:formatCode>
                <c:ptCount val="21"/>
                <c:pt idx="0">
                  <c:v>0.85</c:v>
                </c:pt>
                <c:pt idx="1">
                  <c:v>0</c:v>
                </c:pt>
                <c:pt idx="2">
                  <c:v>4.3099999999999996</c:v>
                </c:pt>
                <c:pt idx="3">
                  <c:v>9.25</c:v>
                </c:pt>
                <c:pt idx="4">
                  <c:v>4.6900000000000004</c:v>
                </c:pt>
                <c:pt idx="5">
                  <c:v>6.78</c:v>
                </c:pt>
                <c:pt idx="6">
                  <c:v>10.99</c:v>
                </c:pt>
                <c:pt idx="7">
                  <c:v>13.33</c:v>
                </c:pt>
                <c:pt idx="8">
                  <c:v>8.93</c:v>
                </c:pt>
                <c:pt idx="9">
                  <c:v>4.9800000000000004</c:v>
                </c:pt>
                <c:pt idx="10">
                  <c:v>6.67</c:v>
                </c:pt>
                <c:pt idx="11">
                  <c:v>7.62</c:v>
                </c:pt>
                <c:pt idx="12">
                  <c:v>9.3800000000000008</c:v>
                </c:pt>
                <c:pt idx="13">
                  <c:v>9.7899999999999991</c:v>
                </c:pt>
                <c:pt idx="14">
                  <c:v>9.7899999999999991</c:v>
                </c:pt>
                <c:pt idx="15">
                  <c:v>10.29</c:v>
                </c:pt>
                <c:pt idx="16">
                  <c:v>9.5</c:v>
                </c:pt>
                <c:pt idx="17">
                  <c:v>13.11</c:v>
                </c:pt>
                <c:pt idx="18">
                  <c:v>11.03</c:v>
                </c:pt>
                <c:pt idx="19">
                  <c:v>10.44</c:v>
                </c:pt>
                <c:pt idx="20">
                  <c:v>12.46</c:v>
                </c:pt>
              </c:numCache>
            </c:numRef>
          </c:val>
        </c:ser>
        <c:ser>
          <c:idx val="4"/>
          <c:order val="4"/>
          <c:tx>
            <c:strRef>
              <c:f>'Rockwood Deciles'!$F$101</c:f>
              <c:strCache>
                <c:ptCount val="1"/>
                <c:pt idx="0">
                  <c:v>Decile 5</c:v>
                </c:pt>
              </c:strCache>
            </c:strRef>
          </c:tx>
          <c:spPr>
            <a:solidFill>
              <a:schemeClr val="accent3">
                <a:lumMod val="60000"/>
              </a:schemeClr>
            </a:solidFill>
            <a:ln>
              <a:noFill/>
            </a:ln>
            <a:effectLst/>
          </c:spPr>
          <c:invertIfNegative val="0"/>
          <c:dLbls>
            <c:delete val="1"/>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Deciles'!$F$102:$F$122</c:f>
              <c:numCache>
                <c:formatCode>General</c:formatCode>
                <c:ptCount val="21"/>
                <c:pt idx="0">
                  <c:v>0.7</c:v>
                </c:pt>
                <c:pt idx="1">
                  <c:v>0</c:v>
                </c:pt>
                <c:pt idx="2">
                  <c:v>0</c:v>
                </c:pt>
                <c:pt idx="3">
                  <c:v>9.58</c:v>
                </c:pt>
                <c:pt idx="4">
                  <c:v>3.35</c:v>
                </c:pt>
                <c:pt idx="5">
                  <c:v>3.66</c:v>
                </c:pt>
                <c:pt idx="6">
                  <c:v>4.16</c:v>
                </c:pt>
                <c:pt idx="7">
                  <c:v>2.1</c:v>
                </c:pt>
                <c:pt idx="8">
                  <c:v>7.02</c:v>
                </c:pt>
                <c:pt idx="9">
                  <c:v>5.86</c:v>
                </c:pt>
                <c:pt idx="10">
                  <c:v>5.58</c:v>
                </c:pt>
                <c:pt idx="11">
                  <c:v>5.55</c:v>
                </c:pt>
                <c:pt idx="12">
                  <c:v>0</c:v>
                </c:pt>
                <c:pt idx="13">
                  <c:v>6.04</c:v>
                </c:pt>
                <c:pt idx="14">
                  <c:v>5.93</c:v>
                </c:pt>
                <c:pt idx="15">
                  <c:v>5.38</c:v>
                </c:pt>
                <c:pt idx="16">
                  <c:v>7.78</c:v>
                </c:pt>
                <c:pt idx="17">
                  <c:v>6.06</c:v>
                </c:pt>
                <c:pt idx="18">
                  <c:v>5.88</c:v>
                </c:pt>
                <c:pt idx="19">
                  <c:v>7.6</c:v>
                </c:pt>
                <c:pt idx="20">
                  <c:v>6.71</c:v>
                </c:pt>
              </c:numCache>
            </c:numRef>
          </c:val>
        </c:ser>
        <c:ser>
          <c:idx val="6"/>
          <c:order val="5"/>
          <c:tx>
            <c:strRef>
              <c:f>'Rockwood Deciles'!$H$101</c:f>
              <c:strCache>
                <c:ptCount val="1"/>
                <c:pt idx="0">
                  <c:v>Decile 7</c:v>
                </c:pt>
              </c:strCache>
            </c:strRef>
          </c:tx>
          <c:spPr>
            <a:solidFill>
              <a:schemeClr val="accent1">
                <a:lumMod val="80000"/>
                <a:lumOff val="20000"/>
              </a:schemeClr>
            </a:solidFill>
            <a:ln>
              <a:noFill/>
            </a:ln>
            <a:effectLst/>
          </c:spPr>
          <c:invertIfNegative val="0"/>
          <c:dLbls>
            <c:delete val="1"/>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Deciles'!$H$102:$H$122</c:f>
              <c:numCache>
                <c:formatCode>General</c:formatCode>
                <c:ptCount val="21"/>
                <c:pt idx="0">
                  <c:v>8.67</c:v>
                </c:pt>
                <c:pt idx="1">
                  <c:v>12.37</c:v>
                </c:pt>
                <c:pt idx="2">
                  <c:v>2.37</c:v>
                </c:pt>
                <c:pt idx="3">
                  <c:v>9.25</c:v>
                </c:pt>
                <c:pt idx="4">
                  <c:v>12.04</c:v>
                </c:pt>
                <c:pt idx="5">
                  <c:v>9.7100000000000009</c:v>
                </c:pt>
                <c:pt idx="6">
                  <c:v>13.51</c:v>
                </c:pt>
                <c:pt idx="7">
                  <c:v>8.6999999999999993</c:v>
                </c:pt>
                <c:pt idx="8">
                  <c:v>6.39</c:v>
                </c:pt>
                <c:pt idx="9">
                  <c:v>12.92</c:v>
                </c:pt>
                <c:pt idx="10">
                  <c:v>12.12</c:v>
                </c:pt>
                <c:pt idx="11">
                  <c:v>12.95</c:v>
                </c:pt>
                <c:pt idx="12">
                  <c:v>0</c:v>
                </c:pt>
                <c:pt idx="13">
                  <c:v>12.53</c:v>
                </c:pt>
                <c:pt idx="14">
                  <c:v>12.51</c:v>
                </c:pt>
                <c:pt idx="15">
                  <c:v>13.68</c:v>
                </c:pt>
                <c:pt idx="16">
                  <c:v>13.74</c:v>
                </c:pt>
                <c:pt idx="17">
                  <c:v>12.03</c:v>
                </c:pt>
                <c:pt idx="18">
                  <c:v>13.61</c:v>
                </c:pt>
                <c:pt idx="19">
                  <c:v>16.7</c:v>
                </c:pt>
                <c:pt idx="20">
                  <c:v>11.91</c:v>
                </c:pt>
              </c:numCache>
            </c:numRef>
          </c:val>
        </c:ser>
        <c:ser>
          <c:idx val="7"/>
          <c:order val="6"/>
          <c:tx>
            <c:strRef>
              <c:f>'Rockwood Deciles'!$I$101</c:f>
              <c:strCache>
                <c:ptCount val="1"/>
                <c:pt idx="0">
                  <c:v>Decile 8</c:v>
                </c:pt>
              </c:strCache>
            </c:strRef>
          </c:tx>
          <c:spPr>
            <a:solidFill>
              <a:schemeClr val="accent3">
                <a:lumMod val="80000"/>
                <a:lumOff val="20000"/>
              </a:schemeClr>
            </a:solidFill>
            <a:ln>
              <a:noFill/>
            </a:ln>
            <a:effectLst/>
          </c:spPr>
          <c:invertIfNegative val="0"/>
          <c:dLbls>
            <c:delete val="1"/>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Deciles'!$I$102:$I$122</c:f>
              <c:numCache>
                <c:formatCode>General</c:formatCode>
                <c:ptCount val="21"/>
                <c:pt idx="0">
                  <c:v>13.93</c:v>
                </c:pt>
                <c:pt idx="1">
                  <c:v>5.93</c:v>
                </c:pt>
                <c:pt idx="2">
                  <c:v>17.29</c:v>
                </c:pt>
                <c:pt idx="3">
                  <c:v>5.43</c:v>
                </c:pt>
                <c:pt idx="4">
                  <c:v>12.25</c:v>
                </c:pt>
                <c:pt idx="5">
                  <c:v>13.71</c:v>
                </c:pt>
                <c:pt idx="6">
                  <c:v>8.64</c:v>
                </c:pt>
                <c:pt idx="7">
                  <c:v>21.72</c:v>
                </c:pt>
                <c:pt idx="8">
                  <c:v>7.66</c:v>
                </c:pt>
                <c:pt idx="9">
                  <c:v>16.149999999999999</c:v>
                </c:pt>
                <c:pt idx="10">
                  <c:v>14.88</c:v>
                </c:pt>
                <c:pt idx="11">
                  <c:v>13.24</c:v>
                </c:pt>
                <c:pt idx="12">
                  <c:v>12.32</c:v>
                </c:pt>
                <c:pt idx="13">
                  <c:v>12.61</c:v>
                </c:pt>
                <c:pt idx="14">
                  <c:v>12.79</c:v>
                </c:pt>
                <c:pt idx="15">
                  <c:v>12.71</c:v>
                </c:pt>
                <c:pt idx="16">
                  <c:v>12.17</c:v>
                </c:pt>
                <c:pt idx="17">
                  <c:v>13.08</c:v>
                </c:pt>
                <c:pt idx="18">
                  <c:v>11.97</c:v>
                </c:pt>
                <c:pt idx="19">
                  <c:v>10.52</c:v>
                </c:pt>
                <c:pt idx="20">
                  <c:v>9.76</c:v>
                </c:pt>
              </c:numCache>
            </c:numRef>
          </c:val>
        </c:ser>
        <c:ser>
          <c:idx val="8"/>
          <c:order val="7"/>
          <c:tx>
            <c:strRef>
              <c:f>'Rockwood Deciles'!$J$101</c:f>
              <c:strCache>
                <c:ptCount val="1"/>
                <c:pt idx="0">
                  <c:v>Decile 9 </c:v>
                </c:pt>
              </c:strCache>
            </c:strRef>
          </c:tx>
          <c:spPr>
            <a:solidFill>
              <a:schemeClr val="accent5">
                <a:lumMod val="80000"/>
                <a:lumOff val="20000"/>
              </a:schemeClr>
            </a:solidFill>
            <a:ln>
              <a:noFill/>
            </a:ln>
            <a:effectLst/>
          </c:spPr>
          <c:invertIfNegative val="0"/>
          <c:dLbls>
            <c:delete val="1"/>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Deciles'!$J$102:$J$122</c:f>
              <c:numCache>
                <c:formatCode>General</c:formatCode>
                <c:ptCount val="21"/>
                <c:pt idx="0">
                  <c:v>13.91</c:v>
                </c:pt>
                <c:pt idx="1">
                  <c:v>0</c:v>
                </c:pt>
                <c:pt idx="2">
                  <c:v>20.47</c:v>
                </c:pt>
                <c:pt idx="3">
                  <c:v>0</c:v>
                </c:pt>
                <c:pt idx="4">
                  <c:v>20.23</c:v>
                </c:pt>
                <c:pt idx="5">
                  <c:v>18.940000000000001</c:v>
                </c:pt>
                <c:pt idx="6">
                  <c:v>16.79</c:v>
                </c:pt>
                <c:pt idx="7">
                  <c:v>11.87</c:v>
                </c:pt>
                <c:pt idx="8">
                  <c:v>22.98</c:v>
                </c:pt>
                <c:pt idx="9">
                  <c:v>9.27</c:v>
                </c:pt>
                <c:pt idx="10">
                  <c:v>16.18</c:v>
                </c:pt>
                <c:pt idx="11">
                  <c:v>12.32</c:v>
                </c:pt>
                <c:pt idx="12">
                  <c:v>29.27</c:v>
                </c:pt>
                <c:pt idx="13">
                  <c:v>14.1</c:v>
                </c:pt>
                <c:pt idx="14">
                  <c:v>14.01</c:v>
                </c:pt>
                <c:pt idx="15">
                  <c:v>10.78</c:v>
                </c:pt>
                <c:pt idx="16">
                  <c:v>11.17</c:v>
                </c:pt>
                <c:pt idx="17">
                  <c:v>12.89</c:v>
                </c:pt>
                <c:pt idx="18">
                  <c:v>14.78</c:v>
                </c:pt>
                <c:pt idx="19">
                  <c:v>11.17</c:v>
                </c:pt>
                <c:pt idx="20">
                  <c:v>10.8</c:v>
                </c:pt>
              </c:numCache>
            </c:numRef>
          </c:val>
        </c:ser>
        <c:ser>
          <c:idx val="9"/>
          <c:order val="8"/>
          <c:tx>
            <c:strRef>
              <c:f>'Rockwood Deciles'!$K$101</c:f>
              <c:strCache>
                <c:ptCount val="1"/>
                <c:pt idx="0">
                  <c:v>Decile 10 </c:v>
                </c:pt>
              </c:strCache>
            </c:strRef>
          </c:tx>
          <c:spPr>
            <a:solidFill>
              <a:schemeClr val="accent1">
                <a:lumMod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'Rockwood Deciles'!$A$102:$A$122</c:f>
              <c:strCache>
                <c:ptCount val="21"/>
                <c:pt idx="0">
                  <c:v>Occupational therapy</c:v>
                </c:pt>
                <c:pt idx="1">
                  <c:v>Social work</c:v>
                </c:pt>
                <c:pt idx="2">
                  <c:v>Respite </c:v>
                </c:pt>
                <c:pt idx="3">
                  <c:v>Speech and Language therapy</c:v>
                </c:pt>
                <c:pt idx="4">
                  <c:v>Homecare</c:v>
                </c:pt>
                <c:pt idx="5">
                  <c:v>Public Health Nurse</c:v>
                </c:pt>
                <c:pt idx="6">
                  <c:v>Dietician </c:v>
                </c:pt>
                <c:pt idx="7">
                  <c:v>Day centre</c:v>
                </c:pt>
                <c:pt idx="8">
                  <c:v>Meals on wheels </c:v>
                </c:pt>
                <c:pt idx="9">
                  <c:v>Hearing </c:v>
                </c:pt>
                <c:pt idx="10">
                  <c:v>Physiotherapy</c:v>
                </c:pt>
                <c:pt idx="11">
                  <c:v>Chiropody</c:v>
                </c:pt>
                <c:pt idx="12">
                  <c:v>Psychological </c:v>
                </c:pt>
                <c:pt idx="13">
                  <c:v>Hospital night (dichotomous)</c:v>
                </c:pt>
                <c:pt idx="14">
                  <c:v>Hospital admissions  (dichotomous)</c:v>
                </c:pt>
                <c:pt idx="15">
                  <c:v>ED (dichotomous)</c:v>
                </c:pt>
                <c:pt idx="16">
                  <c:v>Optician </c:v>
                </c:pt>
                <c:pt idx="17">
                  <c:v>Day case procedures (dichotomous)</c:v>
                </c:pt>
                <c:pt idx="18">
                  <c:v>Outpatient (dichotomous)</c:v>
                </c:pt>
                <c:pt idx="19">
                  <c:v>Dental</c:v>
                </c:pt>
                <c:pt idx="20">
                  <c:v>GP (dichotomous)</c:v>
                </c:pt>
              </c:strCache>
            </c:strRef>
          </c:cat>
          <c:val>
            <c:numRef>
              <c:f>'Rockwood Deciles'!$K$102:$K$122</c:f>
              <c:numCache>
                <c:formatCode>General</c:formatCode>
                <c:ptCount val="21"/>
                <c:pt idx="0">
                  <c:v>53.59</c:v>
                </c:pt>
                <c:pt idx="1">
                  <c:v>53.45</c:v>
                </c:pt>
                <c:pt idx="2">
                  <c:v>44.81</c:v>
                </c:pt>
                <c:pt idx="3">
                  <c:v>39.659999999999997</c:v>
                </c:pt>
                <c:pt idx="4">
                  <c:v>39.11</c:v>
                </c:pt>
                <c:pt idx="5">
                  <c:v>34.85</c:v>
                </c:pt>
                <c:pt idx="6">
                  <c:v>31.62</c:v>
                </c:pt>
                <c:pt idx="7">
                  <c:v>31.28</c:v>
                </c:pt>
                <c:pt idx="8">
                  <c:v>29.44</c:v>
                </c:pt>
                <c:pt idx="9">
                  <c:v>28.87</c:v>
                </c:pt>
                <c:pt idx="10">
                  <c:v>27.9</c:v>
                </c:pt>
                <c:pt idx="11">
                  <c:v>27.39</c:v>
                </c:pt>
                <c:pt idx="12">
                  <c:v>24.32</c:v>
                </c:pt>
                <c:pt idx="13">
                  <c:v>20.149999999999999</c:v>
                </c:pt>
                <c:pt idx="14">
                  <c:v>20.010000000000002</c:v>
                </c:pt>
                <c:pt idx="15">
                  <c:v>18.190000000000001</c:v>
                </c:pt>
                <c:pt idx="16">
                  <c:v>17.12</c:v>
                </c:pt>
                <c:pt idx="17">
                  <c:v>15.97</c:v>
                </c:pt>
                <c:pt idx="18">
                  <c:v>15.48</c:v>
                </c:pt>
                <c:pt idx="19">
                  <c:v>13</c:v>
                </c:pt>
                <c:pt idx="20">
                  <c:v>11.88</c:v>
                </c:pt>
              </c:numCache>
            </c:numRef>
          </c:val>
        </c:ser>
        <c:dLbls>
          <c:showLegendKey val="0"/>
          <c:showVal val="1"/>
          <c:showCatName val="0"/>
          <c:showSerName val="0"/>
          <c:showPercent val="0"/>
          <c:showBubbleSize val="0"/>
        </c:dLbls>
        <c:gapWidth val="75"/>
        <c:overlap val="100"/>
        <c:axId val="165392472"/>
        <c:axId val="165391688"/>
      </c:barChart>
      <c:catAx>
        <c:axId val="1653924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5391688"/>
        <c:crosses val="autoZero"/>
        <c:auto val="1"/>
        <c:lblAlgn val="ctr"/>
        <c:lblOffset val="100"/>
        <c:noMultiLvlLbl val="0"/>
      </c:catAx>
      <c:valAx>
        <c:axId val="165391688"/>
        <c:scaling>
          <c:orientation val="minMax"/>
        </c:scaling>
        <c:delete val="0"/>
        <c:axPos val="b"/>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53924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'Morley Deciles'!$B$96</c:f>
              <c:strCache>
                <c:ptCount val="1"/>
                <c:pt idx="0">
                  <c:v>Quartile 1</c:v>
                </c:pt>
              </c:strCache>
            </c:strRef>
          </c:tx>
          <c:spPr>
            <a:solidFill>
              <a:schemeClr val="accent1"/>
            </a:solidFill>
            <a:ln>
              <a:noFill/>
            </a:ln>
            <a:effectLst/>
          </c:spPr>
          <c:invertIfNegative val="0"/>
          <c:dLbls>
            <c:delete val="1"/>
          </c:dLbls>
          <c:cat>
            <c:strRef>
              <c:f>'Morley Deciles'!$A$97:$A$117</c:f>
              <c:strCache>
                <c:ptCount val="21"/>
                <c:pt idx="0">
                  <c:v>Meals on wheels </c:v>
                </c:pt>
                <c:pt idx="1">
                  <c:v>Occupational therapy</c:v>
                </c:pt>
                <c:pt idx="2">
                  <c:v>Homecare</c:v>
                </c:pt>
                <c:pt idx="3">
                  <c:v>Speech and Language therapy</c:v>
                </c:pt>
                <c:pt idx="4">
                  <c:v>Respite </c:v>
                </c:pt>
                <c:pt idx="5">
                  <c:v>Social work</c:v>
                </c:pt>
                <c:pt idx="6">
                  <c:v>Public Health Nurse</c:v>
                </c:pt>
                <c:pt idx="7">
                  <c:v>Psychological </c:v>
                </c:pt>
                <c:pt idx="8">
                  <c:v>Dietician </c:v>
                </c:pt>
                <c:pt idx="9">
                  <c:v>Physiotherapy</c:v>
                </c:pt>
                <c:pt idx="10">
                  <c:v>Chiropody</c:v>
                </c:pt>
                <c:pt idx="11">
                  <c:v>Hearing </c:v>
                </c:pt>
                <c:pt idx="12">
                  <c:v>Day centre</c:v>
                </c:pt>
                <c:pt idx="13">
                  <c:v>Hospital admissions (dichotomous)</c:v>
                </c:pt>
                <c:pt idx="14">
                  <c:v>Hospital night (dichotomous)</c:v>
                </c:pt>
                <c:pt idx="15">
                  <c:v>ED (dichotomous)</c:v>
                </c:pt>
                <c:pt idx="16">
                  <c:v>Day case procedures (dichotomous)</c:v>
                </c:pt>
                <c:pt idx="17">
                  <c:v>Dental</c:v>
                </c:pt>
                <c:pt idx="18">
                  <c:v>Outpatient (dichotomous)</c:v>
                </c:pt>
                <c:pt idx="19">
                  <c:v>Optician </c:v>
                </c:pt>
                <c:pt idx="20">
                  <c:v>GP (dichotomous)</c:v>
                </c:pt>
              </c:strCache>
            </c:strRef>
          </c:cat>
          <c:val>
            <c:numRef>
              <c:f>'Morley Deciles'!$B$97:$B$117</c:f>
              <c:numCache>
                <c:formatCode>General</c:formatCode>
                <c:ptCount val="21"/>
                <c:pt idx="0">
                  <c:v>37.04</c:v>
                </c:pt>
                <c:pt idx="1">
                  <c:v>26.29</c:v>
                </c:pt>
                <c:pt idx="2">
                  <c:v>26.97</c:v>
                </c:pt>
                <c:pt idx="3">
                  <c:v>31.65</c:v>
                </c:pt>
                <c:pt idx="4">
                  <c:v>20.75</c:v>
                </c:pt>
                <c:pt idx="5">
                  <c:v>30.01</c:v>
                </c:pt>
                <c:pt idx="6">
                  <c:v>29.42</c:v>
                </c:pt>
                <c:pt idx="7">
                  <c:v>21.55</c:v>
                </c:pt>
                <c:pt idx="8">
                  <c:v>35.81</c:v>
                </c:pt>
                <c:pt idx="9">
                  <c:v>41.05</c:v>
                </c:pt>
                <c:pt idx="10">
                  <c:v>43.81</c:v>
                </c:pt>
                <c:pt idx="11">
                  <c:v>43.1</c:v>
                </c:pt>
                <c:pt idx="12">
                  <c:v>36.51</c:v>
                </c:pt>
                <c:pt idx="13">
                  <c:v>46.85</c:v>
                </c:pt>
                <c:pt idx="14">
                  <c:v>46.57</c:v>
                </c:pt>
                <c:pt idx="15">
                  <c:v>51.89</c:v>
                </c:pt>
                <c:pt idx="16">
                  <c:v>55.22</c:v>
                </c:pt>
                <c:pt idx="17">
                  <c:v>59.74</c:v>
                </c:pt>
                <c:pt idx="18">
                  <c:v>55.98</c:v>
                </c:pt>
                <c:pt idx="19">
                  <c:v>56.73</c:v>
                </c:pt>
                <c:pt idx="20">
                  <c:v>64.2</c:v>
                </c:pt>
              </c:numCache>
            </c:numRef>
          </c:val>
        </c:ser>
        <c:ser>
          <c:idx val="1"/>
          <c:order val="1"/>
          <c:tx>
            <c:strRef>
              <c:f>'Morley Deciles'!$C$96</c:f>
              <c:strCache>
                <c:ptCount val="1"/>
                <c:pt idx="0">
                  <c:v>Quartile 2</c:v>
                </c:pt>
              </c:strCache>
            </c:strRef>
          </c:tx>
          <c:spPr>
            <a:solidFill>
              <a:schemeClr val="accent3"/>
            </a:solidFill>
            <a:ln>
              <a:noFill/>
            </a:ln>
            <a:effectLst/>
          </c:spPr>
          <c:invertIfNegative val="0"/>
          <c:dLbls>
            <c:delete val="1"/>
          </c:dLbls>
          <c:cat>
            <c:strRef>
              <c:f>'Morley Deciles'!$A$97:$A$117</c:f>
              <c:strCache>
                <c:ptCount val="21"/>
                <c:pt idx="0">
                  <c:v>Meals on wheels </c:v>
                </c:pt>
                <c:pt idx="1">
                  <c:v>Occupational therapy</c:v>
                </c:pt>
                <c:pt idx="2">
                  <c:v>Homecare</c:v>
                </c:pt>
                <c:pt idx="3">
                  <c:v>Speech and Language therapy</c:v>
                </c:pt>
                <c:pt idx="4">
                  <c:v>Respite </c:v>
                </c:pt>
                <c:pt idx="5">
                  <c:v>Social work</c:v>
                </c:pt>
                <c:pt idx="6">
                  <c:v>Public Health Nurse</c:v>
                </c:pt>
                <c:pt idx="7">
                  <c:v>Psychological </c:v>
                </c:pt>
                <c:pt idx="8">
                  <c:v>Dietician </c:v>
                </c:pt>
                <c:pt idx="9">
                  <c:v>Physiotherapy</c:v>
                </c:pt>
                <c:pt idx="10">
                  <c:v>Chiropody</c:v>
                </c:pt>
                <c:pt idx="11">
                  <c:v>Hearing </c:v>
                </c:pt>
                <c:pt idx="12">
                  <c:v>Day centre</c:v>
                </c:pt>
                <c:pt idx="13">
                  <c:v>Hospital admissions (dichotomous)</c:v>
                </c:pt>
                <c:pt idx="14">
                  <c:v>Hospital night (dichotomous)</c:v>
                </c:pt>
                <c:pt idx="15">
                  <c:v>ED (dichotomous)</c:v>
                </c:pt>
                <c:pt idx="16">
                  <c:v>Day case procedures (dichotomous)</c:v>
                </c:pt>
                <c:pt idx="17">
                  <c:v>Dental</c:v>
                </c:pt>
                <c:pt idx="18">
                  <c:v>Outpatient (dichotomous)</c:v>
                </c:pt>
                <c:pt idx="19">
                  <c:v>Optician </c:v>
                </c:pt>
                <c:pt idx="20">
                  <c:v>GP (dichotomous)</c:v>
                </c:pt>
              </c:strCache>
            </c:strRef>
          </c:cat>
          <c:val>
            <c:numRef>
              <c:f>'Morley Deciles'!$C$97:$C$117</c:f>
              <c:numCache>
                <c:formatCode>General</c:formatCode>
                <c:ptCount val="21"/>
                <c:pt idx="0">
                  <c:v>26.21</c:v>
                </c:pt>
                <c:pt idx="1">
                  <c:v>25.97</c:v>
                </c:pt>
                <c:pt idx="2">
                  <c:v>26.72</c:v>
                </c:pt>
                <c:pt idx="3">
                  <c:v>28.68</c:v>
                </c:pt>
                <c:pt idx="4">
                  <c:v>25.17</c:v>
                </c:pt>
                <c:pt idx="5">
                  <c:v>11.79</c:v>
                </c:pt>
                <c:pt idx="6">
                  <c:v>26.32</c:v>
                </c:pt>
                <c:pt idx="7">
                  <c:v>33.840000000000003</c:v>
                </c:pt>
                <c:pt idx="8">
                  <c:v>28.54</c:v>
                </c:pt>
                <c:pt idx="9">
                  <c:v>28.86</c:v>
                </c:pt>
                <c:pt idx="10">
                  <c:v>26</c:v>
                </c:pt>
                <c:pt idx="11">
                  <c:v>22.03</c:v>
                </c:pt>
                <c:pt idx="12">
                  <c:v>22.25</c:v>
                </c:pt>
                <c:pt idx="13">
                  <c:v>26.43</c:v>
                </c:pt>
                <c:pt idx="14">
                  <c:v>26.61</c:v>
                </c:pt>
                <c:pt idx="15">
                  <c:v>24.02</c:v>
                </c:pt>
                <c:pt idx="16">
                  <c:v>23.07</c:v>
                </c:pt>
                <c:pt idx="17">
                  <c:v>22.62</c:v>
                </c:pt>
                <c:pt idx="18">
                  <c:v>24.09</c:v>
                </c:pt>
                <c:pt idx="19">
                  <c:v>24.39</c:v>
                </c:pt>
                <c:pt idx="20">
                  <c:v>20.49</c:v>
                </c:pt>
              </c:numCache>
            </c:numRef>
          </c:val>
        </c:ser>
        <c:ser>
          <c:idx val="2"/>
          <c:order val="2"/>
          <c:tx>
            <c:strRef>
              <c:f>'Morley Deciles'!$D$96</c:f>
              <c:strCache>
                <c:ptCount val="1"/>
                <c:pt idx="0">
                  <c:v>Quartile 3</c:v>
                </c:pt>
              </c:strCache>
            </c:strRef>
          </c:tx>
          <c:spPr>
            <a:solidFill>
              <a:schemeClr val="accent5"/>
            </a:solidFill>
            <a:ln>
              <a:noFill/>
            </a:ln>
            <a:effectLst/>
          </c:spPr>
          <c:invertIfNegative val="0"/>
          <c:dLbls>
            <c:delete val="1"/>
          </c:dLbls>
          <c:cat>
            <c:strRef>
              <c:f>'Morley Deciles'!$A$97:$A$117</c:f>
              <c:strCache>
                <c:ptCount val="21"/>
                <c:pt idx="0">
                  <c:v>Meals on wheels </c:v>
                </c:pt>
                <c:pt idx="1">
                  <c:v>Occupational therapy</c:v>
                </c:pt>
                <c:pt idx="2">
                  <c:v>Homecare</c:v>
                </c:pt>
                <c:pt idx="3">
                  <c:v>Speech and Language therapy</c:v>
                </c:pt>
                <c:pt idx="4">
                  <c:v>Respite </c:v>
                </c:pt>
                <c:pt idx="5">
                  <c:v>Social work</c:v>
                </c:pt>
                <c:pt idx="6">
                  <c:v>Public Health Nurse</c:v>
                </c:pt>
                <c:pt idx="7">
                  <c:v>Psychological </c:v>
                </c:pt>
                <c:pt idx="8">
                  <c:v>Dietician </c:v>
                </c:pt>
                <c:pt idx="9">
                  <c:v>Physiotherapy</c:v>
                </c:pt>
                <c:pt idx="10">
                  <c:v>Chiropody</c:v>
                </c:pt>
                <c:pt idx="11">
                  <c:v>Hearing </c:v>
                </c:pt>
                <c:pt idx="12">
                  <c:v>Day centre</c:v>
                </c:pt>
                <c:pt idx="13">
                  <c:v>Hospital admissions (dichotomous)</c:v>
                </c:pt>
                <c:pt idx="14">
                  <c:v>Hospital night (dichotomous)</c:v>
                </c:pt>
                <c:pt idx="15">
                  <c:v>ED (dichotomous)</c:v>
                </c:pt>
                <c:pt idx="16">
                  <c:v>Day case procedures (dichotomous)</c:v>
                </c:pt>
                <c:pt idx="17">
                  <c:v>Dental</c:v>
                </c:pt>
                <c:pt idx="18">
                  <c:v>Outpatient (dichotomous)</c:v>
                </c:pt>
                <c:pt idx="19">
                  <c:v>Optician </c:v>
                </c:pt>
                <c:pt idx="20">
                  <c:v>GP (dichotomous)</c:v>
                </c:pt>
              </c:strCache>
            </c:strRef>
          </c:cat>
          <c:val>
            <c:numRef>
              <c:f>'Morley Deciles'!$D$97:$D$117</c:f>
              <c:numCache>
                <c:formatCode>General</c:formatCode>
                <c:ptCount val="21"/>
                <c:pt idx="0">
                  <c:v>6.73</c:v>
                </c:pt>
                <c:pt idx="1">
                  <c:v>21.04</c:v>
                </c:pt>
                <c:pt idx="2">
                  <c:v>23.93</c:v>
                </c:pt>
                <c:pt idx="3">
                  <c:v>17.899999999999999</c:v>
                </c:pt>
                <c:pt idx="4">
                  <c:v>34.21</c:v>
                </c:pt>
                <c:pt idx="5">
                  <c:v>38.6</c:v>
                </c:pt>
                <c:pt idx="6">
                  <c:v>24.84</c:v>
                </c:pt>
                <c:pt idx="7">
                  <c:v>27.02</c:v>
                </c:pt>
                <c:pt idx="8">
                  <c:v>19.149999999999999</c:v>
                </c:pt>
                <c:pt idx="9">
                  <c:v>14.48</c:v>
                </c:pt>
                <c:pt idx="10">
                  <c:v>15.26</c:v>
                </c:pt>
                <c:pt idx="11">
                  <c:v>20.100000000000001</c:v>
                </c:pt>
                <c:pt idx="12">
                  <c:v>26.78</c:v>
                </c:pt>
                <c:pt idx="13">
                  <c:v>14.59</c:v>
                </c:pt>
                <c:pt idx="14">
                  <c:v>14.86</c:v>
                </c:pt>
                <c:pt idx="15">
                  <c:v>14.37</c:v>
                </c:pt>
                <c:pt idx="16">
                  <c:v>13.66</c:v>
                </c:pt>
                <c:pt idx="17">
                  <c:v>6.69</c:v>
                </c:pt>
                <c:pt idx="18">
                  <c:v>12.31</c:v>
                </c:pt>
                <c:pt idx="19">
                  <c:v>12.24</c:v>
                </c:pt>
                <c:pt idx="20">
                  <c:v>9.81</c:v>
                </c:pt>
              </c:numCache>
            </c:numRef>
          </c:val>
        </c:ser>
        <c:ser>
          <c:idx val="3"/>
          <c:order val="3"/>
          <c:tx>
            <c:strRef>
              <c:f>'Morley Deciles'!$E$96</c:f>
              <c:strCache>
                <c:ptCount val="1"/>
                <c:pt idx="0">
                  <c:v>Quartile 4 </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'Morley Deciles'!$A$97:$A$117</c:f>
              <c:strCache>
                <c:ptCount val="21"/>
                <c:pt idx="0">
                  <c:v>Meals on wheels </c:v>
                </c:pt>
                <c:pt idx="1">
                  <c:v>Occupational therapy</c:v>
                </c:pt>
                <c:pt idx="2">
                  <c:v>Homecare</c:v>
                </c:pt>
                <c:pt idx="3">
                  <c:v>Speech and Language therapy</c:v>
                </c:pt>
                <c:pt idx="4">
                  <c:v>Respite </c:v>
                </c:pt>
                <c:pt idx="5">
                  <c:v>Social work</c:v>
                </c:pt>
                <c:pt idx="6">
                  <c:v>Public Health Nurse</c:v>
                </c:pt>
                <c:pt idx="7">
                  <c:v>Psychological </c:v>
                </c:pt>
                <c:pt idx="8">
                  <c:v>Dietician </c:v>
                </c:pt>
                <c:pt idx="9">
                  <c:v>Physiotherapy</c:v>
                </c:pt>
                <c:pt idx="10">
                  <c:v>Chiropody</c:v>
                </c:pt>
                <c:pt idx="11">
                  <c:v>Hearing </c:v>
                </c:pt>
                <c:pt idx="12">
                  <c:v>Day centre</c:v>
                </c:pt>
                <c:pt idx="13">
                  <c:v>Hospital admissions (dichotomous)</c:v>
                </c:pt>
                <c:pt idx="14">
                  <c:v>Hospital night (dichotomous)</c:v>
                </c:pt>
                <c:pt idx="15">
                  <c:v>ED (dichotomous)</c:v>
                </c:pt>
                <c:pt idx="16">
                  <c:v>Day case procedures (dichotomous)</c:v>
                </c:pt>
                <c:pt idx="17">
                  <c:v>Dental</c:v>
                </c:pt>
                <c:pt idx="18">
                  <c:v>Outpatient (dichotomous)</c:v>
                </c:pt>
                <c:pt idx="19">
                  <c:v>Optician </c:v>
                </c:pt>
                <c:pt idx="20">
                  <c:v>GP (dichotomous)</c:v>
                </c:pt>
              </c:strCache>
            </c:strRef>
          </c:cat>
          <c:val>
            <c:numRef>
              <c:f>'Morley Deciles'!$E$97:$E$117</c:f>
              <c:numCache>
                <c:formatCode>General</c:formatCode>
                <c:ptCount val="21"/>
                <c:pt idx="0">
                  <c:v>30</c:v>
                </c:pt>
                <c:pt idx="1">
                  <c:v>26.67</c:v>
                </c:pt>
                <c:pt idx="2">
                  <c:v>22.37</c:v>
                </c:pt>
                <c:pt idx="3">
                  <c:v>21.75</c:v>
                </c:pt>
                <c:pt idx="4">
                  <c:v>19.84</c:v>
                </c:pt>
                <c:pt idx="5">
                  <c:v>19.579999999999998</c:v>
                </c:pt>
                <c:pt idx="6">
                  <c:v>19.399999999999999</c:v>
                </c:pt>
                <c:pt idx="7">
                  <c:v>17.559999999999999</c:v>
                </c:pt>
                <c:pt idx="8">
                  <c:v>16.489999999999998</c:v>
                </c:pt>
                <c:pt idx="9">
                  <c:v>15.59</c:v>
                </c:pt>
                <c:pt idx="10">
                  <c:v>14.91</c:v>
                </c:pt>
                <c:pt idx="11">
                  <c:v>14.75</c:v>
                </c:pt>
                <c:pt idx="12">
                  <c:v>14.43</c:v>
                </c:pt>
                <c:pt idx="13">
                  <c:v>12.11</c:v>
                </c:pt>
                <c:pt idx="14">
                  <c:v>11.94</c:v>
                </c:pt>
                <c:pt idx="15">
                  <c:v>9.7100000000000009</c:v>
                </c:pt>
                <c:pt idx="16">
                  <c:v>8.0299999999999994</c:v>
                </c:pt>
                <c:pt idx="17">
                  <c:v>7.93</c:v>
                </c:pt>
                <c:pt idx="18">
                  <c:v>7.6</c:v>
                </c:pt>
                <c:pt idx="19">
                  <c:v>6.61</c:v>
                </c:pt>
                <c:pt idx="20">
                  <c:v>5.49</c:v>
                </c:pt>
              </c:numCache>
            </c:numRef>
          </c:val>
        </c:ser>
        <c:dLbls>
          <c:showLegendKey val="0"/>
          <c:showVal val="1"/>
          <c:showCatName val="0"/>
          <c:showSerName val="0"/>
          <c:showPercent val="0"/>
          <c:showBubbleSize val="0"/>
        </c:dLbls>
        <c:gapWidth val="75"/>
        <c:overlap val="100"/>
        <c:axId val="439031240"/>
        <c:axId val="439030848"/>
      </c:barChart>
      <c:catAx>
        <c:axId val="439031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439030848"/>
        <c:crosses val="autoZero"/>
        <c:auto val="1"/>
        <c:lblAlgn val="ctr"/>
        <c:lblOffset val="100"/>
        <c:noMultiLvlLbl val="0"/>
      </c:catAx>
      <c:valAx>
        <c:axId val="439030848"/>
        <c:scaling>
          <c:orientation val="minMax"/>
        </c:scaling>
        <c:delete val="0"/>
        <c:axPos val="b"/>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4390312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'Fried Deciles'!$B$98</c:f>
              <c:strCache>
                <c:ptCount val="1"/>
                <c:pt idx="0">
                  <c:v>Quartile 1</c:v>
                </c:pt>
              </c:strCache>
            </c:strRef>
          </c:tx>
          <c:spPr>
            <a:solidFill>
              <a:schemeClr val="accent1"/>
            </a:solidFill>
            <a:ln>
              <a:noFill/>
            </a:ln>
            <a:effectLst/>
          </c:spPr>
          <c:invertIfNegative val="0"/>
          <c:dLbls>
            <c:delete val="1"/>
          </c:dLbls>
          <c:cat>
            <c:strRef>
              <c:f>'Fried Deciles'!$A$99:$A$119</c:f>
              <c:strCache>
                <c:ptCount val="21"/>
                <c:pt idx="0">
                  <c:v>Homecare</c:v>
                </c:pt>
                <c:pt idx="1">
                  <c:v>Meals on wheels </c:v>
                </c:pt>
                <c:pt idx="2">
                  <c:v>Psychological </c:v>
                </c:pt>
                <c:pt idx="3">
                  <c:v>Respite </c:v>
                </c:pt>
                <c:pt idx="4">
                  <c:v>Occupational therapy</c:v>
                </c:pt>
                <c:pt idx="5">
                  <c:v>Public Health Nurse</c:v>
                </c:pt>
                <c:pt idx="6">
                  <c:v>Chiropody</c:v>
                </c:pt>
                <c:pt idx="7">
                  <c:v>Hospital night (dichotomous)</c:v>
                </c:pt>
                <c:pt idx="8">
                  <c:v>Physiotherapy</c:v>
                </c:pt>
                <c:pt idx="9">
                  <c:v>Hospital admissions  (dichotomous)</c:v>
                </c:pt>
                <c:pt idx="10">
                  <c:v>Day centre</c:v>
                </c:pt>
                <c:pt idx="11">
                  <c:v>ED (dichotomous)</c:v>
                </c:pt>
                <c:pt idx="12">
                  <c:v>Day case procedures (dichotomous)</c:v>
                </c:pt>
                <c:pt idx="13">
                  <c:v>Speech and Language therapy</c:v>
                </c:pt>
                <c:pt idx="14">
                  <c:v>Hearing </c:v>
                </c:pt>
                <c:pt idx="15">
                  <c:v>Outpatient (dichotomous)</c:v>
                </c:pt>
                <c:pt idx="16">
                  <c:v>GP (dichotomous)</c:v>
                </c:pt>
                <c:pt idx="17">
                  <c:v>Optician </c:v>
                </c:pt>
                <c:pt idx="18">
                  <c:v>Dietician </c:v>
                </c:pt>
                <c:pt idx="19">
                  <c:v>Dental</c:v>
                </c:pt>
                <c:pt idx="20">
                  <c:v>Social work</c:v>
                </c:pt>
              </c:strCache>
            </c:strRef>
          </c:cat>
          <c:val>
            <c:numRef>
              <c:f>'Fried Deciles'!$B$99:$B$119</c:f>
              <c:numCache>
                <c:formatCode>General</c:formatCode>
                <c:ptCount val="21"/>
                <c:pt idx="0">
                  <c:v>10.74</c:v>
                </c:pt>
                <c:pt idx="1">
                  <c:v>13.17</c:v>
                </c:pt>
                <c:pt idx="2">
                  <c:v>20.58</c:v>
                </c:pt>
                <c:pt idx="3">
                  <c:v>19.23</c:v>
                </c:pt>
                <c:pt idx="4">
                  <c:v>24.99</c:v>
                </c:pt>
                <c:pt idx="5">
                  <c:v>18.489999999999998</c:v>
                </c:pt>
                <c:pt idx="6">
                  <c:v>30.12</c:v>
                </c:pt>
                <c:pt idx="7">
                  <c:v>33.4</c:v>
                </c:pt>
                <c:pt idx="8">
                  <c:v>33.36</c:v>
                </c:pt>
                <c:pt idx="9">
                  <c:v>33.630000000000003</c:v>
                </c:pt>
                <c:pt idx="10">
                  <c:v>19.47</c:v>
                </c:pt>
                <c:pt idx="11">
                  <c:v>36.71</c:v>
                </c:pt>
                <c:pt idx="12">
                  <c:v>43.8</c:v>
                </c:pt>
                <c:pt idx="13">
                  <c:v>0</c:v>
                </c:pt>
                <c:pt idx="14">
                  <c:v>32.450000000000003</c:v>
                </c:pt>
                <c:pt idx="15">
                  <c:v>44.38</c:v>
                </c:pt>
                <c:pt idx="16">
                  <c:v>47.5</c:v>
                </c:pt>
                <c:pt idx="17">
                  <c:v>40.79</c:v>
                </c:pt>
                <c:pt idx="18">
                  <c:v>35.64</c:v>
                </c:pt>
                <c:pt idx="19">
                  <c:v>47.38</c:v>
                </c:pt>
                <c:pt idx="20">
                  <c:v>29.81</c:v>
                </c:pt>
              </c:numCache>
            </c:numRef>
          </c:val>
        </c:ser>
        <c:ser>
          <c:idx val="1"/>
          <c:order val="1"/>
          <c:tx>
            <c:strRef>
              <c:f>'Fried Deciles'!$C$98</c:f>
              <c:strCache>
                <c:ptCount val="1"/>
                <c:pt idx="0">
                  <c:v>Quartile 2</c:v>
                </c:pt>
              </c:strCache>
            </c:strRef>
          </c:tx>
          <c:spPr>
            <a:solidFill>
              <a:schemeClr val="accent3"/>
            </a:solidFill>
            <a:ln>
              <a:noFill/>
            </a:ln>
            <a:effectLst/>
          </c:spPr>
          <c:invertIfNegative val="0"/>
          <c:dLbls>
            <c:delete val="1"/>
          </c:dLbls>
          <c:cat>
            <c:strRef>
              <c:f>'Fried Deciles'!$A$99:$A$119</c:f>
              <c:strCache>
                <c:ptCount val="21"/>
                <c:pt idx="0">
                  <c:v>Homecare</c:v>
                </c:pt>
                <c:pt idx="1">
                  <c:v>Meals on wheels </c:v>
                </c:pt>
                <c:pt idx="2">
                  <c:v>Psychological </c:v>
                </c:pt>
                <c:pt idx="3">
                  <c:v>Respite </c:v>
                </c:pt>
                <c:pt idx="4">
                  <c:v>Occupational therapy</c:v>
                </c:pt>
                <c:pt idx="5">
                  <c:v>Public Health Nurse</c:v>
                </c:pt>
                <c:pt idx="6">
                  <c:v>Chiropody</c:v>
                </c:pt>
                <c:pt idx="7">
                  <c:v>Hospital night (dichotomous)</c:v>
                </c:pt>
                <c:pt idx="8">
                  <c:v>Physiotherapy</c:v>
                </c:pt>
                <c:pt idx="9">
                  <c:v>Hospital admissions  (dichotomous)</c:v>
                </c:pt>
                <c:pt idx="10">
                  <c:v>Day centre</c:v>
                </c:pt>
                <c:pt idx="11">
                  <c:v>ED (dichotomous)</c:v>
                </c:pt>
                <c:pt idx="12">
                  <c:v>Day case procedures (dichotomous)</c:v>
                </c:pt>
                <c:pt idx="13">
                  <c:v>Speech and Language therapy</c:v>
                </c:pt>
                <c:pt idx="14">
                  <c:v>Hearing </c:v>
                </c:pt>
                <c:pt idx="15">
                  <c:v>Outpatient (dichotomous)</c:v>
                </c:pt>
                <c:pt idx="16">
                  <c:v>GP (dichotomous)</c:v>
                </c:pt>
                <c:pt idx="17">
                  <c:v>Optician </c:v>
                </c:pt>
                <c:pt idx="18">
                  <c:v>Dietician </c:v>
                </c:pt>
                <c:pt idx="19">
                  <c:v>Dental</c:v>
                </c:pt>
                <c:pt idx="20">
                  <c:v>Social work</c:v>
                </c:pt>
              </c:strCache>
            </c:strRef>
          </c:cat>
          <c:val>
            <c:numRef>
              <c:f>'Fried Deciles'!$C$99:$C$119</c:f>
              <c:numCache>
                <c:formatCode>General</c:formatCode>
                <c:ptCount val="21"/>
                <c:pt idx="0">
                  <c:v>28.28</c:v>
                </c:pt>
                <c:pt idx="1">
                  <c:v>30.37</c:v>
                </c:pt>
                <c:pt idx="2">
                  <c:v>27.97</c:v>
                </c:pt>
                <c:pt idx="3">
                  <c:v>25.35</c:v>
                </c:pt>
                <c:pt idx="4">
                  <c:v>25.79</c:v>
                </c:pt>
                <c:pt idx="5">
                  <c:v>27.65</c:v>
                </c:pt>
                <c:pt idx="6">
                  <c:v>30.63</c:v>
                </c:pt>
                <c:pt idx="7">
                  <c:v>29.06</c:v>
                </c:pt>
                <c:pt idx="8">
                  <c:v>26.15</c:v>
                </c:pt>
                <c:pt idx="9">
                  <c:v>28.98</c:v>
                </c:pt>
                <c:pt idx="10">
                  <c:v>36.14</c:v>
                </c:pt>
                <c:pt idx="11">
                  <c:v>27.82</c:v>
                </c:pt>
                <c:pt idx="12">
                  <c:v>26.79</c:v>
                </c:pt>
                <c:pt idx="13">
                  <c:v>59.21</c:v>
                </c:pt>
                <c:pt idx="14">
                  <c:v>34.94</c:v>
                </c:pt>
                <c:pt idx="15">
                  <c:v>29.55</c:v>
                </c:pt>
                <c:pt idx="16">
                  <c:v>28.91</c:v>
                </c:pt>
                <c:pt idx="17">
                  <c:v>34.799999999999997</c:v>
                </c:pt>
                <c:pt idx="18">
                  <c:v>38.36</c:v>
                </c:pt>
                <c:pt idx="19">
                  <c:v>32</c:v>
                </c:pt>
                <c:pt idx="20">
                  <c:v>0</c:v>
                </c:pt>
              </c:numCache>
            </c:numRef>
          </c:val>
        </c:ser>
        <c:ser>
          <c:idx val="2"/>
          <c:order val="2"/>
          <c:tx>
            <c:strRef>
              <c:f>'Fried Deciles'!$D$98</c:f>
              <c:strCache>
                <c:ptCount val="1"/>
                <c:pt idx="0">
                  <c:v>Quartile 3</c:v>
                </c:pt>
              </c:strCache>
            </c:strRef>
          </c:tx>
          <c:spPr>
            <a:solidFill>
              <a:schemeClr val="accent5"/>
            </a:solidFill>
            <a:ln>
              <a:noFill/>
            </a:ln>
            <a:effectLst/>
          </c:spPr>
          <c:invertIfNegative val="0"/>
          <c:dLbls>
            <c:delete val="1"/>
          </c:dLbls>
          <c:cat>
            <c:strRef>
              <c:f>'Fried Deciles'!$A$99:$A$119</c:f>
              <c:strCache>
                <c:ptCount val="21"/>
                <c:pt idx="0">
                  <c:v>Homecare</c:v>
                </c:pt>
                <c:pt idx="1">
                  <c:v>Meals on wheels </c:v>
                </c:pt>
                <c:pt idx="2">
                  <c:v>Psychological </c:v>
                </c:pt>
                <c:pt idx="3">
                  <c:v>Respite </c:v>
                </c:pt>
                <c:pt idx="4">
                  <c:v>Occupational therapy</c:v>
                </c:pt>
                <c:pt idx="5">
                  <c:v>Public Health Nurse</c:v>
                </c:pt>
                <c:pt idx="6">
                  <c:v>Chiropody</c:v>
                </c:pt>
                <c:pt idx="7">
                  <c:v>Hospital night (dichotomous)</c:v>
                </c:pt>
                <c:pt idx="8">
                  <c:v>Physiotherapy</c:v>
                </c:pt>
                <c:pt idx="9">
                  <c:v>Hospital admissions  (dichotomous)</c:v>
                </c:pt>
                <c:pt idx="10">
                  <c:v>Day centre</c:v>
                </c:pt>
                <c:pt idx="11">
                  <c:v>ED (dichotomous)</c:v>
                </c:pt>
                <c:pt idx="12">
                  <c:v>Day case procedures (dichotomous)</c:v>
                </c:pt>
                <c:pt idx="13">
                  <c:v>Speech and Language therapy</c:v>
                </c:pt>
                <c:pt idx="14">
                  <c:v>Hearing </c:v>
                </c:pt>
                <c:pt idx="15">
                  <c:v>Outpatient (dichotomous)</c:v>
                </c:pt>
                <c:pt idx="16">
                  <c:v>GP (dichotomous)</c:v>
                </c:pt>
                <c:pt idx="17">
                  <c:v>Optician </c:v>
                </c:pt>
                <c:pt idx="18">
                  <c:v>Dietician </c:v>
                </c:pt>
                <c:pt idx="19">
                  <c:v>Dental</c:v>
                </c:pt>
                <c:pt idx="20">
                  <c:v>Social work</c:v>
                </c:pt>
              </c:strCache>
            </c:strRef>
          </c:cat>
          <c:val>
            <c:numRef>
              <c:f>'Fried Deciles'!$D$99:$D$119</c:f>
              <c:numCache>
                <c:formatCode>General</c:formatCode>
                <c:ptCount val="21"/>
                <c:pt idx="0">
                  <c:v>30.16</c:v>
                </c:pt>
                <c:pt idx="1">
                  <c:v>25.91</c:v>
                </c:pt>
                <c:pt idx="2">
                  <c:v>23.59</c:v>
                </c:pt>
                <c:pt idx="3">
                  <c:v>27.56</c:v>
                </c:pt>
                <c:pt idx="4">
                  <c:v>22.37</c:v>
                </c:pt>
                <c:pt idx="5">
                  <c:v>27.63</c:v>
                </c:pt>
                <c:pt idx="6">
                  <c:v>19.53</c:v>
                </c:pt>
                <c:pt idx="7">
                  <c:v>21.11</c:v>
                </c:pt>
                <c:pt idx="8">
                  <c:v>24.3</c:v>
                </c:pt>
                <c:pt idx="9">
                  <c:v>21.21</c:v>
                </c:pt>
                <c:pt idx="10">
                  <c:v>28.25</c:v>
                </c:pt>
                <c:pt idx="11">
                  <c:v>22.38</c:v>
                </c:pt>
                <c:pt idx="12">
                  <c:v>18.91</c:v>
                </c:pt>
                <c:pt idx="13">
                  <c:v>30.5</c:v>
                </c:pt>
                <c:pt idx="14">
                  <c:v>22.65</c:v>
                </c:pt>
                <c:pt idx="15">
                  <c:v>16.829999999999998</c:v>
                </c:pt>
                <c:pt idx="16">
                  <c:v>15.3</c:v>
                </c:pt>
                <c:pt idx="17">
                  <c:v>16.489999999999998</c:v>
                </c:pt>
                <c:pt idx="18">
                  <c:v>18.3</c:v>
                </c:pt>
                <c:pt idx="19">
                  <c:v>14.03</c:v>
                </c:pt>
                <c:pt idx="20">
                  <c:v>70.180000000000007</c:v>
                </c:pt>
              </c:numCache>
            </c:numRef>
          </c:val>
        </c:ser>
        <c:ser>
          <c:idx val="3"/>
          <c:order val="3"/>
          <c:tx>
            <c:strRef>
              <c:f>'Fried Deciles'!$E$98</c:f>
              <c:strCache>
                <c:ptCount val="1"/>
                <c:pt idx="0">
                  <c:v>Quartile 4 </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'Fried Deciles'!$A$99:$A$119</c:f>
              <c:strCache>
                <c:ptCount val="21"/>
                <c:pt idx="0">
                  <c:v>Homecare</c:v>
                </c:pt>
                <c:pt idx="1">
                  <c:v>Meals on wheels </c:v>
                </c:pt>
                <c:pt idx="2">
                  <c:v>Psychological </c:v>
                </c:pt>
                <c:pt idx="3">
                  <c:v>Respite </c:v>
                </c:pt>
                <c:pt idx="4">
                  <c:v>Occupational therapy</c:v>
                </c:pt>
                <c:pt idx="5">
                  <c:v>Public Health Nurse</c:v>
                </c:pt>
                <c:pt idx="6">
                  <c:v>Chiropody</c:v>
                </c:pt>
                <c:pt idx="7">
                  <c:v>Hospital night (dichotomous)</c:v>
                </c:pt>
                <c:pt idx="8">
                  <c:v>Physiotherapy</c:v>
                </c:pt>
                <c:pt idx="9">
                  <c:v>Hospital admissions  (dichotomous)</c:v>
                </c:pt>
                <c:pt idx="10">
                  <c:v>Day centre</c:v>
                </c:pt>
                <c:pt idx="11">
                  <c:v>ED (dichotomous)</c:v>
                </c:pt>
                <c:pt idx="12">
                  <c:v>Day case procedures (dichotomous)</c:v>
                </c:pt>
                <c:pt idx="13">
                  <c:v>Speech and Language therapy</c:v>
                </c:pt>
                <c:pt idx="14">
                  <c:v>Hearing </c:v>
                </c:pt>
                <c:pt idx="15">
                  <c:v>Outpatient (dichotomous)</c:v>
                </c:pt>
                <c:pt idx="16">
                  <c:v>GP (dichotomous)</c:v>
                </c:pt>
                <c:pt idx="17">
                  <c:v>Optician </c:v>
                </c:pt>
                <c:pt idx="18">
                  <c:v>Dietician </c:v>
                </c:pt>
                <c:pt idx="19">
                  <c:v>Dental</c:v>
                </c:pt>
                <c:pt idx="20">
                  <c:v>Social work</c:v>
                </c:pt>
              </c:strCache>
            </c:strRef>
          </c:cat>
          <c:val>
            <c:numRef>
              <c:f>'Fried Deciles'!$E$99:$E$119</c:f>
              <c:numCache>
                <c:formatCode>General</c:formatCode>
                <c:ptCount val="21"/>
                <c:pt idx="0">
                  <c:v>30.81</c:v>
                </c:pt>
                <c:pt idx="1">
                  <c:v>30.54</c:v>
                </c:pt>
                <c:pt idx="2">
                  <c:v>27.83</c:v>
                </c:pt>
                <c:pt idx="3">
                  <c:v>27.83</c:v>
                </c:pt>
                <c:pt idx="4">
                  <c:v>26.83</c:v>
                </c:pt>
                <c:pt idx="5">
                  <c:v>26.21</c:v>
                </c:pt>
                <c:pt idx="6">
                  <c:v>19.7</c:v>
                </c:pt>
                <c:pt idx="7">
                  <c:v>16.41</c:v>
                </c:pt>
                <c:pt idx="8">
                  <c:v>16.16</c:v>
                </c:pt>
                <c:pt idx="9">
                  <c:v>16.16</c:v>
                </c:pt>
                <c:pt idx="10">
                  <c:v>16.12</c:v>
                </c:pt>
                <c:pt idx="11">
                  <c:v>13.07</c:v>
                </c:pt>
                <c:pt idx="12">
                  <c:v>10.49</c:v>
                </c:pt>
                <c:pt idx="13">
                  <c:v>10.28</c:v>
                </c:pt>
                <c:pt idx="14">
                  <c:v>9.9499999999999993</c:v>
                </c:pt>
                <c:pt idx="15">
                  <c:v>9.2200000000000006</c:v>
                </c:pt>
                <c:pt idx="16">
                  <c:v>8.27</c:v>
                </c:pt>
                <c:pt idx="17">
                  <c:v>7.9</c:v>
                </c:pt>
                <c:pt idx="18">
                  <c:v>7.69</c:v>
                </c:pt>
                <c:pt idx="19">
                  <c:v>6.58</c:v>
                </c:pt>
                <c:pt idx="20">
                  <c:v>0</c:v>
                </c:pt>
              </c:numCache>
            </c:numRef>
          </c:val>
        </c:ser>
        <c:dLbls>
          <c:showLegendKey val="0"/>
          <c:showVal val="1"/>
          <c:showCatName val="0"/>
          <c:showSerName val="0"/>
          <c:showPercent val="0"/>
          <c:showBubbleSize val="0"/>
        </c:dLbls>
        <c:gapWidth val="75"/>
        <c:overlap val="100"/>
        <c:axId val="645497680"/>
        <c:axId val="570337752"/>
      </c:barChart>
      <c:catAx>
        <c:axId val="645497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70337752"/>
        <c:crosses val="autoZero"/>
        <c:auto val="1"/>
        <c:lblAlgn val="ctr"/>
        <c:lblOffset val="100"/>
        <c:noMultiLvlLbl val="0"/>
      </c:catAx>
      <c:valAx>
        <c:axId val="570337752"/>
        <c:scaling>
          <c:orientation val="minMax"/>
        </c:scaling>
        <c:delete val="0"/>
        <c:axPos val="b"/>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454976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A1EDA-805A-48CA-AB44-B34542503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1309</Words>
  <Characters>7464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Roe</dc:creator>
  <cp:keywords/>
  <dc:description/>
  <cp:lastModifiedBy>Lorna Roe</cp:lastModifiedBy>
  <cp:revision>7</cp:revision>
  <dcterms:created xsi:type="dcterms:W3CDTF">2017-07-07T13:25:00Z</dcterms:created>
  <dcterms:modified xsi:type="dcterms:W3CDTF">2017-07-12T09:12:00Z</dcterms:modified>
</cp:coreProperties>
</file>