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7C7B8" w14:textId="78B8A3C5" w:rsidR="00335BB7" w:rsidRPr="00452980" w:rsidRDefault="00335BB7" w:rsidP="00FB6B86">
      <w:pPr>
        <w:spacing w:line="480" w:lineRule="auto"/>
        <w:ind w:left="0"/>
        <w:jc w:val="center"/>
        <w:rPr>
          <w:rFonts w:cs="Arial"/>
          <w:b/>
          <w:sz w:val="28"/>
          <w:szCs w:val="28"/>
        </w:rPr>
      </w:pPr>
      <w:r w:rsidRPr="00452980">
        <w:rPr>
          <w:rFonts w:cs="Arial"/>
          <w:b/>
          <w:sz w:val="28"/>
          <w:szCs w:val="28"/>
        </w:rPr>
        <w:t xml:space="preserve">Supplementary </w:t>
      </w:r>
      <w:r w:rsidR="006E7798">
        <w:rPr>
          <w:rFonts w:cs="Arial"/>
          <w:b/>
          <w:sz w:val="28"/>
          <w:szCs w:val="28"/>
        </w:rPr>
        <w:t>Material</w:t>
      </w:r>
      <w:r w:rsidRPr="00452980">
        <w:rPr>
          <w:rFonts w:cs="Arial"/>
          <w:b/>
          <w:sz w:val="28"/>
          <w:szCs w:val="28"/>
        </w:rPr>
        <w:t xml:space="preserve"> for</w:t>
      </w:r>
    </w:p>
    <w:p w14:paraId="0E85CB51" w14:textId="77777777" w:rsidR="00335BB7" w:rsidRPr="00452980" w:rsidRDefault="00335BB7" w:rsidP="00FB6B86">
      <w:pPr>
        <w:spacing w:line="480" w:lineRule="auto"/>
        <w:ind w:left="0"/>
        <w:jc w:val="center"/>
        <w:rPr>
          <w:rFonts w:cs="Arial"/>
          <w:b/>
          <w:bCs/>
          <w:sz w:val="24"/>
          <w:szCs w:val="24"/>
        </w:rPr>
      </w:pPr>
      <w:r w:rsidRPr="00452980">
        <w:rPr>
          <w:rFonts w:cs="Arial"/>
          <w:b/>
          <w:bCs/>
          <w:sz w:val="24"/>
          <w:szCs w:val="24"/>
        </w:rPr>
        <w:t>Thickness Control of Dispersion in Opal Photonic Crystals</w:t>
      </w:r>
    </w:p>
    <w:p w14:paraId="3DD5A45D" w14:textId="736755DD" w:rsidR="00335BB7" w:rsidRPr="00452980" w:rsidRDefault="00335BB7" w:rsidP="00FB6B86">
      <w:pPr>
        <w:spacing w:line="480" w:lineRule="auto"/>
        <w:ind w:left="0"/>
        <w:jc w:val="center"/>
      </w:pPr>
      <w:r w:rsidRPr="00452980">
        <w:t>Alex Grant</w:t>
      </w:r>
      <w:r w:rsidRPr="00452980">
        <w:rPr>
          <w:vertAlign w:val="superscript"/>
        </w:rPr>
        <w:t>1</w:t>
      </w:r>
      <w:r w:rsidR="004B2B2B">
        <w:t>, Alex Lonergan</w:t>
      </w:r>
      <w:r w:rsidR="00A34756">
        <w:rPr>
          <w:vertAlign w:val="superscript"/>
        </w:rPr>
        <w:t>1</w:t>
      </w:r>
      <w:r w:rsidR="004B2B2B">
        <w:t xml:space="preserve">, </w:t>
      </w:r>
      <w:r w:rsidRPr="00452980">
        <w:t>and Colm O’Dwyer</w:t>
      </w:r>
      <w:r w:rsidRPr="00452980">
        <w:rPr>
          <w:vertAlign w:val="superscript"/>
        </w:rPr>
        <w:t>1,2</w:t>
      </w:r>
      <w:r w:rsidRPr="00452980">
        <w:t>*</w:t>
      </w:r>
    </w:p>
    <w:p w14:paraId="480F57A1" w14:textId="77777777" w:rsidR="00335BB7" w:rsidRPr="00FB6B86" w:rsidRDefault="00335BB7" w:rsidP="00FB6B86">
      <w:pPr>
        <w:spacing w:line="480" w:lineRule="auto"/>
        <w:ind w:left="0"/>
        <w:jc w:val="center"/>
        <w:rPr>
          <w:bCs/>
          <w:i/>
          <w:iCs/>
          <w:vertAlign w:val="superscript"/>
        </w:rPr>
      </w:pPr>
    </w:p>
    <w:p w14:paraId="0FA19F25" w14:textId="77777777" w:rsidR="00335BB7" w:rsidRPr="00FB6B86" w:rsidRDefault="00335BB7" w:rsidP="00FB6B86">
      <w:pPr>
        <w:spacing w:line="480" w:lineRule="auto"/>
        <w:ind w:left="0"/>
        <w:jc w:val="center"/>
        <w:rPr>
          <w:bCs/>
          <w:i/>
          <w:iCs/>
        </w:rPr>
      </w:pPr>
      <w:r w:rsidRPr="00FB6B86">
        <w:rPr>
          <w:bCs/>
          <w:i/>
          <w:iCs/>
          <w:vertAlign w:val="superscript"/>
        </w:rPr>
        <w:t>1</w:t>
      </w:r>
      <w:r w:rsidRPr="00FB6B86">
        <w:rPr>
          <w:bCs/>
          <w:i/>
          <w:iCs/>
          <w:lang w:val="en-US"/>
        </w:rPr>
        <w:t xml:space="preserve">School of Chemistry, and </w:t>
      </w:r>
      <w:r w:rsidRPr="00FB6B86">
        <w:rPr>
          <w:bCs/>
          <w:i/>
          <w:iCs/>
        </w:rPr>
        <w:t xml:space="preserve">Environmental Research Institute, and Tyndall National Institute, </w:t>
      </w:r>
    </w:p>
    <w:p w14:paraId="4663183F" w14:textId="77777777" w:rsidR="00335BB7" w:rsidRPr="00FB6B86" w:rsidRDefault="00335BB7" w:rsidP="00FB6B86">
      <w:pPr>
        <w:spacing w:line="480" w:lineRule="auto"/>
        <w:ind w:left="0"/>
        <w:jc w:val="center"/>
        <w:rPr>
          <w:bCs/>
          <w:i/>
          <w:iCs/>
          <w:vertAlign w:val="superscript"/>
        </w:rPr>
      </w:pPr>
      <w:r w:rsidRPr="00FB6B86">
        <w:rPr>
          <w:bCs/>
          <w:i/>
          <w:iCs/>
          <w:lang w:val="en-US"/>
        </w:rPr>
        <w:t>University College Cork, Cork, T12 YN60, Ireland</w:t>
      </w:r>
    </w:p>
    <w:p w14:paraId="62A5FF81" w14:textId="77777777" w:rsidR="00335BB7" w:rsidRPr="00FB6B86" w:rsidRDefault="00335BB7" w:rsidP="00FB6B86">
      <w:pPr>
        <w:spacing w:line="480" w:lineRule="auto"/>
        <w:ind w:left="0"/>
        <w:jc w:val="center"/>
        <w:rPr>
          <w:bCs/>
          <w:i/>
          <w:iCs/>
        </w:rPr>
      </w:pPr>
      <w:r w:rsidRPr="00FB6B86">
        <w:rPr>
          <w:bCs/>
          <w:i/>
          <w:iCs/>
          <w:vertAlign w:val="superscript"/>
        </w:rPr>
        <w:t>2</w:t>
      </w:r>
      <w:r w:rsidRPr="00FB6B86">
        <w:rPr>
          <w:i/>
          <w:iCs/>
        </w:rPr>
        <w:t xml:space="preserve">Advanced Materials and </w:t>
      </w:r>
      <w:proofErr w:type="spellStart"/>
      <w:r w:rsidRPr="00FB6B86">
        <w:rPr>
          <w:i/>
          <w:iCs/>
        </w:rPr>
        <w:t>BioEngineering</w:t>
      </w:r>
      <w:proofErr w:type="spellEnd"/>
      <w:r w:rsidRPr="00FB6B86">
        <w:rPr>
          <w:i/>
          <w:iCs/>
        </w:rPr>
        <w:t xml:space="preserve"> Research Centre</w:t>
      </w:r>
      <w:r w:rsidRPr="00FB6B86">
        <w:rPr>
          <w:bCs/>
          <w:i/>
          <w:iCs/>
          <w:lang w:val="en-US"/>
        </w:rPr>
        <w:t>, Trinity College Dublin, Dublin 2, Ireland</w:t>
      </w:r>
    </w:p>
    <w:p w14:paraId="1547D0CE" w14:textId="77777777" w:rsidR="00335BB7" w:rsidRPr="00452980" w:rsidRDefault="00335BB7" w:rsidP="00335BB7">
      <w:pPr>
        <w:spacing w:line="480" w:lineRule="auto"/>
        <w:ind w:left="0"/>
        <w:jc w:val="center"/>
        <w:rPr>
          <w:rFonts w:cs="Arial"/>
          <w:b/>
          <w:sz w:val="28"/>
          <w:szCs w:val="28"/>
        </w:rPr>
      </w:pPr>
    </w:p>
    <w:p w14:paraId="7F22399C" w14:textId="77777777" w:rsidR="00335BB7" w:rsidRPr="00452980" w:rsidRDefault="00335BB7" w:rsidP="00335BB7">
      <w:pPr>
        <w:spacing w:line="480" w:lineRule="auto"/>
        <w:ind w:left="0"/>
        <w:jc w:val="center"/>
        <w:rPr>
          <w:rFonts w:cs="Arial"/>
          <w:b/>
          <w:sz w:val="28"/>
          <w:szCs w:val="28"/>
        </w:rPr>
      </w:pPr>
    </w:p>
    <w:p w14:paraId="5F092083" w14:textId="77777777" w:rsidR="00335BB7" w:rsidRPr="00452980" w:rsidRDefault="00335BB7" w:rsidP="00335BB7">
      <w:pPr>
        <w:spacing w:line="480" w:lineRule="auto"/>
        <w:ind w:left="0"/>
        <w:jc w:val="center"/>
        <w:rPr>
          <w:rFonts w:cs="Arial"/>
          <w:b/>
          <w:sz w:val="28"/>
          <w:szCs w:val="28"/>
        </w:rPr>
      </w:pPr>
    </w:p>
    <w:p w14:paraId="7C3131C1" w14:textId="77777777" w:rsidR="00335BB7" w:rsidRPr="00452980" w:rsidRDefault="00335BB7" w:rsidP="00335BB7">
      <w:pPr>
        <w:spacing w:line="480" w:lineRule="auto"/>
        <w:ind w:left="0"/>
        <w:jc w:val="center"/>
        <w:rPr>
          <w:rFonts w:cs="Arial"/>
          <w:b/>
          <w:sz w:val="28"/>
          <w:szCs w:val="28"/>
        </w:rPr>
      </w:pPr>
    </w:p>
    <w:p w14:paraId="7FADF3D5" w14:textId="77777777" w:rsidR="00A52E30" w:rsidRPr="00452980" w:rsidRDefault="00A52E30" w:rsidP="00335BB7">
      <w:pPr>
        <w:spacing w:line="480" w:lineRule="auto"/>
        <w:ind w:left="0"/>
        <w:jc w:val="center"/>
        <w:rPr>
          <w:rFonts w:cs="Arial"/>
          <w:b/>
          <w:sz w:val="28"/>
          <w:szCs w:val="28"/>
        </w:rPr>
      </w:pPr>
    </w:p>
    <w:p w14:paraId="1E514FE1" w14:textId="77777777" w:rsidR="00A52E30" w:rsidRPr="00452980" w:rsidRDefault="00A52E30" w:rsidP="00335BB7">
      <w:pPr>
        <w:spacing w:line="480" w:lineRule="auto"/>
        <w:ind w:left="0"/>
        <w:jc w:val="center"/>
        <w:rPr>
          <w:rFonts w:cs="Arial"/>
          <w:b/>
          <w:sz w:val="28"/>
          <w:szCs w:val="28"/>
        </w:rPr>
      </w:pPr>
    </w:p>
    <w:p w14:paraId="25F80A67" w14:textId="77777777" w:rsidR="00A52E30" w:rsidRPr="00452980" w:rsidRDefault="00A52E30" w:rsidP="00335BB7">
      <w:pPr>
        <w:spacing w:line="480" w:lineRule="auto"/>
        <w:ind w:left="0"/>
        <w:jc w:val="center"/>
        <w:rPr>
          <w:rFonts w:cs="Arial"/>
          <w:b/>
          <w:sz w:val="28"/>
          <w:szCs w:val="28"/>
        </w:rPr>
      </w:pPr>
    </w:p>
    <w:p w14:paraId="0A470C52" w14:textId="77777777" w:rsidR="00A52E30" w:rsidRPr="00452980" w:rsidRDefault="00A52E30" w:rsidP="00335BB7">
      <w:pPr>
        <w:spacing w:line="480" w:lineRule="auto"/>
        <w:ind w:left="0"/>
        <w:jc w:val="center"/>
        <w:rPr>
          <w:rFonts w:cs="Arial"/>
          <w:b/>
          <w:sz w:val="28"/>
          <w:szCs w:val="28"/>
        </w:rPr>
      </w:pPr>
    </w:p>
    <w:p w14:paraId="20550EC9" w14:textId="77777777" w:rsidR="00A52E30" w:rsidRPr="00452980" w:rsidRDefault="00A52E30" w:rsidP="00335BB7">
      <w:pPr>
        <w:spacing w:line="480" w:lineRule="auto"/>
        <w:ind w:left="0"/>
        <w:jc w:val="center"/>
        <w:rPr>
          <w:rFonts w:cs="Arial"/>
          <w:b/>
          <w:sz w:val="28"/>
          <w:szCs w:val="28"/>
        </w:rPr>
      </w:pPr>
    </w:p>
    <w:p w14:paraId="77736539" w14:textId="77777777" w:rsidR="00A52E30" w:rsidRPr="00452980" w:rsidRDefault="00A52E30" w:rsidP="00335BB7">
      <w:pPr>
        <w:spacing w:line="480" w:lineRule="auto"/>
        <w:ind w:left="0"/>
        <w:jc w:val="center"/>
        <w:rPr>
          <w:rFonts w:cs="Arial"/>
          <w:b/>
          <w:sz w:val="28"/>
          <w:szCs w:val="28"/>
        </w:rPr>
      </w:pPr>
    </w:p>
    <w:p w14:paraId="7C1A1AD6" w14:textId="77777777" w:rsidR="00A52E30" w:rsidRPr="00452980" w:rsidRDefault="00A52E30" w:rsidP="00335BB7">
      <w:pPr>
        <w:spacing w:line="480" w:lineRule="auto"/>
        <w:ind w:left="0"/>
        <w:jc w:val="center"/>
        <w:rPr>
          <w:rFonts w:cs="Arial"/>
          <w:b/>
          <w:sz w:val="28"/>
          <w:szCs w:val="28"/>
        </w:rPr>
      </w:pPr>
    </w:p>
    <w:p w14:paraId="79079566" w14:textId="77777777" w:rsidR="00B15839" w:rsidRPr="00452980" w:rsidRDefault="00B15839" w:rsidP="00335BB7">
      <w:pPr>
        <w:spacing w:line="480" w:lineRule="auto"/>
        <w:ind w:left="0"/>
        <w:jc w:val="center"/>
        <w:rPr>
          <w:rFonts w:cs="Arial"/>
          <w:b/>
          <w:sz w:val="28"/>
          <w:szCs w:val="28"/>
        </w:rPr>
      </w:pPr>
    </w:p>
    <w:p w14:paraId="5152A6E3" w14:textId="77777777" w:rsidR="00A52E30" w:rsidRPr="00452980" w:rsidRDefault="00A52E30" w:rsidP="00335BB7">
      <w:pPr>
        <w:spacing w:line="480" w:lineRule="auto"/>
        <w:ind w:left="0"/>
        <w:jc w:val="center"/>
        <w:rPr>
          <w:rFonts w:cs="Arial"/>
          <w:b/>
          <w:sz w:val="28"/>
          <w:szCs w:val="28"/>
        </w:rPr>
      </w:pPr>
    </w:p>
    <w:p w14:paraId="383A363B" w14:textId="597CCEDA" w:rsidR="00B15839" w:rsidRDefault="00BD30A9" w:rsidP="00FB6B86">
      <w:pPr>
        <w:spacing w:line="480" w:lineRule="auto"/>
        <w:ind w:left="0"/>
        <w:jc w:val="center"/>
      </w:pPr>
      <w:r>
        <w:rPr>
          <w:noProof/>
          <w14:ligatures w14:val="standardContextual"/>
        </w:rPr>
        <w:lastRenderedPageBreak/>
        <mc:AlternateContent>
          <mc:Choice Requires="wps">
            <w:drawing>
              <wp:anchor distT="0" distB="0" distL="114300" distR="114300" simplePos="0" relativeHeight="251659264" behindDoc="0" locked="0" layoutInCell="1" allowOverlap="1" wp14:anchorId="6943A6E8" wp14:editId="34F0C9A6">
                <wp:simplePos x="0" y="0"/>
                <wp:positionH relativeFrom="column">
                  <wp:posOffset>3430988</wp:posOffset>
                </wp:positionH>
                <wp:positionV relativeFrom="paragraph">
                  <wp:posOffset>3208351</wp:posOffset>
                </wp:positionV>
                <wp:extent cx="270344" cy="246491"/>
                <wp:effectExtent l="0" t="0" r="15875" b="20320"/>
                <wp:wrapNone/>
                <wp:docPr id="1962370839" name="Rectangle 1"/>
                <wp:cNvGraphicFramePr/>
                <a:graphic xmlns:a="http://schemas.openxmlformats.org/drawingml/2006/main">
                  <a:graphicData uri="http://schemas.microsoft.com/office/word/2010/wordprocessingShape">
                    <wps:wsp>
                      <wps:cNvSpPr/>
                      <wps:spPr>
                        <a:xfrm>
                          <a:off x="0" y="0"/>
                          <a:ext cx="270344" cy="24649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555796" id="Rectangle 1" o:spid="_x0000_s1026" style="position:absolute;margin-left:270.15pt;margin-top:252.65pt;width:21.3pt;height:19.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" fillcolor="white [3212]" strokecolor="white [3212]" strokeweight="1pt"/>
            </w:pict>
          </mc:Fallback>
        </mc:AlternateContent>
      </w:r>
    </w:p>
    <w:p w14:paraId="1501AE52" w14:textId="0ABDCACC" w:rsidR="00901C09" w:rsidRPr="00452980" w:rsidRDefault="00961B5D" w:rsidP="00FB6B86">
      <w:pPr>
        <w:spacing w:line="480" w:lineRule="auto"/>
        <w:ind w:left="0"/>
        <w:jc w:val="center"/>
      </w:pPr>
      <w:r>
        <w:rPr>
          <w:noProof/>
          <w14:ligatures w14:val="standardContextual"/>
        </w:rPr>
        <w:drawing>
          <wp:inline distT="0" distB="0" distL="0" distR="0" wp14:anchorId="2E19B633" wp14:editId="279922A6">
            <wp:extent cx="4038600" cy="4755047"/>
            <wp:effectExtent l="0" t="0" r="0" b="7620"/>
            <wp:docPr id="516112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112529" name="Picture 516112529"/>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44476" cy="4761965"/>
                    </a:xfrm>
                    <a:prstGeom prst="rect">
                      <a:avLst/>
                    </a:prstGeom>
                  </pic:spPr>
                </pic:pic>
              </a:graphicData>
            </a:graphic>
          </wp:inline>
        </w:drawing>
      </w:r>
    </w:p>
    <w:p w14:paraId="059E27FE" w14:textId="6A8BF3E5" w:rsidR="00901C09" w:rsidRPr="00452980" w:rsidRDefault="00B15839" w:rsidP="00901C09">
      <w:pPr>
        <w:spacing w:line="240" w:lineRule="auto"/>
        <w:ind w:left="0"/>
        <w:rPr>
          <w:rFonts w:cs="Arial"/>
        </w:rPr>
      </w:pPr>
      <w:r w:rsidRPr="00452980">
        <w:rPr>
          <w:b/>
          <w:bCs/>
        </w:rPr>
        <w:t xml:space="preserve">Figure S1. </w:t>
      </w:r>
      <w:r w:rsidRPr="00452980">
        <w:t>SLA 3D printed beaker designed with substrate rests at an angle of 30</w:t>
      </w:r>
      <w:r w:rsidR="00661884">
        <w:rPr>
          <w:rFonts w:cs="Arial"/>
        </w:rPr>
        <w:sym w:font="Symbol" w:char="F0B0"/>
      </w:r>
      <w:r w:rsidRPr="00452980">
        <w:t xml:space="preserve"> to the vertical used for opal growth by EISA. (a) 3D rendered image of beaker. (b) Photograph of beaker. (c) Photograph depicting FTO substrates immersed in PS sphere solution inside beaker. </w:t>
      </w:r>
      <w:r w:rsidR="00901C09">
        <w:t xml:space="preserve">(d) </w:t>
      </w:r>
      <w:r w:rsidR="00901C09" w:rsidRPr="00452980">
        <w:rPr>
          <w:rFonts w:cs="Arial"/>
        </w:rPr>
        <w:t xml:space="preserve">Intensity of central PBG frequency as a function of sphere solution volume fraction for opals grown using EISA at evaporation temperatures of 31 </w:t>
      </w:r>
      <w:r w:rsidR="00661884">
        <w:rPr>
          <w:rFonts w:cs="Arial"/>
        </w:rPr>
        <w:sym w:font="Symbol" w:char="F0B0"/>
      </w:r>
      <w:r w:rsidR="00901C09" w:rsidRPr="00452980">
        <w:rPr>
          <w:rFonts w:cs="Arial"/>
        </w:rPr>
        <w:t xml:space="preserve">C and 34 </w:t>
      </w:r>
      <w:r w:rsidR="00661884">
        <w:rPr>
          <w:rFonts w:cs="Arial"/>
        </w:rPr>
        <w:sym w:font="Symbol" w:char="F0B0"/>
      </w:r>
      <w:r w:rsidR="00901C09" w:rsidRPr="00452980">
        <w:rPr>
          <w:rFonts w:cs="Arial"/>
        </w:rPr>
        <w:t>C.</w:t>
      </w:r>
    </w:p>
    <w:p w14:paraId="2C3F472F" w14:textId="1F70E9A8" w:rsidR="00B15839" w:rsidRPr="00452980" w:rsidRDefault="00B15839" w:rsidP="00FB6B86">
      <w:pPr>
        <w:spacing w:line="240" w:lineRule="auto"/>
        <w:ind w:left="0"/>
      </w:pPr>
    </w:p>
    <w:p w14:paraId="6BEDC837" w14:textId="4780BD82" w:rsidR="00901C09" w:rsidRPr="00452980" w:rsidRDefault="00B15839" w:rsidP="00901C09">
      <w:pPr>
        <w:spacing w:line="480" w:lineRule="auto"/>
        <w:ind w:left="0" w:firstLine="720"/>
        <w:rPr>
          <w:rFonts w:cs="Arial"/>
        </w:rPr>
      </w:pPr>
      <w:r w:rsidRPr="00452980">
        <w:t>Fig</w:t>
      </w:r>
      <w:r w:rsidR="00694DB2" w:rsidRPr="00452980">
        <w:t>.</w:t>
      </w:r>
      <w:r w:rsidRPr="00452980">
        <w:t xml:space="preserve"> S1 shows the 3D printed polymer beakers that were formed from Formlabs Clear Photoreactive Resin using a Formlabs Form 2 stereolithography (SLA) printer. All beakers were cleaned using the same sonication process described above, followed by UV-ozone treatment for 1 h. The diameter of each beaker was 6cm and substrate rests were orientated at an angle of 30</w:t>
      </w:r>
      <w:r w:rsidR="00F66642">
        <w:rPr>
          <w:rFonts w:cs="Arial"/>
        </w:rPr>
        <w:sym w:font="Symbol" w:char="F0B0"/>
      </w:r>
      <w:r w:rsidRPr="00452980">
        <w:t xml:space="preserve"> to the beaker walls. </w:t>
      </w:r>
      <w:r w:rsidR="00901C09" w:rsidRPr="00901C09">
        <w:rPr>
          <w:rFonts w:cs="Arial"/>
        </w:rPr>
        <w:t xml:space="preserve"> </w:t>
      </w:r>
      <w:r w:rsidR="00901C09" w:rsidRPr="00452980">
        <w:rPr>
          <w:rFonts w:cs="Arial"/>
        </w:rPr>
        <w:t>Fig. S</w:t>
      </w:r>
      <w:r w:rsidR="00901C09">
        <w:rPr>
          <w:rFonts w:cs="Arial"/>
        </w:rPr>
        <w:t>1</w:t>
      </w:r>
      <w:r w:rsidR="00901C09" w:rsidRPr="00452980">
        <w:rPr>
          <w:rFonts w:cs="Arial"/>
        </w:rPr>
        <w:t xml:space="preserve"> (</w:t>
      </w:r>
      <w:r w:rsidR="00901C09">
        <w:rPr>
          <w:rFonts w:cs="Arial"/>
        </w:rPr>
        <w:t>d</w:t>
      </w:r>
      <w:r w:rsidR="00901C09" w:rsidRPr="00452980">
        <w:rPr>
          <w:rFonts w:cs="Arial"/>
        </w:rPr>
        <w:t xml:space="preserve">) show the relationship between volume fraction and the transmission intensity at the central PBG frequency at normal incidence for opals grown at evaporation temperatures of 31 </w:t>
      </w:r>
      <w:r w:rsidR="00F66642">
        <w:rPr>
          <w:rFonts w:cs="Arial"/>
        </w:rPr>
        <w:sym w:font="Symbol" w:char="F0B0"/>
      </w:r>
      <w:r w:rsidR="00901C09" w:rsidRPr="00452980">
        <w:rPr>
          <w:rFonts w:cs="Arial"/>
        </w:rPr>
        <w:t xml:space="preserve">C and 34 </w:t>
      </w:r>
      <w:r w:rsidR="00F66642">
        <w:rPr>
          <w:rFonts w:cs="Arial"/>
        </w:rPr>
        <w:sym w:font="Symbol" w:char="F0B0"/>
      </w:r>
      <w:r w:rsidR="00901C09" w:rsidRPr="00452980">
        <w:rPr>
          <w:rFonts w:cs="Arial"/>
        </w:rPr>
        <w:t xml:space="preserve">C, respectively. A general trend of decreasing PBG minimum occurs as a function of volume fraction for both temperatures. At 31 </w:t>
      </w:r>
      <w:r w:rsidR="00F66642">
        <w:rPr>
          <w:rFonts w:cs="Arial"/>
        </w:rPr>
        <w:sym w:font="Symbol" w:char="F0B0"/>
      </w:r>
      <w:r w:rsidR="00901C09" w:rsidRPr="00452980">
        <w:rPr>
          <w:rFonts w:cs="Arial"/>
        </w:rPr>
        <w:t xml:space="preserve">C the outliers </w:t>
      </w:r>
      <w:r w:rsidR="00901C09" w:rsidRPr="00452980">
        <w:rPr>
          <w:rFonts w:cs="Arial"/>
        </w:rPr>
        <w:lastRenderedPageBreak/>
        <w:t xml:space="preserve">at low volume fraction significantly affect the trend. For 34 </w:t>
      </w:r>
      <w:r w:rsidR="00F66642">
        <w:rPr>
          <w:rFonts w:cs="Arial"/>
        </w:rPr>
        <w:sym w:font="Symbol" w:char="F0B0"/>
      </w:r>
      <w:r w:rsidR="00901C09" w:rsidRPr="00452980">
        <w:rPr>
          <w:rFonts w:cs="Arial"/>
        </w:rPr>
        <w:t xml:space="preserve">C, the trend is similar to that observed for the slowest evaporation at 28 </w:t>
      </w:r>
      <w:r w:rsidR="00F66642">
        <w:rPr>
          <w:rFonts w:cs="Arial"/>
        </w:rPr>
        <w:sym w:font="Symbol" w:char="F0B0"/>
      </w:r>
      <w:r w:rsidR="00901C09" w:rsidRPr="00452980">
        <w:rPr>
          <w:rFonts w:cs="Arial"/>
        </w:rPr>
        <w:t xml:space="preserve">C case. </w:t>
      </w:r>
    </w:p>
    <w:p w14:paraId="0BDEBC5F" w14:textId="77777777" w:rsidR="00035D12" w:rsidRPr="00452980" w:rsidRDefault="00035D12" w:rsidP="00035D12">
      <w:pPr>
        <w:spacing w:line="480" w:lineRule="auto"/>
        <w:ind w:left="0"/>
        <w:jc w:val="center"/>
        <w:rPr>
          <w:rFonts w:cs="Arial"/>
        </w:rPr>
      </w:pPr>
      <w:r w:rsidRPr="00452980">
        <w:rPr>
          <w:rFonts w:cs="Arial"/>
          <w:noProof/>
        </w:rPr>
        <w:drawing>
          <wp:inline distT="0" distB="0" distL="0" distR="0" wp14:anchorId="54A5E695" wp14:editId="0DA22547">
            <wp:extent cx="6127953" cy="6043015"/>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42565" cy="6057425"/>
                    </a:xfrm>
                    <a:prstGeom prst="rect">
                      <a:avLst/>
                    </a:prstGeom>
                  </pic:spPr>
                </pic:pic>
              </a:graphicData>
            </a:graphic>
          </wp:inline>
        </w:drawing>
      </w:r>
    </w:p>
    <w:p w14:paraId="7AED3E9B" w14:textId="51BAD702" w:rsidR="00035D12" w:rsidRPr="00452980" w:rsidRDefault="00035D12" w:rsidP="00035D12">
      <w:pPr>
        <w:spacing w:line="240" w:lineRule="auto"/>
        <w:ind w:left="0"/>
        <w:rPr>
          <w:rFonts w:cs="Arial"/>
        </w:rPr>
      </w:pPr>
      <w:r w:rsidRPr="00452980">
        <w:rPr>
          <w:rFonts w:cs="Arial"/>
          <w:b/>
          <w:bCs/>
        </w:rPr>
        <w:t>Figure S</w:t>
      </w:r>
      <w:r w:rsidR="00E90DFD" w:rsidRPr="00452980">
        <w:rPr>
          <w:rFonts w:cs="Arial"/>
          <w:b/>
          <w:bCs/>
        </w:rPr>
        <w:t>2</w:t>
      </w:r>
      <w:r w:rsidRPr="00452980">
        <w:rPr>
          <w:rFonts w:cs="Arial"/>
          <w:b/>
          <w:bCs/>
        </w:rPr>
        <w:t>.</w:t>
      </w:r>
      <w:r w:rsidRPr="00452980">
        <w:rPr>
          <w:rFonts w:cs="Arial"/>
        </w:rPr>
        <w:t xml:space="preserve"> Cross-sectional SEM images of opals as examples used for thickness measurements provided to establish relationship with volume fraction. Evaporation temperatures are 28 </w:t>
      </w:r>
      <w:r w:rsidR="00F66642">
        <w:rPr>
          <w:rFonts w:cs="Arial"/>
        </w:rPr>
        <w:sym w:font="Symbol" w:char="F0B0"/>
      </w:r>
      <w:r w:rsidRPr="00452980">
        <w:rPr>
          <w:rFonts w:cs="Arial"/>
        </w:rPr>
        <w:t xml:space="preserve">C, 31 </w:t>
      </w:r>
      <w:r w:rsidR="00F66642">
        <w:rPr>
          <w:rFonts w:cs="Arial"/>
        </w:rPr>
        <w:sym w:font="Symbol" w:char="F0B0"/>
      </w:r>
      <w:r w:rsidRPr="00452980">
        <w:rPr>
          <w:rFonts w:cs="Arial"/>
        </w:rPr>
        <w:t xml:space="preserve">C, 34 </w:t>
      </w:r>
      <w:r w:rsidR="00F66642">
        <w:rPr>
          <w:rFonts w:cs="Arial"/>
        </w:rPr>
        <w:sym w:font="Symbol" w:char="F0B0"/>
      </w:r>
      <w:r w:rsidRPr="00452980">
        <w:rPr>
          <w:rFonts w:cs="Arial"/>
        </w:rPr>
        <w:t>C, increasing from columns 1-3. Sphere solution volume fractions: (a)-(c) 0.025%, (d)-(f) 0.0625% (g)-(i) 0.042%, (j)-(l) 0.031% , (m)-(o) 0.025%.</w:t>
      </w:r>
    </w:p>
    <w:p w14:paraId="7A87C60D" w14:textId="77777777" w:rsidR="00035D12" w:rsidRPr="00452980" w:rsidRDefault="00035D12" w:rsidP="00035D12">
      <w:pPr>
        <w:spacing w:line="480" w:lineRule="auto"/>
        <w:ind w:left="0"/>
        <w:rPr>
          <w:rFonts w:cs="Arial"/>
        </w:rPr>
      </w:pPr>
      <w:r w:rsidRPr="00452980">
        <w:rPr>
          <w:rFonts w:cs="Arial"/>
        </w:rPr>
        <w:tab/>
      </w:r>
    </w:p>
    <w:p w14:paraId="45C5E9C4" w14:textId="77777777" w:rsidR="00035D12" w:rsidRPr="00452980" w:rsidRDefault="00035D12" w:rsidP="00035D12">
      <w:pPr>
        <w:spacing w:line="480" w:lineRule="auto"/>
        <w:ind w:left="0" w:firstLine="720"/>
        <w:rPr>
          <w:rFonts w:cs="Arial"/>
        </w:rPr>
      </w:pPr>
      <w:r w:rsidRPr="00452980">
        <w:rPr>
          <w:rFonts w:cs="Arial"/>
        </w:rPr>
        <w:t>Fig. S2 shows sample SEM images which were used as contributions to calculations of the thickness measurements used as data points in Fig. 3 (a) of the main text. All opals were sputtered with Nickel with a total sputtering thickness of 20 nm prior to imaging to enhance resolution and reduce charging effects.</w:t>
      </w:r>
    </w:p>
    <w:p w14:paraId="25DE475D" w14:textId="77777777" w:rsidR="00FC065C" w:rsidRPr="00452980" w:rsidRDefault="00FC065C" w:rsidP="00FC065C">
      <w:pPr>
        <w:spacing w:line="480" w:lineRule="auto"/>
        <w:ind w:left="0"/>
        <w:jc w:val="center"/>
        <w:rPr>
          <w:rFonts w:cs="Arial"/>
        </w:rPr>
      </w:pPr>
      <w:r w:rsidRPr="00452980">
        <w:rPr>
          <w:rFonts w:cs="Arial"/>
          <w:noProof/>
        </w:rPr>
        <w:lastRenderedPageBreak/>
        <w:drawing>
          <wp:inline distT="0" distB="0" distL="0" distR="0" wp14:anchorId="39B571AE" wp14:editId="67343E20">
            <wp:extent cx="6077793" cy="66278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0558" cy="6641765"/>
                    </a:xfrm>
                    <a:prstGeom prst="rect">
                      <a:avLst/>
                    </a:prstGeom>
                  </pic:spPr>
                </pic:pic>
              </a:graphicData>
            </a:graphic>
          </wp:inline>
        </w:drawing>
      </w:r>
    </w:p>
    <w:p w14:paraId="5B6480FE" w14:textId="169D41BF" w:rsidR="00FC065C" w:rsidRPr="00452980" w:rsidRDefault="00FC065C" w:rsidP="00FC065C">
      <w:pPr>
        <w:spacing w:line="240" w:lineRule="auto"/>
        <w:ind w:left="0"/>
        <w:rPr>
          <w:color w:val="4472C4" w:themeColor="accent1"/>
        </w:rPr>
      </w:pPr>
      <w:r w:rsidRPr="00452980">
        <w:rPr>
          <w:rFonts w:cs="Arial"/>
          <w:b/>
          <w:bCs/>
        </w:rPr>
        <w:t>Figure S</w:t>
      </w:r>
      <w:r w:rsidR="00E90DFD" w:rsidRPr="00452980">
        <w:rPr>
          <w:rFonts w:cs="Arial"/>
          <w:b/>
          <w:bCs/>
        </w:rPr>
        <w:t>3</w:t>
      </w:r>
      <w:r w:rsidRPr="00452980">
        <w:rPr>
          <w:rFonts w:cs="Arial"/>
          <w:b/>
          <w:bCs/>
        </w:rPr>
        <w:t xml:space="preserve">. </w:t>
      </w:r>
      <w:r w:rsidRPr="00452980">
        <w:rPr>
          <w:rFonts w:cs="Arial"/>
        </w:rPr>
        <w:t xml:space="preserve">Bragg-Snell plots based on the central frequency of the primary transmission dip observed in the optical spectra of opals obtained in the incident angle range of 0-25 °. Evaporation temperatures are 28 </w:t>
      </w:r>
      <w:r w:rsidR="00B248E0">
        <w:rPr>
          <w:rFonts w:cs="Arial"/>
        </w:rPr>
        <w:sym w:font="Symbol" w:char="F0B0"/>
      </w:r>
      <w:r w:rsidRPr="00452980">
        <w:rPr>
          <w:rFonts w:cs="Arial"/>
        </w:rPr>
        <w:t xml:space="preserve">C, 31 </w:t>
      </w:r>
      <w:r w:rsidR="00B248E0">
        <w:rPr>
          <w:rFonts w:cs="Arial"/>
        </w:rPr>
        <w:sym w:font="Symbol" w:char="F0B0"/>
      </w:r>
      <w:r w:rsidRPr="00452980">
        <w:rPr>
          <w:rFonts w:cs="Arial"/>
        </w:rPr>
        <w:t xml:space="preserve">C, 34 </w:t>
      </w:r>
      <w:r w:rsidR="00B248E0">
        <w:rPr>
          <w:rFonts w:cs="Arial"/>
        </w:rPr>
        <w:sym w:font="Symbol" w:char="F0B0"/>
      </w:r>
      <w:r w:rsidRPr="00452980">
        <w:rPr>
          <w:rFonts w:cs="Arial"/>
        </w:rPr>
        <w:t>C, increasing from columns 1-3. Sphere solution volume fractions: (a)-(c) 0.125%, (d)-(f) 0.063% (g)-(i) 0.042%, (j)-(l) 0.031%, (m)-(o) 0.025%.</w:t>
      </w:r>
    </w:p>
    <w:p w14:paraId="55C6D407" w14:textId="3E89786B" w:rsidR="00245E14" w:rsidRPr="00452980" w:rsidRDefault="00245E14" w:rsidP="00A52E30">
      <w:pPr>
        <w:spacing w:line="480" w:lineRule="auto"/>
        <w:ind w:left="0"/>
        <w:rPr>
          <w:rFonts w:cs="Arial"/>
          <w:b/>
          <w:sz w:val="28"/>
          <w:szCs w:val="28"/>
        </w:rPr>
      </w:pPr>
      <w:r w:rsidRPr="00452980">
        <w:rPr>
          <w:rFonts w:cs="Arial"/>
          <w:b/>
          <w:sz w:val="28"/>
          <w:szCs w:val="28"/>
        </w:rPr>
        <w:tab/>
      </w:r>
    </w:p>
    <w:p w14:paraId="40C503F6" w14:textId="1A581DEA" w:rsidR="00335BB7" w:rsidRPr="00452980" w:rsidRDefault="00245E14" w:rsidP="00C97BAD">
      <w:pPr>
        <w:spacing w:line="480" w:lineRule="auto"/>
        <w:ind w:left="0"/>
        <w:rPr>
          <w:rFonts w:cs="Arial"/>
        </w:rPr>
      </w:pPr>
      <w:r w:rsidRPr="00452980">
        <w:rPr>
          <w:rFonts w:cs="Arial"/>
          <w:b/>
          <w:sz w:val="28"/>
          <w:szCs w:val="28"/>
        </w:rPr>
        <w:tab/>
      </w:r>
      <w:r w:rsidR="000A7CB3" w:rsidRPr="00452980">
        <w:rPr>
          <w:rFonts w:cs="Arial"/>
          <w:bCs/>
        </w:rPr>
        <w:t>In F</w:t>
      </w:r>
      <w:r w:rsidRPr="00452980">
        <w:rPr>
          <w:rFonts w:cs="Arial"/>
          <w:bCs/>
        </w:rPr>
        <w:t>ig. S3</w:t>
      </w:r>
      <w:r w:rsidR="000A7CB3" w:rsidRPr="00452980">
        <w:rPr>
          <w:rFonts w:cs="Arial"/>
          <w:bCs/>
        </w:rPr>
        <w:t xml:space="preserve">, Bragg-Snell plots are provided under all investigated evaporation temperatures and volume fractions. </w:t>
      </w:r>
      <w:r w:rsidR="004405E8" w:rsidRPr="00452980">
        <w:rPr>
          <w:rFonts w:cs="Arial"/>
          <w:bCs/>
        </w:rPr>
        <w:t xml:space="preserve">Each data point in a Bragg-Snell plot is determined based on the square of the </w:t>
      </w:r>
      <w:r w:rsidR="0080616F" w:rsidRPr="00452980">
        <w:rPr>
          <w:rFonts w:cs="Arial"/>
          <w:bCs/>
        </w:rPr>
        <w:t>central wavelength of the PBG</w:t>
      </w:r>
      <w:r w:rsidR="004005BD" w:rsidRPr="00452980">
        <w:rPr>
          <w:rFonts w:cs="Arial"/>
          <w:bCs/>
        </w:rPr>
        <w:t xml:space="preserve"> as a function of the square of the sine of the central wavelength </w:t>
      </w:r>
      <w:r w:rsidR="004147C4" w:rsidRPr="00452980">
        <w:rPr>
          <w:rFonts w:cs="Arial"/>
          <w:bCs/>
        </w:rPr>
        <w:t>of the PBG is defined as occurring at the minimum of the (111) transmission dip in the associated transmission spectrum.</w:t>
      </w:r>
      <w:r w:rsidR="00E866ED" w:rsidRPr="00452980">
        <w:rPr>
          <w:rFonts w:cs="Arial"/>
          <w:bCs/>
        </w:rPr>
        <w:t xml:space="preserve"> The incident angle is </w:t>
      </w:r>
      <w:r w:rsidR="00E866ED" w:rsidRPr="00452980">
        <w:rPr>
          <w:rFonts w:cs="Arial"/>
          <w:bCs/>
        </w:rPr>
        <w:lastRenderedPageBreak/>
        <w:t>defined relative</w:t>
      </w:r>
      <w:r w:rsidR="0080616F" w:rsidRPr="00452980">
        <w:rPr>
          <w:rFonts w:cs="Arial"/>
          <w:bCs/>
        </w:rPr>
        <w:t xml:space="preserve"> to the normal to the (111) plane of an fcc lattice. The incident angle range investigated</w:t>
      </w:r>
      <w:r w:rsidR="00E866ED" w:rsidRPr="00452980">
        <w:rPr>
          <w:rFonts w:cs="Arial"/>
          <w:bCs/>
        </w:rPr>
        <w:t xml:space="preserve"> was 0</w:t>
      </w:r>
      <w:r w:rsidR="00B248E0">
        <w:rPr>
          <w:rFonts w:cs="Arial"/>
          <w:bCs/>
        </w:rPr>
        <w:t xml:space="preserve"> – </w:t>
      </w:r>
      <w:r w:rsidR="00E866ED" w:rsidRPr="00452980">
        <w:rPr>
          <w:rFonts w:cs="Arial"/>
          <w:bCs/>
        </w:rPr>
        <w:t>25</w:t>
      </w:r>
      <w:r w:rsidR="00B248E0">
        <w:rPr>
          <w:rFonts w:cs="Arial"/>
        </w:rPr>
        <w:sym w:font="Symbol" w:char="F0B0"/>
      </w:r>
      <w:r w:rsidR="00C97BAD" w:rsidRPr="00452980">
        <w:rPr>
          <w:rFonts w:cs="Arial"/>
        </w:rPr>
        <w:t xml:space="preserve">. The extent to which each plot can be approximated by a linear fit indicates the </w:t>
      </w:r>
      <w:r w:rsidR="00B97E73" w:rsidRPr="00452980">
        <w:rPr>
          <w:rFonts w:cs="Arial"/>
        </w:rPr>
        <w:t>dominance of the (111) fcc symmetry and can be used to determine the structural quality of each opal, quantified in this study using the adjusted R</w:t>
      </w:r>
      <w:r w:rsidR="00B97E73" w:rsidRPr="00452980">
        <w:rPr>
          <w:rFonts w:cs="Arial"/>
          <w:vertAlign w:val="superscript"/>
        </w:rPr>
        <w:t>2</w:t>
      </w:r>
      <w:r w:rsidR="00B97E73" w:rsidRPr="00452980">
        <w:rPr>
          <w:rFonts w:cs="Arial"/>
        </w:rPr>
        <w:t xml:space="preserve"> value. </w:t>
      </w:r>
    </w:p>
    <w:p w14:paraId="3E429F08" w14:textId="77777777" w:rsidR="00645CA9" w:rsidRPr="00452980" w:rsidRDefault="00645CA9" w:rsidP="00645CA9">
      <w:pPr>
        <w:spacing w:line="480" w:lineRule="auto"/>
        <w:ind w:left="0" w:firstLine="720"/>
      </w:pPr>
    </w:p>
    <w:tbl>
      <w:tblPr>
        <w:tblW w:w="8637" w:type="dxa"/>
        <w:jc w:val="center"/>
        <w:tblLook w:val="04A0" w:firstRow="1" w:lastRow="0" w:firstColumn="1" w:lastColumn="0" w:noHBand="0" w:noVBand="1"/>
      </w:tblPr>
      <w:tblGrid>
        <w:gridCol w:w="1124"/>
        <w:gridCol w:w="1134"/>
        <w:gridCol w:w="1134"/>
        <w:gridCol w:w="1418"/>
        <w:gridCol w:w="1134"/>
        <w:gridCol w:w="1134"/>
        <w:gridCol w:w="1559"/>
      </w:tblGrid>
      <w:tr w:rsidR="00645CA9" w:rsidRPr="003840CE" w14:paraId="3ECDC4C5" w14:textId="77777777" w:rsidTr="0057621D">
        <w:trPr>
          <w:trHeight w:val="324"/>
          <w:jc w:val="center"/>
        </w:trPr>
        <w:tc>
          <w:tcPr>
            <w:tcW w:w="11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CDBD4EB" w14:textId="77777777" w:rsidR="00645CA9" w:rsidRPr="003840CE" w:rsidRDefault="00645CA9" w:rsidP="00F14E21">
            <w:pPr>
              <w:spacing w:after="0" w:line="240" w:lineRule="auto"/>
              <w:ind w:left="0"/>
              <w:jc w:val="left"/>
              <w:rPr>
                <w:rFonts w:eastAsia="Times New Roman" w:cs="Arial"/>
                <w:b/>
                <w:bCs/>
                <w:color w:val="000000"/>
                <w:lang w:eastAsia="en-IE"/>
              </w:rPr>
            </w:pPr>
            <w:r w:rsidRPr="003840CE">
              <w:rPr>
                <w:rFonts w:eastAsia="Times New Roman" w:cs="Arial"/>
                <w:b/>
                <w:bCs/>
                <w:color w:val="000000"/>
                <w:lang w:eastAsia="en-IE"/>
              </w:rPr>
              <w:t>Temp (°C)</w:t>
            </w:r>
          </w:p>
        </w:tc>
        <w:tc>
          <w:tcPr>
            <w:tcW w:w="1134" w:type="dxa"/>
            <w:tcBorders>
              <w:top w:val="single" w:sz="8" w:space="0" w:color="auto"/>
              <w:left w:val="nil"/>
              <w:bottom w:val="single" w:sz="8" w:space="0" w:color="auto"/>
              <w:right w:val="single" w:sz="4" w:space="0" w:color="auto"/>
            </w:tcBorders>
            <w:shd w:val="clear" w:color="auto" w:fill="auto"/>
            <w:noWrap/>
            <w:vAlign w:val="bottom"/>
            <w:hideMark/>
          </w:tcPr>
          <w:p w14:paraId="3883FB23" w14:textId="77777777" w:rsidR="00645CA9" w:rsidRPr="003840CE" w:rsidRDefault="00645CA9" w:rsidP="00F14E21">
            <w:pPr>
              <w:spacing w:after="0" w:line="240" w:lineRule="auto"/>
              <w:ind w:left="0"/>
              <w:jc w:val="right"/>
              <w:rPr>
                <w:rFonts w:eastAsia="Times New Roman" w:cs="Arial"/>
                <w:b/>
                <w:bCs/>
                <w:color w:val="000000"/>
                <w:lang w:eastAsia="en-IE"/>
              </w:rPr>
            </w:pPr>
            <w:r w:rsidRPr="003840CE">
              <w:rPr>
                <w:rFonts w:eastAsia="Times New Roman" w:cs="Arial"/>
                <w:b/>
                <w:bCs/>
                <w:color w:val="000000"/>
                <w:lang w:eastAsia="en-IE"/>
              </w:rPr>
              <w:t>D</w:t>
            </w:r>
            <w:r w:rsidRPr="003840CE">
              <w:rPr>
                <w:rFonts w:eastAsia="Times New Roman" w:cs="Arial"/>
                <w:b/>
                <w:bCs/>
                <w:color w:val="000000"/>
                <w:vertAlign w:val="subscript"/>
                <w:lang w:eastAsia="en-IE"/>
              </w:rPr>
              <w:t xml:space="preserve">meas </w:t>
            </w:r>
            <w:r w:rsidRPr="003840CE">
              <w:rPr>
                <w:rFonts w:eastAsia="Times New Roman" w:cs="Arial"/>
                <w:b/>
                <w:bCs/>
                <w:color w:val="000000"/>
                <w:lang w:eastAsia="en-IE"/>
              </w:rPr>
              <w:t>(nm)</w:t>
            </w:r>
          </w:p>
        </w:tc>
        <w:tc>
          <w:tcPr>
            <w:tcW w:w="1134" w:type="dxa"/>
            <w:tcBorders>
              <w:top w:val="single" w:sz="8" w:space="0" w:color="auto"/>
              <w:left w:val="nil"/>
              <w:bottom w:val="single" w:sz="8" w:space="0" w:color="auto"/>
              <w:right w:val="single" w:sz="4" w:space="0" w:color="auto"/>
            </w:tcBorders>
            <w:shd w:val="clear" w:color="auto" w:fill="auto"/>
            <w:noWrap/>
            <w:vAlign w:val="bottom"/>
            <w:hideMark/>
          </w:tcPr>
          <w:p w14:paraId="3A46374C" w14:textId="77777777" w:rsidR="00645CA9" w:rsidRPr="003840CE" w:rsidRDefault="00645CA9" w:rsidP="00F14E21">
            <w:pPr>
              <w:spacing w:after="0" w:line="240" w:lineRule="auto"/>
              <w:ind w:left="0"/>
              <w:jc w:val="right"/>
              <w:rPr>
                <w:rFonts w:eastAsia="Times New Roman" w:cs="Arial"/>
                <w:b/>
                <w:bCs/>
                <w:color w:val="000000"/>
                <w:lang w:eastAsia="en-IE"/>
              </w:rPr>
            </w:pPr>
            <w:proofErr w:type="spellStart"/>
            <w:r w:rsidRPr="003840CE">
              <w:rPr>
                <w:rFonts w:eastAsia="Times New Roman" w:cs="Arial"/>
                <w:b/>
                <w:bCs/>
                <w:color w:val="000000"/>
                <w:lang w:eastAsia="en-IE"/>
              </w:rPr>
              <w:t>D</w:t>
            </w:r>
            <w:r w:rsidRPr="003840CE">
              <w:rPr>
                <w:rFonts w:eastAsia="Times New Roman" w:cs="Arial"/>
                <w:b/>
                <w:bCs/>
                <w:color w:val="000000"/>
                <w:vertAlign w:val="subscript"/>
                <w:lang w:eastAsia="en-IE"/>
              </w:rPr>
              <w:t>Eq</w:t>
            </w:r>
            <w:proofErr w:type="spellEnd"/>
            <w:r w:rsidRPr="003840CE">
              <w:rPr>
                <w:rFonts w:eastAsia="Times New Roman" w:cs="Arial"/>
                <w:b/>
                <w:bCs/>
                <w:color w:val="000000"/>
                <w:vertAlign w:val="subscript"/>
                <w:lang w:eastAsia="en-IE"/>
              </w:rPr>
              <w:t xml:space="preserve">. 3 </w:t>
            </w:r>
            <w:r w:rsidRPr="003840CE">
              <w:rPr>
                <w:rFonts w:eastAsia="Times New Roman" w:cs="Arial"/>
                <w:b/>
                <w:bCs/>
                <w:color w:val="000000"/>
                <w:lang w:eastAsia="en-IE"/>
              </w:rPr>
              <w:t>(nm)</w:t>
            </w:r>
          </w:p>
        </w:tc>
        <w:tc>
          <w:tcPr>
            <w:tcW w:w="1418" w:type="dxa"/>
            <w:tcBorders>
              <w:top w:val="single" w:sz="8" w:space="0" w:color="auto"/>
              <w:left w:val="nil"/>
              <w:bottom w:val="single" w:sz="8" w:space="0" w:color="auto"/>
              <w:right w:val="single" w:sz="4" w:space="0" w:color="auto"/>
            </w:tcBorders>
            <w:shd w:val="clear" w:color="auto" w:fill="auto"/>
            <w:noWrap/>
            <w:vAlign w:val="bottom"/>
            <w:hideMark/>
          </w:tcPr>
          <w:p w14:paraId="32C42053" w14:textId="77777777" w:rsidR="00645CA9" w:rsidRPr="003840CE" w:rsidRDefault="00645CA9" w:rsidP="00F14E21">
            <w:pPr>
              <w:spacing w:after="0" w:line="240" w:lineRule="auto"/>
              <w:ind w:left="0"/>
              <w:jc w:val="right"/>
              <w:rPr>
                <w:rFonts w:eastAsia="Times New Roman" w:cs="Arial"/>
                <w:b/>
                <w:bCs/>
                <w:color w:val="000000"/>
                <w:lang w:eastAsia="en-IE"/>
              </w:rPr>
            </w:pPr>
            <w:r w:rsidRPr="003840CE">
              <w:rPr>
                <w:rFonts w:eastAsia="Times New Roman" w:cs="Arial"/>
                <w:b/>
                <w:bCs/>
                <w:color w:val="000000"/>
                <w:lang w:eastAsia="en-IE"/>
              </w:rPr>
              <w:t>ΔD/</w:t>
            </w:r>
            <w:proofErr w:type="spellStart"/>
            <w:r w:rsidRPr="003840CE">
              <w:rPr>
                <w:rFonts w:eastAsia="Times New Roman" w:cs="Arial"/>
                <w:b/>
                <w:bCs/>
                <w:color w:val="000000"/>
                <w:lang w:eastAsia="en-IE"/>
              </w:rPr>
              <w:t>D</w:t>
            </w:r>
            <w:r w:rsidRPr="003840CE">
              <w:rPr>
                <w:rFonts w:eastAsia="Times New Roman" w:cs="Arial"/>
                <w:b/>
                <w:bCs/>
                <w:color w:val="000000"/>
                <w:vertAlign w:val="subscript"/>
                <w:lang w:eastAsia="en-IE"/>
              </w:rPr>
              <w:t>Meas</w:t>
            </w:r>
            <w:proofErr w:type="spellEnd"/>
            <w:r w:rsidRPr="003840CE">
              <w:rPr>
                <w:rFonts w:eastAsia="Times New Roman" w:cs="Arial"/>
                <w:b/>
                <w:bCs/>
                <w:color w:val="000000"/>
                <w:vertAlign w:val="subscript"/>
                <w:lang w:eastAsia="en-IE"/>
              </w:rPr>
              <w:t xml:space="preserve"> </w:t>
            </w:r>
            <w:r w:rsidRPr="003840CE">
              <w:rPr>
                <w:rFonts w:eastAsia="Times New Roman" w:cs="Arial"/>
                <w:b/>
                <w:bCs/>
                <w:color w:val="000000"/>
                <w:lang w:eastAsia="en-IE"/>
              </w:rPr>
              <w:t>(%)</w:t>
            </w:r>
          </w:p>
        </w:tc>
        <w:tc>
          <w:tcPr>
            <w:tcW w:w="1134" w:type="dxa"/>
            <w:tcBorders>
              <w:top w:val="single" w:sz="8" w:space="0" w:color="auto"/>
              <w:left w:val="nil"/>
              <w:bottom w:val="single" w:sz="8" w:space="0" w:color="auto"/>
              <w:right w:val="single" w:sz="4" w:space="0" w:color="auto"/>
            </w:tcBorders>
            <w:shd w:val="clear" w:color="auto" w:fill="auto"/>
            <w:noWrap/>
            <w:vAlign w:val="bottom"/>
            <w:hideMark/>
          </w:tcPr>
          <w:p w14:paraId="2918CF18" w14:textId="77777777" w:rsidR="00645CA9" w:rsidRPr="003840CE" w:rsidRDefault="00645CA9" w:rsidP="00F14E21">
            <w:pPr>
              <w:spacing w:after="0" w:line="240" w:lineRule="auto"/>
              <w:ind w:left="0"/>
              <w:jc w:val="right"/>
              <w:rPr>
                <w:rFonts w:eastAsia="Times New Roman" w:cs="Arial"/>
                <w:b/>
                <w:bCs/>
                <w:color w:val="000000"/>
                <w:lang w:eastAsia="en-IE"/>
              </w:rPr>
            </w:pPr>
            <w:proofErr w:type="spellStart"/>
            <w:r w:rsidRPr="003840CE">
              <w:rPr>
                <w:rFonts w:eastAsia="Times New Roman" w:cs="Arial"/>
                <w:b/>
                <w:bCs/>
                <w:color w:val="000000"/>
                <w:lang w:eastAsia="en-IE"/>
              </w:rPr>
              <w:t>d</w:t>
            </w:r>
            <w:r w:rsidRPr="003840CE">
              <w:rPr>
                <w:rFonts w:eastAsia="Times New Roman" w:cs="Arial"/>
                <w:b/>
                <w:bCs/>
                <w:color w:val="000000"/>
                <w:vertAlign w:val="subscript"/>
                <w:lang w:eastAsia="en-IE"/>
              </w:rPr>
              <w:t>Meas</w:t>
            </w:r>
            <w:proofErr w:type="spellEnd"/>
            <w:r w:rsidRPr="003840CE">
              <w:rPr>
                <w:rFonts w:eastAsia="Times New Roman" w:cs="Arial"/>
                <w:b/>
                <w:bCs/>
                <w:color w:val="000000"/>
                <w:vertAlign w:val="subscript"/>
                <w:lang w:eastAsia="en-IE"/>
              </w:rPr>
              <w:t xml:space="preserve"> </w:t>
            </w:r>
            <w:r w:rsidRPr="003840CE">
              <w:rPr>
                <w:rFonts w:eastAsia="Times New Roman" w:cs="Arial"/>
                <w:b/>
                <w:bCs/>
                <w:color w:val="000000"/>
                <w:lang w:eastAsia="en-IE"/>
              </w:rPr>
              <w:t>(nm)</w:t>
            </w:r>
          </w:p>
        </w:tc>
        <w:tc>
          <w:tcPr>
            <w:tcW w:w="1134" w:type="dxa"/>
            <w:tcBorders>
              <w:top w:val="single" w:sz="8" w:space="0" w:color="auto"/>
              <w:left w:val="nil"/>
              <w:bottom w:val="single" w:sz="8" w:space="0" w:color="auto"/>
              <w:right w:val="single" w:sz="4" w:space="0" w:color="auto"/>
            </w:tcBorders>
            <w:shd w:val="clear" w:color="auto" w:fill="auto"/>
            <w:noWrap/>
            <w:vAlign w:val="bottom"/>
            <w:hideMark/>
          </w:tcPr>
          <w:p w14:paraId="37CD9560" w14:textId="77777777" w:rsidR="00645CA9" w:rsidRPr="003840CE" w:rsidRDefault="00645CA9" w:rsidP="00F14E21">
            <w:pPr>
              <w:spacing w:after="0" w:line="240" w:lineRule="auto"/>
              <w:ind w:left="0"/>
              <w:jc w:val="right"/>
              <w:rPr>
                <w:rFonts w:eastAsia="Times New Roman" w:cs="Arial"/>
                <w:b/>
                <w:bCs/>
                <w:color w:val="000000"/>
                <w:lang w:eastAsia="en-IE"/>
              </w:rPr>
            </w:pPr>
            <w:proofErr w:type="spellStart"/>
            <w:r w:rsidRPr="003840CE">
              <w:rPr>
                <w:rFonts w:eastAsia="Times New Roman" w:cs="Arial"/>
                <w:b/>
                <w:bCs/>
                <w:color w:val="000000"/>
                <w:lang w:eastAsia="en-IE"/>
              </w:rPr>
              <w:t>d</w:t>
            </w:r>
            <w:r w:rsidRPr="003840CE">
              <w:rPr>
                <w:rFonts w:eastAsia="Times New Roman" w:cs="Arial"/>
                <w:b/>
                <w:bCs/>
                <w:color w:val="000000"/>
                <w:vertAlign w:val="subscript"/>
                <w:lang w:eastAsia="en-IE"/>
              </w:rPr>
              <w:t>Eq</w:t>
            </w:r>
            <w:proofErr w:type="spellEnd"/>
            <w:r w:rsidRPr="003840CE">
              <w:rPr>
                <w:rFonts w:eastAsia="Times New Roman" w:cs="Arial"/>
                <w:b/>
                <w:bCs/>
                <w:color w:val="000000"/>
                <w:vertAlign w:val="subscript"/>
                <w:lang w:eastAsia="en-IE"/>
              </w:rPr>
              <w:t xml:space="preserve">. 3 </w:t>
            </w:r>
            <w:r w:rsidRPr="003840CE">
              <w:rPr>
                <w:rFonts w:eastAsia="Times New Roman" w:cs="Arial"/>
                <w:b/>
                <w:bCs/>
                <w:color w:val="000000"/>
                <w:lang w:eastAsia="en-IE"/>
              </w:rPr>
              <w:t>(nm)</w:t>
            </w:r>
          </w:p>
        </w:tc>
        <w:tc>
          <w:tcPr>
            <w:tcW w:w="1559" w:type="dxa"/>
            <w:tcBorders>
              <w:top w:val="single" w:sz="8" w:space="0" w:color="auto"/>
              <w:left w:val="nil"/>
              <w:bottom w:val="single" w:sz="8" w:space="0" w:color="auto"/>
              <w:right w:val="single" w:sz="8" w:space="0" w:color="auto"/>
            </w:tcBorders>
            <w:shd w:val="clear" w:color="auto" w:fill="auto"/>
            <w:noWrap/>
            <w:vAlign w:val="bottom"/>
            <w:hideMark/>
          </w:tcPr>
          <w:p w14:paraId="64E84C8E" w14:textId="77777777" w:rsidR="00645CA9" w:rsidRPr="003840CE" w:rsidRDefault="00645CA9" w:rsidP="00F14E21">
            <w:pPr>
              <w:spacing w:after="0" w:line="240" w:lineRule="auto"/>
              <w:ind w:left="0"/>
              <w:jc w:val="right"/>
              <w:rPr>
                <w:rFonts w:eastAsia="Times New Roman" w:cs="Arial"/>
                <w:b/>
                <w:bCs/>
                <w:color w:val="000000"/>
                <w:lang w:eastAsia="en-IE"/>
              </w:rPr>
            </w:pPr>
            <w:proofErr w:type="spellStart"/>
            <w:r w:rsidRPr="003840CE">
              <w:rPr>
                <w:rFonts w:eastAsia="Times New Roman" w:cs="Arial"/>
                <w:b/>
                <w:bCs/>
                <w:color w:val="000000"/>
                <w:lang w:eastAsia="en-IE"/>
              </w:rPr>
              <w:t>Δd</w:t>
            </w:r>
            <w:proofErr w:type="spellEnd"/>
            <w:r w:rsidRPr="003840CE">
              <w:rPr>
                <w:rFonts w:eastAsia="Times New Roman" w:cs="Arial"/>
                <w:b/>
                <w:bCs/>
                <w:color w:val="000000"/>
                <w:lang w:eastAsia="en-IE"/>
              </w:rPr>
              <w:t>/</w:t>
            </w:r>
            <w:proofErr w:type="spellStart"/>
            <w:r w:rsidRPr="003840CE">
              <w:rPr>
                <w:rFonts w:eastAsia="Times New Roman" w:cs="Arial"/>
                <w:b/>
                <w:bCs/>
                <w:color w:val="000000"/>
                <w:lang w:eastAsia="en-IE"/>
              </w:rPr>
              <w:t>d</w:t>
            </w:r>
            <w:r w:rsidRPr="003840CE">
              <w:rPr>
                <w:rFonts w:eastAsia="Times New Roman" w:cs="Arial"/>
                <w:b/>
                <w:bCs/>
                <w:color w:val="000000"/>
                <w:vertAlign w:val="subscript"/>
                <w:lang w:eastAsia="en-IE"/>
              </w:rPr>
              <w:t>Meas</w:t>
            </w:r>
            <w:proofErr w:type="spellEnd"/>
            <w:r w:rsidRPr="003840CE">
              <w:rPr>
                <w:rFonts w:eastAsia="Times New Roman" w:cs="Arial"/>
                <w:b/>
                <w:bCs/>
                <w:color w:val="000000"/>
                <w:vertAlign w:val="subscript"/>
                <w:lang w:eastAsia="en-IE"/>
              </w:rPr>
              <w:t xml:space="preserve"> </w:t>
            </w:r>
            <w:r w:rsidRPr="003840CE">
              <w:rPr>
                <w:rFonts w:eastAsia="Times New Roman" w:cs="Arial"/>
                <w:b/>
                <w:bCs/>
                <w:color w:val="000000"/>
                <w:lang w:eastAsia="en-IE"/>
              </w:rPr>
              <w:t>(%)</w:t>
            </w:r>
          </w:p>
        </w:tc>
      </w:tr>
      <w:tr w:rsidR="00645CA9" w:rsidRPr="003840CE" w14:paraId="2F1E1912" w14:textId="77777777" w:rsidTr="0057621D">
        <w:trPr>
          <w:trHeight w:val="288"/>
          <w:jc w:val="center"/>
        </w:trPr>
        <w:tc>
          <w:tcPr>
            <w:tcW w:w="1124" w:type="dxa"/>
            <w:tcBorders>
              <w:top w:val="nil"/>
              <w:left w:val="single" w:sz="8" w:space="0" w:color="auto"/>
              <w:bottom w:val="single" w:sz="4" w:space="0" w:color="auto"/>
              <w:right w:val="single" w:sz="8" w:space="0" w:color="auto"/>
            </w:tcBorders>
            <w:shd w:val="clear" w:color="auto" w:fill="auto"/>
            <w:noWrap/>
            <w:vAlign w:val="bottom"/>
            <w:hideMark/>
          </w:tcPr>
          <w:p w14:paraId="77028398" w14:textId="77777777" w:rsidR="00645CA9" w:rsidRPr="003840CE" w:rsidRDefault="00645CA9" w:rsidP="00F14E21">
            <w:pPr>
              <w:spacing w:after="0" w:line="240" w:lineRule="auto"/>
              <w:ind w:left="0"/>
              <w:jc w:val="right"/>
              <w:rPr>
                <w:rFonts w:eastAsia="Times New Roman" w:cs="Arial"/>
                <w:color w:val="FF0000"/>
                <w:lang w:eastAsia="en-IE"/>
              </w:rPr>
            </w:pPr>
            <w:r w:rsidRPr="003840CE">
              <w:rPr>
                <w:rFonts w:eastAsia="Times New Roman" w:cs="Arial"/>
                <w:color w:val="FF0000"/>
                <w:lang w:eastAsia="en-IE"/>
              </w:rPr>
              <w:t>28</w:t>
            </w:r>
          </w:p>
        </w:tc>
        <w:tc>
          <w:tcPr>
            <w:tcW w:w="1134" w:type="dxa"/>
            <w:tcBorders>
              <w:top w:val="nil"/>
              <w:left w:val="nil"/>
              <w:bottom w:val="single" w:sz="4" w:space="0" w:color="auto"/>
              <w:right w:val="single" w:sz="4" w:space="0" w:color="auto"/>
            </w:tcBorders>
            <w:shd w:val="clear" w:color="auto" w:fill="auto"/>
            <w:noWrap/>
            <w:vAlign w:val="bottom"/>
            <w:hideMark/>
          </w:tcPr>
          <w:p w14:paraId="367F49BE" w14:textId="77777777" w:rsidR="00645CA9" w:rsidRPr="003840CE" w:rsidRDefault="00645CA9" w:rsidP="00F14E21">
            <w:pPr>
              <w:spacing w:after="0" w:line="240" w:lineRule="auto"/>
              <w:ind w:left="0"/>
              <w:jc w:val="right"/>
              <w:rPr>
                <w:rFonts w:eastAsia="Times New Roman" w:cs="Arial"/>
                <w:color w:val="FF0000"/>
                <w:lang w:eastAsia="en-IE"/>
              </w:rPr>
            </w:pPr>
            <w:r w:rsidRPr="003840CE">
              <w:rPr>
                <w:rFonts w:eastAsia="Times New Roman" w:cs="Arial"/>
                <w:color w:val="FF0000"/>
                <w:lang w:eastAsia="en-IE"/>
              </w:rPr>
              <w:t>398.2</w:t>
            </w:r>
          </w:p>
        </w:tc>
        <w:tc>
          <w:tcPr>
            <w:tcW w:w="1134" w:type="dxa"/>
            <w:tcBorders>
              <w:top w:val="nil"/>
              <w:left w:val="nil"/>
              <w:bottom w:val="single" w:sz="4" w:space="0" w:color="auto"/>
              <w:right w:val="single" w:sz="4" w:space="0" w:color="auto"/>
            </w:tcBorders>
            <w:shd w:val="clear" w:color="auto" w:fill="auto"/>
            <w:noWrap/>
            <w:vAlign w:val="bottom"/>
            <w:hideMark/>
          </w:tcPr>
          <w:p w14:paraId="4C3CCAAD" w14:textId="77777777" w:rsidR="00645CA9" w:rsidRPr="003840CE" w:rsidRDefault="00645CA9" w:rsidP="00F14E21">
            <w:pPr>
              <w:spacing w:after="0" w:line="240" w:lineRule="auto"/>
              <w:ind w:left="0"/>
              <w:jc w:val="right"/>
              <w:rPr>
                <w:rFonts w:eastAsia="Times New Roman" w:cs="Arial"/>
                <w:color w:val="FF0000"/>
                <w:lang w:eastAsia="en-IE"/>
              </w:rPr>
            </w:pPr>
            <w:r w:rsidRPr="003840CE">
              <w:rPr>
                <w:rFonts w:eastAsia="Times New Roman" w:cs="Arial"/>
                <w:color w:val="FF0000"/>
                <w:lang w:eastAsia="en-IE"/>
              </w:rPr>
              <w:t>1046</w:t>
            </w:r>
          </w:p>
        </w:tc>
        <w:tc>
          <w:tcPr>
            <w:tcW w:w="1418" w:type="dxa"/>
            <w:tcBorders>
              <w:top w:val="nil"/>
              <w:left w:val="nil"/>
              <w:bottom w:val="single" w:sz="4" w:space="0" w:color="auto"/>
              <w:right w:val="single" w:sz="4" w:space="0" w:color="auto"/>
            </w:tcBorders>
            <w:shd w:val="clear" w:color="auto" w:fill="auto"/>
            <w:noWrap/>
            <w:vAlign w:val="bottom"/>
            <w:hideMark/>
          </w:tcPr>
          <w:p w14:paraId="533821B8" w14:textId="77777777" w:rsidR="00645CA9" w:rsidRPr="003840CE" w:rsidRDefault="00645CA9" w:rsidP="00F14E21">
            <w:pPr>
              <w:spacing w:after="0" w:line="240" w:lineRule="auto"/>
              <w:ind w:left="0"/>
              <w:jc w:val="right"/>
              <w:rPr>
                <w:rFonts w:eastAsia="Times New Roman" w:cs="Arial"/>
                <w:color w:val="FF0000"/>
                <w:lang w:eastAsia="en-IE"/>
              </w:rPr>
            </w:pPr>
            <w:r w:rsidRPr="003840CE">
              <w:rPr>
                <w:rFonts w:eastAsia="Times New Roman" w:cs="Arial"/>
                <w:color w:val="FF0000"/>
                <w:lang w:eastAsia="en-IE"/>
              </w:rPr>
              <w:t>162.68</w:t>
            </w:r>
          </w:p>
        </w:tc>
        <w:tc>
          <w:tcPr>
            <w:tcW w:w="1134" w:type="dxa"/>
            <w:tcBorders>
              <w:top w:val="nil"/>
              <w:left w:val="nil"/>
              <w:bottom w:val="single" w:sz="4" w:space="0" w:color="auto"/>
              <w:right w:val="single" w:sz="4" w:space="0" w:color="auto"/>
            </w:tcBorders>
            <w:shd w:val="clear" w:color="auto" w:fill="auto"/>
            <w:noWrap/>
            <w:vAlign w:val="bottom"/>
            <w:hideMark/>
          </w:tcPr>
          <w:p w14:paraId="2B7265A3" w14:textId="77777777" w:rsidR="00645CA9" w:rsidRPr="003840CE" w:rsidRDefault="00645CA9" w:rsidP="00F14E21">
            <w:pPr>
              <w:spacing w:after="0" w:line="240" w:lineRule="auto"/>
              <w:ind w:left="0"/>
              <w:jc w:val="right"/>
              <w:rPr>
                <w:rFonts w:eastAsia="Times New Roman" w:cs="Arial"/>
                <w:color w:val="FF0000"/>
                <w:lang w:eastAsia="en-IE"/>
              </w:rPr>
            </w:pPr>
            <w:r w:rsidRPr="003840CE">
              <w:rPr>
                <w:rFonts w:eastAsia="Times New Roman" w:cs="Arial"/>
                <w:color w:val="FF0000"/>
                <w:lang w:eastAsia="en-IE"/>
              </w:rPr>
              <w:t>487.69</w:t>
            </w:r>
          </w:p>
        </w:tc>
        <w:tc>
          <w:tcPr>
            <w:tcW w:w="1134" w:type="dxa"/>
            <w:tcBorders>
              <w:top w:val="nil"/>
              <w:left w:val="nil"/>
              <w:bottom w:val="single" w:sz="4" w:space="0" w:color="auto"/>
              <w:right w:val="single" w:sz="4" w:space="0" w:color="auto"/>
            </w:tcBorders>
            <w:shd w:val="clear" w:color="auto" w:fill="auto"/>
            <w:noWrap/>
            <w:vAlign w:val="bottom"/>
            <w:hideMark/>
          </w:tcPr>
          <w:p w14:paraId="5EB1F73A" w14:textId="77777777" w:rsidR="00645CA9" w:rsidRPr="003840CE" w:rsidRDefault="00645CA9" w:rsidP="00F14E21">
            <w:pPr>
              <w:spacing w:after="0" w:line="240" w:lineRule="auto"/>
              <w:ind w:left="0"/>
              <w:jc w:val="right"/>
              <w:rPr>
                <w:rFonts w:eastAsia="Times New Roman" w:cs="Arial"/>
                <w:color w:val="FF0000"/>
                <w:lang w:eastAsia="en-IE"/>
              </w:rPr>
            </w:pPr>
            <w:r w:rsidRPr="003840CE">
              <w:rPr>
                <w:rFonts w:eastAsia="Times New Roman" w:cs="Arial"/>
                <w:color w:val="FF0000"/>
                <w:lang w:eastAsia="en-IE"/>
              </w:rPr>
              <w:t>457</w:t>
            </w:r>
          </w:p>
        </w:tc>
        <w:tc>
          <w:tcPr>
            <w:tcW w:w="1559" w:type="dxa"/>
            <w:tcBorders>
              <w:top w:val="nil"/>
              <w:left w:val="nil"/>
              <w:bottom w:val="single" w:sz="4" w:space="0" w:color="auto"/>
              <w:right w:val="single" w:sz="8" w:space="0" w:color="auto"/>
            </w:tcBorders>
            <w:shd w:val="clear" w:color="auto" w:fill="auto"/>
            <w:noWrap/>
            <w:vAlign w:val="bottom"/>
            <w:hideMark/>
          </w:tcPr>
          <w:p w14:paraId="6C66642E" w14:textId="77777777" w:rsidR="00645CA9" w:rsidRPr="003840CE" w:rsidRDefault="00645CA9" w:rsidP="00F14E21">
            <w:pPr>
              <w:spacing w:after="0" w:line="240" w:lineRule="auto"/>
              <w:ind w:left="0"/>
              <w:jc w:val="right"/>
              <w:rPr>
                <w:rFonts w:eastAsia="Times New Roman" w:cs="Arial"/>
                <w:color w:val="FF0000"/>
                <w:lang w:eastAsia="en-IE"/>
              </w:rPr>
            </w:pPr>
            <w:r w:rsidRPr="003840CE">
              <w:rPr>
                <w:rFonts w:eastAsia="Times New Roman" w:cs="Arial"/>
                <w:color w:val="FF0000"/>
                <w:lang w:eastAsia="en-IE"/>
              </w:rPr>
              <w:t>6.29</w:t>
            </w:r>
          </w:p>
        </w:tc>
      </w:tr>
      <w:tr w:rsidR="00645CA9" w:rsidRPr="003840CE" w14:paraId="5351D95B" w14:textId="77777777" w:rsidTr="0057621D">
        <w:trPr>
          <w:trHeight w:val="288"/>
          <w:jc w:val="center"/>
        </w:trPr>
        <w:tc>
          <w:tcPr>
            <w:tcW w:w="1124" w:type="dxa"/>
            <w:tcBorders>
              <w:top w:val="nil"/>
              <w:left w:val="single" w:sz="8" w:space="0" w:color="auto"/>
              <w:bottom w:val="single" w:sz="4" w:space="0" w:color="auto"/>
              <w:right w:val="single" w:sz="8" w:space="0" w:color="auto"/>
            </w:tcBorders>
            <w:shd w:val="clear" w:color="auto" w:fill="auto"/>
            <w:noWrap/>
            <w:vAlign w:val="bottom"/>
            <w:hideMark/>
          </w:tcPr>
          <w:p w14:paraId="30B491CB"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31</w:t>
            </w:r>
          </w:p>
        </w:tc>
        <w:tc>
          <w:tcPr>
            <w:tcW w:w="1134" w:type="dxa"/>
            <w:tcBorders>
              <w:top w:val="nil"/>
              <w:left w:val="nil"/>
              <w:bottom w:val="single" w:sz="4" w:space="0" w:color="auto"/>
              <w:right w:val="single" w:sz="4" w:space="0" w:color="auto"/>
            </w:tcBorders>
            <w:shd w:val="clear" w:color="auto" w:fill="auto"/>
            <w:noWrap/>
            <w:vAlign w:val="bottom"/>
            <w:hideMark/>
          </w:tcPr>
          <w:p w14:paraId="1A49F2D0"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400</w:t>
            </w:r>
          </w:p>
        </w:tc>
        <w:tc>
          <w:tcPr>
            <w:tcW w:w="1134" w:type="dxa"/>
            <w:tcBorders>
              <w:top w:val="nil"/>
              <w:left w:val="nil"/>
              <w:bottom w:val="single" w:sz="4" w:space="0" w:color="auto"/>
              <w:right w:val="single" w:sz="4" w:space="0" w:color="auto"/>
            </w:tcBorders>
            <w:shd w:val="clear" w:color="auto" w:fill="auto"/>
            <w:noWrap/>
            <w:vAlign w:val="bottom"/>
            <w:hideMark/>
          </w:tcPr>
          <w:p w14:paraId="21F4D5C7"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439</w:t>
            </w:r>
          </w:p>
        </w:tc>
        <w:tc>
          <w:tcPr>
            <w:tcW w:w="1418" w:type="dxa"/>
            <w:tcBorders>
              <w:top w:val="nil"/>
              <w:left w:val="nil"/>
              <w:bottom w:val="single" w:sz="4" w:space="0" w:color="auto"/>
              <w:right w:val="single" w:sz="4" w:space="0" w:color="auto"/>
            </w:tcBorders>
            <w:shd w:val="clear" w:color="auto" w:fill="auto"/>
            <w:noWrap/>
            <w:vAlign w:val="bottom"/>
            <w:hideMark/>
          </w:tcPr>
          <w:p w14:paraId="48BA0052"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9.75</w:t>
            </w:r>
          </w:p>
        </w:tc>
        <w:tc>
          <w:tcPr>
            <w:tcW w:w="1134" w:type="dxa"/>
            <w:tcBorders>
              <w:top w:val="nil"/>
              <w:left w:val="nil"/>
              <w:bottom w:val="single" w:sz="4" w:space="0" w:color="auto"/>
              <w:right w:val="single" w:sz="4" w:space="0" w:color="auto"/>
            </w:tcBorders>
            <w:shd w:val="clear" w:color="auto" w:fill="auto"/>
            <w:noWrap/>
            <w:vAlign w:val="bottom"/>
            <w:hideMark/>
          </w:tcPr>
          <w:p w14:paraId="22AB1924"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489.9</w:t>
            </w:r>
          </w:p>
        </w:tc>
        <w:tc>
          <w:tcPr>
            <w:tcW w:w="1134" w:type="dxa"/>
            <w:tcBorders>
              <w:top w:val="nil"/>
              <w:left w:val="nil"/>
              <w:bottom w:val="single" w:sz="4" w:space="0" w:color="auto"/>
              <w:right w:val="single" w:sz="4" w:space="0" w:color="auto"/>
            </w:tcBorders>
            <w:shd w:val="clear" w:color="auto" w:fill="auto"/>
            <w:noWrap/>
            <w:vAlign w:val="bottom"/>
            <w:hideMark/>
          </w:tcPr>
          <w:p w14:paraId="18F03B45"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486</w:t>
            </w:r>
          </w:p>
        </w:tc>
        <w:tc>
          <w:tcPr>
            <w:tcW w:w="1559" w:type="dxa"/>
            <w:tcBorders>
              <w:top w:val="nil"/>
              <w:left w:val="nil"/>
              <w:bottom w:val="single" w:sz="4" w:space="0" w:color="auto"/>
              <w:right w:val="single" w:sz="8" w:space="0" w:color="auto"/>
            </w:tcBorders>
            <w:shd w:val="clear" w:color="auto" w:fill="auto"/>
            <w:noWrap/>
            <w:vAlign w:val="bottom"/>
            <w:hideMark/>
          </w:tcPr>
          <w:p w14:paraId="531E7A97"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0.8</w:t>
            </w:r>
          </w:p>
        </w:tc>
      </w:tr>
      <w:tr w:rsidR="00645CA9" w:rsidRPr="003840CE" w14:paraId="26686434" w14:textId="77777777" w:rsidTr="0057621D">
        <w:trPr>
          <w:trHeight w:val="300"/>
          <w:jc w:val="center"/>
        </w:trPr>
        <w:tc>
          <w:tcPr>
            <w:tcW w:w="1124" w:type="dxa"/>
            <w:tcBorders>
              <w:top w:val="nil"/>
              <w:left w:val="single" w:sz="8" w:space="0" w:color="auto"/>
              <w:bottom w:val="single" w:sz="8" w:space="0" w:color="auto"/>
              <w:right w:val="single" w:sz="8" w:space="0" w:color="auto"/>
            </w:tcBorders>
            <w:shd w:val="clear" w:color="auto" w:fill="auto"/>
            <w:noWrap/>
            <w:vAlign w:val="bottom"/>
            <w:hideMark/>
          </w:tcPr>
          <w:p w14:paraId="060C647C"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34</w:t>
            </w:r>
          </w:p>
        </w:tc>
        <w:tc>
          <w:tcPr>
            <w:tcW w:w="1134" w:type="dxa"/>
            <w:tcBorders>
              <w:top w:val="nil"/>
              <w:left w:val="nil"/>
              <w:bottom w:val="single" w:sz="8" w:space="0" w:color="auto"/>
              <w:right w:val="single" w:sz="4" w:space="0" w:color="auto"/>
            </w:tcBorders>
            <w:shd w:val="clear" w:color="auto" w:fill="auto"/>
            <w:noWrap/>
            <w:vAlign w:val="bottom"/>
            <w:hideMark/>
          </w:tcPr>
          <w:p w14:paraId="24779628"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405.2</w:t>
            </w:r>
          </w:p>
        </w:tc>
        <w:tc>
          <w:tcPr>
            <w:tcW w:w="1134" w:type="dxa"/>
            <w:tcBorders>
              <w:top w:val="nil"/>
              <w:left w:val="nil"/>
              <w:bottom w:val="single" w:sz="8" w:space="0" w:color="auto"/>
              <w:right w:val="single" w:sz="4" w:space="0" w:color="auto"/>
            </w:tcBorders>
            <w:shd w:val="clear" w:color="auto" w:fill="auto"/>
            <w:noWrap/>
            <w:vAlign w:val="bottom"/>
            <w:hideMark/>
          </w:tcPr>
          <w:p w14:paraId="1AC83D59"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451</w:t>
            </w:r>
          </w:p>
        </w:tc>
        <w:tc>
          <w:tcPr>
            <w:tcW w:w="1418" w:type="dxa"/>
            <w:tcBorders>
              <w:top w:val="nil"/>
              <w:left w:val="nil"/>
              <w:bottom w:val="single" w:sz="8" w:space="0" w:color="auto"/>
              <w:right w:val="single" w:sz="4" w:space="0" w:color="auto"/>
            </w:tcBorders>
            <w:shd w:val="clear" w:color="auto" w:fill="auto"/>
            <w:noWrap/>
            <w:vAlign w:val="bottom"/>
            <w:hideMark/>
          </w:tcPr>
          <w:p w14:paraId="0EE63762"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11.3</w:t>
            </w:r>
          </w:p>
        </w:tc>
        <w:tc>
          <w:tcPr>
            <w:tcW w:w="1134" w:type="dxa"/>
            <w:tcBorders>
              <w:top w:val="nil"/>
              <w:left w:val="nil"/>
              <w:bottom w:val="single" w:sz="8" w:space="0" w:color="auto"/>
              <w:right w:val="single" w:sz="4" w:space="0" w:color="auto"/>
            </w:tcBorders>
            <w:shd w:val="clear" w:color="auto" w:fill="auto"/>
            <w:noWrap/>
            <w:vAlign w:val="bottom"/>
            <w:hideMark/>
          </w:tcPr>
          <w:p w14:paraId="30E758FC"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496.27</w:t>
            </w:r>
          </w:p>
        </w:tc>
        <w:tc>
          <w:tcPr>
            <w:tcW w:w="1134" w:type="dxa"/>
            <w:tcBorders>
              <w:top w:val="nil"/>
              <w:left w:val="nil"/>
              <w:bottom w:val="single" w:sz="8" w:space="0" w:color="auto"/>
              <w:right w:val="single" w:sz="4" w:space="0" w:color="auto"/>
            </w:tcBorders>
            <w:shd w:val="clear" w:color="auto" w:fill="auto"/>
            <w:noWrap/>
            <w:vAlign w:val="bottom"/>
            <w:hideMark/>
          </w:tcPr>
          <w:p w14:paraId="364D7FBC"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493</w:t>
            </w:r>
          </w:p>
        </w:tc>
        <w:tc>
          <w:tcPr>
            <w:tcW w:w="1559" w:type="dxa"/>
            <w:tcBorders>
              <w:top w:val="nil"/>
              <w:left w:val="nil"/>
              <w:bottom w:val="single" w:sz="8" w:space="0" w:color="auto"/>
              <w:right w:val="single" w:sz="8" w:space="0" w:color="auto"/>
            </w:tcBorders>
            <w:shd w:val="clear" w:color="auto" w:fill="auto"/>
            <w:noWrap/>
            <w:vAlign w:val="bottom"/>
            <w:hideMark/>
          </w:tcPr>
          <w:p w14:paraId="562A0E03" w14:textId="77777777" w:rsidR="00645CA9" w:rsidRPr="003840CE" w:rsidRDefault="00645CA9" w:rsidP="00F14E21">
            <w:pPr>
              <w:spacing w:after="0" w:line="240" w:lineRule="auto"/>
              <w:ind w:left="0"/>
              <w:jc w:val="right"/>
              <w:rPr>
                <w:rFonts w:eastAsia="Times New Roman" w:cs="Arial"/>
                <w:lang w:eastAsia="en-IE"/>
              </w:rPr>
            </w:pPr>
            <w:r w:rsidRPr="003840CE">
              <w:rPr>
                <w:rFonts w:eastAsia="Times New Roman" w:cs="Arial"/>
                <w:lang w:eastAsia="en-IE"/>
              </w:rPr>
              <w:t>0.66</w:t>
            </w:r>
          </w:p>
        </w:tc>
      </w:tr>
    </w:tbl>
    <w:p w14:paraId="5712F7E2" w14:textId="77777777" w:rsidR="00645CA9" w:rsidRPr="00452980" w:rsidRDefault="00645CA9" w:rsidP="00FB6B86">
      <w:pPr>
        <w:spacing w:before="240" w:line="240" w:lineRule="auto"/>
        <w:ind w:left="0"/>
        <w:rPr>
          <w:rFonts w:cs="Arial"/>
        </w:rPr>
      </w:pPr>
      <w:r w:rsidRPr="00452980">
        <w:rPr>
          <w:rFonts w:cs="Arial"/>
          <w:b/>
          <w:bCs/>
        </w:rPr>
        <w:t xml:space="preserve">Table S1. </w:t>
      </w:r>
      <w:r w:rsidRPr="00452980">
        <w:rPr>
          <w:rFonts w:cs="Arial"/>
        </w:rPr>
        <w:t>Comparison of experimentally measurements and calculations using Eq. 3 for opal sphere diameters and interplanar spacings at each evaporation rate.</w:t>
      </w:r>
    </w:p>
    <w:p w14:paraId="335047DD" w14:textId="77777777" w:rsidR="00FB6B86" w:rsidRDefault="00DE3BF6" w:rsidP="00C97BAD">
      <w:pPr>
        <w:spacing w:line="480" w:lineRule="auto"/>
        <w:ind w:left="0"/>
        <w:rPr>
          <w:rFonts w:cs="Arial"/>
          <w:bCs/>
          <w:sz w:val="28"/>
          <w:szCs w:val="28"/>
        </w:rPr>
      </w:pPr>
      <w:r w:rsidRPr="00452980">
        <w:rPr>
          <w:rFonts w:cs="Arial"/>
          <w:bCs/>
          <w:sz w:val="28"/>
          <w:szCs w:val="28"/>
        </w:rPr>
        <w:tab/>
      </w:r>
    </w:p>
    <w:p w14:paraId="43EB8B0F" w14:textId="3039C3C0" w:rsidR="00645CA9" w:rsidRPr="00452980" w:rsidRDefault="00DE3BF6" w:rsidP="00FB6B86">
      <w:pPr>
        <w:spacing w:line="480" w:lineRule="auto"/>
        <w:ind w:left="0" w:firstLine="720"/>
        <w:rPr>
          <w:rFonts w:cs="Arial"/>
          <w:bCs/>
        </w:rPr>
      </w:pPr>
      <w:r w:rsidRPr="00452980">
        <w:rPr>
          <w:rFonts w:cs="Arial"/>
          <w:bCs/>
        </w:rPr>
        <w:t xml:space="preserve">Table S1 shows a comparison of the </w:t>
      </w:r>
      <w:r w:rsidR="008D27AD" w:rsidRPr="00452980">
        <w:rPr>
          <w:rFonts w:cs="Arial"/>
          <w:bCs/>
        </w:rPr>
        <w:t xml:space="preserve">structural parameters of sphere diameter and interplanar spacing from experimental measurements and based on calculations using </w:t>
      </w:r>
      <w:r w:rsidR="00691168" w:rsidRPr="00452980">
        <w:rPr>
          <w:rFonts w:cs="Arial"/>
          <w:bCs/>
        </w:rPr>
        <w:t xml:space="preserve">the geometric approach in </w:t>
      </w:r>
      <w:r w:rsidR="008D27AD" w:rsidRPr="00452980">
        <w:rPr>
          <w:rFonts w:cs="Arial"/>
          <w:bCs/>
        </w:rPr>
        <w:t>Eq. 3</w:t>
      </w:r>
      <w:r w:rsidR="00691168" w:rsidRPr="00452980">
        <w:rPr>
          <w:rFonts w:cs="Arial"/>
          <w:bCs/>
        </w:rPr>
        <w:t xml:space="preserve">. </w:t>
      </w:r>
      <w:r w:rsidR="00691168" w:rsidRPr="000543B3">
        <w:rPr>
          <w:rFonts w:cs="Arial"/>
          <w:bCs/>
        </w:rPr>
        <w:t xml:space="preserve">Calculated sphere diameter </w:t>
      </w:r>
      <w:proofErr w:type="spellStart"/>
      <w:r w:rsidR="00691168" w:rsidRPr="0047591C">
        <w:rPr>
          <w:rFonts w:cs="Arial"/>
          <w:bCs/>
          <w:i/>
          <w:iCs/>
        </w:rPr>
        <w:t>D</w:t>
      </w:r>
      <w:r w:rsidR="00691168" w:rsidRPr="000543B3">
        <w:rPr>
          <w:rFonts w:cs="Arial"/>
          <w:bCs/>
          <w:vertAlign w:val="subscript"/>
        </w:rPr>
        <w:t>Eq</w:t>
      </w:r>
      <w:proofErr w:type="spellEnd"/>
      <w:r w:rsidR="00691168" w:rsidRPr="000543B3">
        <w:rPr>
          <w:rFonts w:cs="Arial"/>
          <w:bCs/>
          <w:vertAlign w:val="subscript"/>
        </w:rPr>
        <w:t>. 3</w:t>
      </w:r>
      <w:r w:rsidR="00691168" w:rsidRPr="000543B3">
        <w:rPr>
          <w:rFonts w:cs="Arial"/>
          <w:bCs/>
        </w:rPr>
        <w:t xml:space="preserve"> </w:t>
      </w:r>
      <w:r w:rsidR="004B6FD1" w:rsidRPr="000543B3">
        <w:rPr>
          <w:rFonts w:cs="Arial"/>
          <w:bCs/>
        </w:rPr>
        <w:t>was obtained from</w:t>
      </w:r>
      <w:r w:rsidR="00A12F7F" w:rsidRPr="000543B3">
        <w:rPr>
          <w:rFonts w:cs="Arial"/>
          <w:bCs/>
        </w:rPr>
        <w:t xml:space="preserve"> the y-intercept of the </w:t>
      </w:r>
      <w:r w:rsidR="001541A1" w:rsidRPr="000543B3">
        <w:rPr>
          <w:rFonts w:cs="Arial"/>
          <w:bCs/>
        </w:rPr>
        <w:t xml:space="preserve">linear fits applied to each dataset in Fig. 1 (b) of the main text. </w:t>
      </w:r>
      <w:r w:rsidR="004B6FD1" w:rsidRPr="000543B3">
        <w:rPr>
          <w:rFonts w:cs="Arial"/>
          <w:bCs/>
        </w:rPr>
        <w:t xml:space="preserve">The </w:t>
      </w:r>
      <w:r w:rsidR="00AF7BA6" w:rsidRPr="000543B3">
        <w:rPr>
          <w:rFonts w:cs="Arial"/>
          <w:bCs/>
        </w:rPr>
        <w:t xml:space="preserve">calculated interplanar spacing was equated to the </w:t>
      </w:r>
      <w:r w:rsidR="00452980" w:rsidRPr="000543B3">
        <w:rPr>
          <w:rFonts w:cs="Arial"/>
          <w:bCs/>
        </w:rPr>
        <w:t xml:space="preserve">slope of each linear fit, where </w:t>
      </w:r>
      <w:proofErr w:type="spellStart"/>
      <w:r w:rsidR="0047591C">
        <w:rPr>
          <w:rFonts w:cs="Arial"/>
          <w:bCs/>
          <w:i/>
          <w:iCs/>
        </w:rPr>
        <w:t>D</w:t>
      </w:r>
      <w:r w:rsidR="00452980" w:rsidRPr="000543B3">
        <w:rPr>
          <w:rFonts w:cs="Arial"/>
          <w:bCs/>
          <w:vertAlign w:val="subscript"/>
        </w:rPr>
        <w:t>Eq</w:t>
      </w:r>
      <w:proofErr w:type="spellEnd"/>
      <w:r w:rsidR="00452980" w:rsidRPr="000543B3">
        <w:rPr>
          <w:rFonts w:cs="Arial"/>
          <w:bCs/>
          <w:vertAlign w:val="subscript"/>
        </w:rPr>
        <w:t>. 3</w:t>
      </w:r>
      <w:r w:rsidR="00452980" w:rsidRPr="000543B3">
        <w:rPr>
          <w:rFonts w:cs="Arial"/>
          <w:bCs/>
        </w:rPr>
        <w:t xml:space="preserve"> = </w:t>
      </w:r>
      <m:oMath>
        <m:rad>
          <m:radPr>
            <m:degHide m:val="1"/>
            <m:ctrlPr>
              <w:rPr>
                <w:rFonts w:ascii="Cambria Math" w:hAnsi="Cambria Math" w:cs="Times New Roman"/>
                <w:bCs/>
              </w:rPr>
            </m:ctrlPr>
          </m:radPr>
          <m:deg/>
          <m:e>
            <m:f>
              <m:fPr>
                <m:ctrlPr>
                  <w:rPr>
                    <w:rFonts w:ascii="Cambria Math" w:hAnsi="Cambria Math" w:cs="Times New Roman"/>
                    <w:bCs/>
                  </w:rPr>
                </m:ctrlPr>
              </m:fPr>
              <m:num>
                <m:r>
                  <m:rPr>
                    <m:sty m:val="p"/>
                  </m:rPr>
                  <w:rPr>
                    <w:rFonts w:ascii="Cambria Math" w:hAnsi="Cambria Math" w:cs="Times New Roman"/>
                  </w:rPr>
                  <m:t>3</m:t>
                </m:r>
              </m:num>
              <m:den>
                <m:r>
                  <m:rPr>
                    <m:sty m:val="p"/>
                  </m:rPr>
                  <w:rPr>
                    <w:rFonts w:ascii="Cambria Math" w:hAnsi="Cambria Math" w:cs="Times New Roman"/>
                  </w:rPr>
                  <m:t>2</m:t>
                </m:r>
              </m:den>
            </m:f>
          </m:e>
        </m:rad>
        <m:r>
          <m:rPr>
            <m:sty m:val="p"/>
          </m:rPr>
          <w:rPr>
            <w:rFonts w:ascii="Cambria Math" w:hAnsi="Cambria Math" w:cs="Times New Roman"/>
          </w:rPr>
          <m:t>D</m:t>
        </m:r>
      </m:oMath>
      <w:r w:rsidR="000543B3" w:rsidRPr="000543B3">
        <w:rPr>
          <w:rFonts w:eastAsiaTheme="minorEastAsia" w:cs="Arial"/>
        </w:rPr>
        <w:t>. Good</w:t>
      </w:r>
      <w:r w:rsidR="000543B3">
        <w:rPr>
          <w:rFonts w:eastAsiaTheme="minorEastAsia" w:cs="Arial"/>
        </w:rPr>
        <w:t xml:space="preserve"> agreement between data occurs at the higher two temperatures, while</w:t>
      </w:r>
      <w:r w:rsidR="007D728E">
        <w:rPr>
          <w:rFonts w:eastAsiaTheme="minorEastAsia" w:cs="Arial"/>
        </w:rPr>
        <w:t xml:space="preserve"> the lowest temperature shows a significant contrast in results. </w:t>
      </w:r>
      <w:r w:rsidR="000543B3">
        <w:rPr>
          <w:rFonts w:eastAsiaTheme="minorEastAsia" w:cs="Arial"/>
          <w:sz w:val="24"/>
          <w:szCs w:val="24"/>
        </w:rPr>
        <w:t xml:space="preserve"> </w:t>
      </w:r>
    </w:p>
    <w:p w14:paraId="6135C404" w14:textId="346EE13F" w:rsidR="00335BB7" w:rsidRPr="00452980" w:rsidRDefault="000543B3" w:rsidP="00335BB7">
      <w:pPr>
        <w:spacing w:line="480" w:lineRule="auto"/>
        <w:ind w:left="0"/>
        <w:jc w:val="center"/>
        <w:rPr>
          <w:rFonts w:cs="Arial"/>
        </w:rPr>
      </w:pPr>
      <w:r>
        <w:rPr>
          <w:rFonts w:cs="Arial"/>
        </w:rPr>
        <w:lastRenderedPageBreak/>
        <w:t xml:space="preserve"> </w:t>
      </w:r>
      <w:r w:rsidR="00335BB7" w:rsidRPr="00452980">
        <w:rPr>
          <w:rFonts w:cs="Arial"/>
          <w:noProof/>
        </w:rPr>
        <w:drawing>
          <wp:inline distT="0" distB="0" distL="0" distR="0" wp14:anchorId="0FCBA774" wp14:editId="6007E0CF">
            <wp:extent cx="6189214" cy="6444269"/>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15698" cy="6471845"/>
                    </a:xfrm>
                    <a:prstGeom prst="rect">
                      <a:avLst/>
                    </a:prstGeom>
                  </pic:spPr>
                </pic:pic>
              </a:graphicData>
            </a:graphic>
          </wp:inline>
        </w:drawing>
      </w:r>
    </w:p>
    <w:p w14:paraId="66ADAA83" w14:textId="17383E2D" w:rsidR="00335BB7" w:rsidRPr="00452980" w:rsidRDefault="00335BB7" w:rsidP="00335BB7">
      <w:pPr>
        <w:spacing w:line="240" w:lineRule="auto"/>
        <w:ind w:left="0"/>
        <w:rPr>
          <w:rFonts w:cs="Arial"/>
        </w:rPr>
      </w:pPr>
      <w:r w:rsidRPr="00452980">
        <w:rPr>
          <w:rFonts w:cs="Arial"/>
          <w:b/>
          <w:bCs/>
        </w:rPr>
        <w:t>Figure S</w:t>
      </w:r>
      <w:r w:rsidR="00E90DFD" w:rsidRPr="00452980">
        <w:rPr>
          <w:rFonts w:cs="Arial"/>
          <w:b/>
          <w:bCs/>
        </w:rPr>
        <w:t>4</w:t>
      </w:r>
      <w:r w:rsidRPr="00452980">
        <w:rPr>
          <w:rFonts w:cs="Arial"/>
          <w:b/>
          <w:bCs/>
        </w:rPr>
        <w:t xml:space="preserve">. </w:t>
      </w:r>
      <w:r w:rsidRPr="00452980">
        <w:rPr>
          <w:rFonts w:cs="Arial"/>
        </w:rPr>
        <w:t xml:space="preserve">Transmission spectra of opals obtained in the incident angle range of </w:t>
      </w:r>
      <w:r w:rsidR="00B248E0" w:rsidRPr="00452980">
        <w:rPr>
          <w:rFonts w:cs="Arial"/>
          <w:bCs/>
        </w:rPr>
        <w:t>0</w:t>
      </w:r>
      <w:r w:rsidR="00B248E0">
        <w:rPr>
          <w:rFonts w:cs="Arial"/>
          <w:bCs/>
        </w:rPr>
        <w:t xml:space="preserve"> – </w:t>
      </w:r>
      <w:r w:rsidR="00B248E0" w:rsidRPr="00452980">
        <w:rPr>
          <w:rFonts w:cs="Arial"/>
          <w:bCs/>
        </w:rPr>
        <w:t>25</w:t>
      </w:r>
      <w:r w:rsidR="00B248E0">
        <w:rPr>
          <w:rFonts w:cs="Arial"/>
        </w:rPr>
        <w:sym w:font="Symbol" w:char="F0B0"/>
      </w:r>
      <w:r w:rsidR="00B248E0">
        <w:rPr>
          <w:rFonts w:cs="Arial"/>
        </w:rPr>
        <w:t xml:space="preserve"> </w:t>
      </w:r>
      <w:r w:rsidRPr="00452980">
        <w:rPr>
          <w:rFonts w:cs="Arial"/>
        </w:rPr>
        <w:t xml:space="preserve">relative to the normal to the (111) plane of an fcc lattice. Evaporation temperatures are 28 </w:t>
      </w:r>
      <w:r w:rsidR="00B248E0">
        <w:rPr>
          <w:rFonts w:cs="Arial"/>
        </w:rPr>
        <w:sym w:font="Symbol" w:char="F0B0"/>
      </w:r>
      <w:r w:rsidRPr="00452980">
        <w:rPr>
          <w:rFonts w:cs="Arial"/>
        </w:rPr>
        <w:t xml:space="preserve">C, 31 </w:t>
      </w:r>
      <w:r w:rsidR="00B248E0">
        <w:rPr>
          <w:rFonts w:cs="Arial"/>
        </w:rPr>
        <w:sym w:font="Symbol" w:char="F0B0"/>
      </w:r>
      <w:r w:rsidRPr="00452980">
        <w:rPr>
          <w:rFonts w:cs="Arial"/>
        </w:rPr>
        <w:t xml:space="preserve">C, 34 </w:t>
      </w:r>
      <w:r w:rsidR="00B248E0">
        <w:rPr>
          <w:rFonts w:cs="Arial"/>
        </w:rPr>
        <w:sym w:font="Symbol" w:char="F0B0"/>
      </w:r>
      <w:r w:rsidRPr="00452980">
        <w:rPr>
          <w:rFonts w:cs="Arial"/>
        </w:rPr>
        <w:t>C, increasing from columns 1-3. Sphere solution volume fractions: (a)-(c) 0.</w:t>
      </w:r>
      <w:r w:rsidR="0088111D" w:rsidRPr="00452980">
        <w:rPr>
          <w:rFonts w:cs="Arial"/>
        </w:rPr>
        <w:t>1</w:t>
      </w:r>
      <w:r w:rsidRPr="00452980">
        <w:rPr>
          <w:rFonts w:cs="Arial"/>
        </w:rPr>
        <w:t>25%, (d)-(f) 0.06</w:t>
      </w:r>
      <w:r w:rsidR="00E563DA" w:rsidRPr="00452980">
        <w:rPr>
          <w:rFonts w:cs="Arial"/>
        </w:rPr>
        <w:t>3</w:t>
      </w:r>
      <w:r w:rsidRPr="00452980">
        <w:rPr>
          <w:rFonts w:cs="Arial"/>
        </w:rPr>
        <w:t>% (g)-(i) 0.042%, (j)-(l) 0.031%, (m)-(o) 0.025%.</w:t>
      </w:r>
    </w:p>
    <w:p w14:paraId="2F73545C" w14:textId="77777777" w:rsidR="00335BB7" w:rsidRPr="00452980" w:rsidRDefault="00335BB7" w:rsidP="00335BB7">
      <w:pPr>
        <w:spacing w:line="480" w:lineRule="auto"/>
        <w:ind w:left="0"/>
        <w:rPr>
          <w:rFonts w:cs="Arial"/>
        </w:rPr>
      </w:pPr>
      <w:r w:rsidRPr="00452980">
        <w:rPr>
          <w:rFonts w:cs="Arial"/>
        </w:rPr>
        <w:tab/>
      </w:r>
    </w:p>
    <w:p w14:paraId="76780F0E" w14:textId="72827BB5" w:rsidR="00335BB7" w:rsidRPr="00452980" w:rsidRDefault="00335BB7" w:rsidP="00335BB7">
      <w:pPr>
        <w:spacing w:before="240" w:line="480" w:lineRule="auto"/>
        <w:ind w:left="0" w:firstLine="720"/>
        <w:rPr>
          <w:rFonts w:cs="Arial"/>
        </w:rPr>
      </w:pPr>
      <w:r w:rsidRPr="00452980">
        <w:rPr>
          <w:rFonts w:cs="Arial"/>
        </w:rPr>
        <w:t>Transmission spectra for opals grown under all investigated volume fractions and evaporation rates in the incident angle range of 0</w:t>
      </w:r>
      <w:r w:rsidR="001A7546">
        <w:rPr>
          <w:rFonts w:cs="Arial"/>
        </w:rPr>
        <w:t xml:space="preserve"> – </w:t>
      </w:r>
      <w:r w:rsidRPr="00452980">
        <w:rPr>
          <w:rFonts w:cs="Arial"/>
        </w:rPr>
        <w:t>25</w:t>
      </w:r>
      <w:r w:rsidR="00B248E0">
        <w:rPr>
          <w:rFonts w:cs="Arial"/>
        </w:rPr>
        <w:sym w:font="Symbol" w:char="F0B0"/>
      </w:r>
      <w:r w:rsidRPr="00452980">
        <w:rPr>
          <w:rFonts w:cs="Arial"/>
        </w:rPr>
        <w:t xml:space="preserve"> are shown in Fig</w:t>
      </w:r>
      <w:r w:rsidR="00694DB2" w:rsidRPr="00452980">
        <w:rPr>
          <w:rFonts w:cs="Arial"/>
        </w:rPr>
        <w:t>.</w:t>
      </w:r>
      <w:r w:rsidRPr="00452980">
        <w:rPr>
          <w:rFonts w:cs="Arial"/>
        </w:rPr>
        <w:t xml:space="preserve"> S2. In all cases, the primary stopband corresponding to the photonic band gap (PBG) is observed. The PBG is blue shifted as incident angle increases. Transmission level at the </w:t>
      </w:r>
      <w:proofErr w:type="spellStart"/>
      <w:r w:rsidRPr="00452980">
        <w:rPr>
          <w:rFonts w:cs="Arial"/>
        </w:rPr>
        <w:t>center</w:t>
      </w:r>
      <w:proofErr w:type="spellEnd"/>
      <w:r w:rsidRPr="00452980">
        <w:rPr>
          <w:rFonts w:cs="Arial"/>
        </w:rPr>
        <w:t xml:space="preserve"> of the PBG decreases with increasing volume fraction and hence thickness. </w:t>
      </w:r>
    </w:p>
    <w:p w14:paraId="6B055B4A" w14:textId="77777777" w:rsidR="00152F1F" w:rsidRPr="00452980" w:rsidRDefault="00152F1F" w:rsidP="00152F1F">
      <w:pPr>
        <w:spacing w:line="480" w:lineRule="auto"/>
        <w:ind w:left="0"/>
        <w:jc w:val="center"/>
        <w:rPr>
          <w:rFonts w:cs="Arial"/>
        </w:rPr>
      </w:pPr>
      <w:r w:rsidRPr="00452980">
        <w:rPr>
          <w:rFonts w:cs="Arial"/>
          <w:noProof/>
        </w:rPr>
        <w:lastRenderedPageBreak/>
        <w:drawing>
          <wp:inline distT="0" distB="0" distL="0" distR="0" wp14:anchorId="63033553" wp14:editId="0D21AAFD">
            <wp:extent cx="5458475" cy="5691116"/>
            <wp:effectExtent l="0" t="0" r="889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66771" cy="5699765"/>
                    </a:xfrm>
                    <a:prstGeom prst="rect">
                      <a:avLst/>
                    </a:prstGeom>
                  </pic:spPr>
                </pic:pic>
              </a:graphicData>
            </a:graphic>
          </wp:inline>
        </w:drawing>
      </w:r>
    </w:p>
    <w:p w14:paraId="478C0E08" w14:textId="5AB48017" w:rsidR="00152F1F" w:rsidRPr="00452980" w:rsidRDefault="00152F1F" w:rsidP="00152F1F">
      <w:pPr>
        <w:spacing w:line="240" w:lineRule="auto"/>
        <w:ind w:left="0"/>
        <w:rPr>
          <w:rFonts w:cs="Arial"/>
        </w:rPr>
      </w:pPr>
      <w:r w:rsidRPr="00452980">
        <w:rPr>
          <w:rFonts w:cs="Arial"/>
          <w:b/>
          <w:bCs/>
        </w:rPr>
        <w:t xml:space="preserve">Figure S5. </w:t>
      </w:r>
      <w:r w:rsidRPr="00452980">
        <w:rPr>
          <w:rFonts w:cs="Arial"/>
        </w:rPr>
        <w:t xml:space="preserve">Size distributions for opals grown from sphere solutions with a nominal sphere diameter of 370 nm. Evaporation temperatures are 28 </w:t>
      </w:r>
      <w:r w:rsidR="00B248E0">
        <w:rPr>
          <w:rFonts w:cs="Arial"/>
        </w:rPr>
        <w:sym w:font="Symbol" w:char="F0B0"/>
      </w:r>
      <w:r w:rsidRPr="00452980">
        <w:rPr>
          <w:rFonts w:cs="Arial"/>
        </w:rPr>
        <w:t xml:space="preserve">C, 31 </w:t>
      </w:r>
      <w:r w:rsidR="00B248E0">
        <w:rPr>
          <w:rFonts w:cs="Arial"/>
        </w:rPr>
        <w:sym w:font="Symbol" w:char="F0B0"/>
      </w:r>
      <w:r w:rsidRPr="00452980">
        <w:rPr>
          <w:rFonts w:cs="Arial"/>
        </w:rPr>
        <w:t xml:space="preserve">C, 34 </w:t>
      </w:r>
      <w:r w:rsidR="00B248E0">
        <w:rPr>
          <w:rFonts w:cs="Arial"/>
        </w:rPr>
        <w:sym w:font="Symbol" w:char="F0B0"/>
      </w:r>
      <w:r w:rsidRPr="00452980">
        <w:rPr>
          <w:rFonts w:cs="Arial"/>
        </w:rPr>
        <w:t>C, increasing from columns 1-3. Sphere solution volume fractions: (a)-(c) 0.125%, (d)-(f) 0.063% (g)-(i) 0.042%, (j)-(l) 0.031%, (m)-(o) 0.025%.</w:t>
      </w:r>
    </w:p>
    <w:p w14:paraId="648ECF1D" w14:textId="77777777" w:rsidR="00152F1F" w:rsidRPr="00452980" w:rsidRDefault="00152F1F" w:rsidP="00335BB7">
      <w:pPr>
        <w:spacing w:before="240" w:line="480" w:lineRule="auto"/>
        <w:ind w:left="0" w:firstLine="720"/>
        <w:rPr>
          <w:rFonts w:cs="Arial"/>
          <w:color w:val="00B050"/>
        </w:rPr>
      </w:pPr>
    </w:p>
    <w:p w14:paraId="76E690C8" w14:textId="77777777" w:rsidR="00335BB7" w:rsidRPr="00452980" w:rsidRDefault="00335BB7" w:rsidP="00335BB7">
      <w:pPr>
        <w:spacing w:line="480" w:lineRule="auto"/>
        <w:ind w:left="0"/>
        <w:jc w:val="center"/>
        <w:rPr>
          <w:rFonts w:cs="Arial"/>
        </w:rPr>
      </w:pPr>
      <w:r w:rsidRPr="00452980">
        <w:rPr>
          <w:rFonts w:cs="Arial"/>
          <w:noProof/>
        </w:rPr>
        <w:drawing>
          <wp:inline distT="0" distB="0" distL="0" distR="0" wp14:anchorId="45B1E6F6" wp14:editId="03350374">
            <wp:extent cx="4089400" cy="1748283"/>
            <wp:effectExtent l="0" t="0" r="635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118023" cy="1760520"/>
                    </a:xfrm>
                    <a:prstGeom prst="rect">
                      <a:avLst/>
                    </a:prstGeom>
                    <a:noFill/>
                    <a:ln>
                      <a:noFill/>
                    </a:ln>
                  </pic:spPr>
                </pic:pic>
              </a:graphicData>
            </a:graphic>
          </wp:inline>
        </w:drawing>
      </w:r>
    </w:p>
    <w:p w14:paraId="064D3CE0" w14:textId="59C02066" w:rsidR="00335BB7" w:rsidRPr="00452980" w:rsidRDefault="00335BB7" w:rsidP="00335BB7">
      <w:pPr>
        <w:spacing w:line="240" w:lineRule="auto"/>
        <w:ind w:left="0"/>
        <w:rPr>
          <w:rFonts w:cs="Arial"/>
        </w:rPr>
      </w:pPr>
      <w:r w:rsidRPr="00452980">
        <w:rPr>
          <w:rFonts w:cs="Arial"/>
          <w:b/>
          <w:bCs/>
        </w:rPr>
        <w:t>Figure S</w:t>
      </w:r>
      <w:r w:rsidR="00AB289A" w:rsidRPr="00452980">
        <w:rPr>
          <w:rFonts w:cs="Arial"/>
          <w:b/>
          <w:bCs/>
        </w:rPr>
        <w:t>6</w:t>
      </w:r>
      <w:r w:rsidRPr="00452980">
        <w:rPr>
          <w:rFonts w:cs="Arial"/>
          <w:b/>
          <w:bCs/>
        </w:rPr>
        <w:t xml:space="preserve">. </w:t>
      </w:r>
      <w:r w:rsidRPr="00452980">
        <w:rPr>
          <w:rFonts w:cs="Arial"/>
        </w:rPr>
        <w:t xml:space="preserve">(a) Schematic of the determination of opal thickness. (b) Sample cross-sectional SEM image illustrating the method used to acquire thickness measurements. </w:t>
      </w:r>
    </w:p>
    <w:p w14:paraId="730BB7E8" w14:textId="0B60CEC5" w:rsidR="00335BB7" w:rsidRPr="00452980" w:rsidRDefault="00335BB7" w:rsidP="0042691E">
      <w:pPr>
        <w:spacing w:line="480" w:lineRule="auto"/>
        <w:ind w:left="0" w:firstLine="720"/>
        <w:rPr>
          <w:rFonts w:cs="Arial"/>
        </w:rPr>
      </w:pPr>
      <w:r w:rsidRPr="00452980">
        <w:rPr>
          <w:rFonts w:cs="Arial"/>
        </w:rPr>
        <w:lastRenderedPageBreak/>
        <w:t>Thickness measurements were obtained using cross-sectional SEM images. The mathematical method used to determine the actual thickness is shown in Fig</w:t>
      </w:r>
      <w:r w:rsidR="00694DB2" w:rsidRPr="00452980">
        <w:rPr>
          <w:rFonts w:cs="Arial"/>
        </w:rPr>
        <w:t>.</w:t>
      </w:r>
      <w:r w:rsidRPr="00452980">
        <w:rPr>
          <w:rFonts w:cs="Arial"/>
        </w:rPr>
        <w:t xml:space="preserve"> S</w:t>
      </w:r>
      <w:r w:rsidR="00AB289A" w:rsidRPr="00452980">
        <w:rPr>
          <w:rFonts w:cs="Arial"/>
        </w:rPr>
        <w:t>6</w:t>
      </w:r>
      <w:r w:rsidRPr="00452980">
        <w:rPr>
          <w:rFonts w:cs="Arial"/>
        </w:rPr>
        <w:t xml:space="preserve"> (a), out detailed in the Experimental section of the main text. A sample image is shown as an example in Fig</w:t>
      </w:r>
      <w:r w:rsidR="00694DB2" w:rsidRPr="00452980">
        <w:rPr>
          <w:rFonts w:cs="Arial"/>
        </w:rPr>
        <w:t>.</w:t>
      </w:r>
      <w:r w:rsidRPr="00452980">
        <w:rPr>
          <w:rFonts w:cs="Arial"/>
        </w:rPr>
        <w:t xml:space="preserve"> S</w:t>
      </w:r>
      <w:r w:rsidR="00AB289A" w:rsidRPr="00452980">
        <w:rPr>
          <w:rFonts w:cs="Arial"/>
        </w:rPr>
        <w:t>6</w:t>
      </w:r>
      <w:r w:rsidRPr="00452980">
        <w:rPr>
          <w:rFonts w:cs="Arial"/>
        </w:rPr>
        <w:t xml:space="preserve"> (b). The white lines depict where the line measurement </w:t>
      </w:r>
      <w:r w:rsidRPr="007A1E77">
        <w:rPr>
          <w:rFonts w:cs="Arial"/>
          <w:i/>
          <w:iCs/>
        </w:rPr>
        <w:t>L</w:t>
      </w:r>
      <w:r w:rsidRPr="00452980">
        <w:rPr>
          <w:rFonts w:cs="Arial"/>
        </w:rPr>
        <w:t xml:space="preserve"> was </w:t>
      </w:r>
      <w:r w:rsidR="00505768" w:rsidRPr="00452980">
        <w:rPr>
          <w:rFonts w:cs="Arial"/>
        </w:rPr>
        <w:t>determined.</w:t>
      </w:r>
      <w:r w:rsidRPr="00452980">
        <w:rPr>
          <w:rFonts w:cs="Arial"/>
        </w:rPr>
        <w:t xml:space="preserve"> </w:t>
      </w:r>
    </w:p>
    <w:p w14:paraId="6A56E506" w14:textId="77A91A2A" w:rsidR="00324507" w:rsidRPr="00452980" w:rsidRDefault="00324507" w:rsidP="00324507">
      <w:pPr>
        <w:spacing w:line="480" w:lineRule="auto"/>
        <w:ind w:left="0" w:firstLine="720"/>
        <w:rPr>
          <w:rFonts w:cs="Arial"/>
        </w:rPr>
      </w:pPr>
      <w:r w:rsidRPr="00452980">
        <w:rPr>
          <w:rFonts w:cs="Arial"/>
        </w:rPr>
        <w:t>Experimental detection of the PBG, along with any other stopbands which occur in a photonic crystal, can be performed across the full range of the electromagnetic spectrum. Photonic stopbands commonly refer to frequencies from the UV to IR range. However, the iridescent colours characteristic of photonic crystals can only be observed if the stopbands occur in the visible region of the spectrum which is 380 nm – 740 nm.</w:t>
      </w:r>
      <w:r w:rsidRPr="00452980">
        <w:rPr>
          <w:rFonts w:cs="Arial"/>
        </w:rPr>
        <w:fldChar w:fldCharType="begin"/>
      </w:r>
      <w:r w:rsidRPr="00452980">
        <w:rPr>
          <w:rFonts w:cs="Arial"/>
        </w:rPr>
        <w:instrText xml:space="preserve"> ADDIN EN.CITE &lt;EndNote&gt;&lt;Cite&gt;&lt;Author&gt;Vogel&lt;/Author&gt;&lt;Year&gt;2015&lt;/Year&gt;&lt;RecNum&gt;73&lt;/RecNum&gt;&lt;DisplayText&gt;&lt;style face="superscript"&gt;1&lt;/style&gt;&lt;/DisplayText&gt;&lt;record&gt;&lt;rec-number&gt;73&lt;/rec-number&gt;&lt;foreign-keys&gt;&lt;key app="EN" db-id="zszzfx2xx9zdx2e9f9pvxfdfrts9zzzasddx" timestamp="1662464818"&gt;73&lt;/key&gt;&lt;/foreign-keys&gt;&lt;ref-type name="Journal Article"&gt;17&lt;/ref-type&gt;&lt;contributors&gt;&lt;authors&gt;&lt;author&gt;Vogel, Nicolas&lt;/author&gt;&lt;author&gt;Utech, Stefanie&lt;/author&gt;&lt;author&gt;England, Grant T.&lt;/author&gt;&lt;author&gt;Shirman, Tanya&lt;/author&gt;&lt;author&gt;Phillips, Katherine R.&lt;/author&gt;&lt;author&gt;Koay, Natalie&lt;/author&gt;&lt;author&gt;Burgess, Ian B.&lt;/author&gt;&lt;author&gt;Kolle, Mathias&lt;/author&gt;&lt;author&gt;Weitz, David A.&lt;/author&gt;&lt;author&gt;Aizenberg, Joanna&lt;/author&gt;&lt;/authors&gt;&lt;/contributors&gt;&lt;titles&gt;&lt;title&gt;Color from hierarchy: Diverse optical properties of micron-sized spherical colloidal assemblies&lt;/title&gt;&lt;secondary-title&gt;Proceedings of the National Academy of Sciences&lt;/secondary-title&gt;&lt;/titles&gt;&lt;periodical&gt;&lt;full-title&gt;Proceedings of the National Academy of Sciences&lt;/full-title&gt;&lt;/periodical&gt;&lt;pages&gt;10845-10850&lt;/pages&gt;&lt;volume&gt;112&lt;/volume&gt;&lt;number&gt;35&lt;/number&gt;&lt;dates&gt;&lt;year&gt;2015&lt;/year&gt;&lt;/dates&gt;&lt;urls&gt;&lt;related-urls&gt;&lt;url&gt;https://www.pnas.org/content/pnas/112/35/10845.full.pdf&lt;/url&gt;&lt;/related-urls&gt;&lt;/urls&gt;&lt;electronic-resource-num&gt;10.1073/pnas.1506272112&lt;/electronic-resource-num&gt;&lt;/record&gt;&lt;/Cite&gt;&lt;/EndNote&gt;</w:instrText>
      </w:r>
      <w:r w:rsidRPr="00452980">
        <w:rPr>
          <w:rFonts w:cs="Arial"/>
        </w:rPr>
        <w:fldChar w:fldCharType="separate"/>
      </w:r>
      <w:r w:rsidRPr="00452980">
        <w:rPr>
          <w:rFonts w:cs="Arial"/>
          <w:noProof/>
          <w:vertAlign w:val="superscript"/>
        </w:rPr>
        <w:t>1</w:t>
      </w:r>
      <w:r w:rsidRPr="00452980">
        <w:rPr>
          <w:rFonts w:cs="Arial"/>
        </w:rPr>
        <w:fldChar w:fldCharType="end"/>
      </w:r>
      <w:r w:rsidRPr="00452980">
        <w:rPr>
          <w:rFonts w:cs="Arial"/>
        </w:rPr>
        <w:t xml:space="preserve"> Analysis shows that there is little change in the position of the PBG for opals formed under each set of conditions which can be attributed to their ordered nature and the narrow size distributions. For opals grown here from sphere solutions with a nominal diameter of 370 nm, the PBG lies between 890 nm and 901 nm at normal incidence, corresponding to the near-IR region of the electromagnetic spectrum. A stopband in this range can make no contribution to the observed </w:t>
      </w:r>
      <w:proofErr w:type="spellStart"/>
      <w:r w:rsidRPr="00452980">
        <w:rPr>
          <w:rFonts w:cs="Arial"/>
        </w:rPr>
        <w:t>color</w:t>
      </w:r>
      <w:proofErr w:type="spellEnd"/>
      <w:r w:rsidRPr="00452980">
        <w:rPr>
          <w:rFonts w:cs="Arial"/>
        </w:rPr>
        <w:t xml:space="preserve"> in the visible range. Instead, the structural colour of the samples can be explained using Bragg-Snell theory for second order reflections. </w:t>
      </w:r>
    </w:p>
    <w:p w14:paraId="499CE3D5" w14:textId="24811F0B" w:rsidR="00335BB7" w:rsidRPr="00452980" w:rsidRDefault="00335BB7" w:rsidP="00335BB7">
      <w:pPr>
        <w:spacing w:line="480" w:lineRule="auto"/>
        <w:ind w:left="0" w:firstLine="720"/>
        <w:rPr>
          <w:rFonts w:cs="Arial"/>
        </w:rPr>
      </w:pPr>
      <w:r w:rsidRPr="00452980">
        <w:rPr>
          <w:rFonts w:cs="Arial"/>
        </w:rPr>
        <w:t xml:space="preserve">While the FCC dominant stacking arrangement causing the (111) transmission dip which forms the PBG is evident throughout this work, secondary Bragg reflections can also be observed in transmission spectra acquired. </w:t>
      </w:r>
      <w:r w:rsidR="00880E4C">
        <w:rPr>
          <w:rFonts w:cs="Arial"/>
        </w:rPr>
        <w:t>A</w:t>
      </w:r>
      <w:r w:rsidRPr="00452980">
        <w:rPr>
          <w:rFonts w:cs="Arial"/>
        </w:rPr>
        <w:t xml:space="preserve"> sharp increase in transmission can be observed at ~ </w:t>
      </w:r>
      <w:r w:rsidR="00D23547">
        <w:rPr>
          <w:rFonts w:cs="Arial"/>
        </w:rPr>
        <w:t>485</w:t>
      </w:r>
      <w:r w:rsidRPr="00452980">
        <w:rPr>
          <w:rFonts w:cs="Arial"/>
        </w:rPr>
        <w:t xml:space="preserve"> nm</w:t>
      </w:r>
      <w:r w:rsidR="004F40F7">
        <w:rPr>
          <w:rFonts w:cs="Arial"/>
        </w:rPr>
        <w:t>, following higher order transmission dips from the (220) planes</w:t>
      </w:r>
      <w:r w:rsidRPr="00452980">
        <w:rPr>
          <w:rFonts w:cs="Arial"/>
        </w:rPr>
        <w:t xml:space="preserve">. Here, the secondary transmission dips are fully formed only for the two lowest volume fractions with a central wavelength of ~ </w:t>
      </w:r>
      <w:r w:rsidR="004F40F7">
        <w:rPr>
          <w:rFonts w:cs="Arial"/>
        </w:rPr>
        <w:t>500</w:t>
      </w:r>
      <w:r w:rsidRPr="00452980">
        <w:rPr>
          <w:rFonts w:cs="Arial"/>
        </w:rPr>
        <w:t xml:space="preserve"> nm. For the three higher volume fractions, the dips are suppressed. We evaluate the transmission dips for low volume fractions as the result of secondary Bragg reflections due to the most common form of disorder observed in opals, which are stacking faults. We evaluate the disappearance of the transmission dips at higher volume fractions to the attenuation of propagating light in this frequency range as a function of crystal thickness like that experienced by the primary Bragg reflection which constitutes the PBG.</w:t>
      </w:r>
    </w:p>
    <w:p w14:paraId="1C678180" w14:textId="403D337C" w:rsidR="00335BB7" w:rsidRPr="00452980" w:rsidRDefault="004F40F7" w:rsidP="00231148">
      <w:pPr>
        <w:spacing w:line="480" w:lineRule="auto"/>
        <w:ind w:left="0" w:firstLine="720"/>
        <w:rPr>
          <w:rFonts w:cs="Arial"/>
        </w:rPr>
      </w:pPr>
      <w:r>
        <w:rPr>
          <w:rFonts w:cs="Arial"/>
        </w:rPr>
        <w:t>C</w:t>
      </w:r>
      <w:r w:rsidR="00335BB7" w:rsidRPr="00452980">
        <w:rPr>
          <w:rFonts w:cs="Arial"/>
        </w:rPr>
        <w:t xml:space="preserve">alculations </w:t>
      </w:r>
      <w:r w:rsidR="007A666D">
        <w:rPr>
          <w:rFonts w:cs="Arial"/>
        </w:rPr>
        <w:t>in the main text</w:t>
      </w:r>
      <w:r w:rsidR="00335BB7" w:rsidRPr="00452980">
        <w:rPr>
          <w:rFonts w:cs="Arial"/>
        </w:rPr>
        <w:t xml:space="preserve"> have been performed only for reflected frequencies based on growth perpendicular to the (111) plane of an fcc lattice. Secondary Bragg reflections are a result of the interaction of propagating light with alternative lattice planes. Consequently, a correct model for secondary Bragg reflections must incorporate the orientation of the corresponding lattice plane to the (111) lattice plane. The angle α between two such planes defined by the miller indices (</w:t>
      </w:r>
      <w:r w:rsidR="00335BB7" w:rsidRPr="00524B34">
        <w:rPr>
          <w:rFonts w:cs="Arial"/>
          <w:i/>
          <w:iCs/>
        </w:rPr>
        <w:t>h</w:t>
      </w:r>
      <w:r w:rsidR="00335BB7" w:rsidRPr="00452980">
        <w:rPr>
          <w:rFonts w:cs="Arial"/>
          <w:vertAlign w:val="subscript"/>
        </w:rPr>
        <w:t>1</w:t>
      </w:r>
      <w:r w:rsidR="00335BB7" w:rsidRPr="00524B34">
        <w:rPr>
          <w:rFonts w:cs="Arial"/>
          <w:i/>
          <w:iCs/>
        </w:rPr>
        <w:t>k</w:t>
      </w:r>
      <w:r w:rsidR="00335BB7" w:rsidRPr="00452980">
        <w:rPr>
          <w:rFonts w:cs="Arial"/>
          <w:vertAlign w:val="subscript"/>
        </w:rPr>
        <w:t>1</w:t>
      </w:r>
      <w:r w:rsidR="00335BB7" w:rsidRPr="00524B34">
        <w:rPr>
          <w:rFonts w:cs="Arial"/>
          <w:i/>
          <w:iCs/>
        </w:rPr>
        <w:t>l</w:t>
      </w:r>
      <w:r w:rsidR="00335BB7" w:rsidRPr="00452980">
        <w:rPr>
          <w:rFonts w:cs="Arial"/>
          <w:vertAlign w:val="subscript"/>
        </w:rPr>
        <w:t>1</w:t>
      </w:r>
      <w:r w:rsidR="00335BB7" w:rsidRPr="00452980">
        <w:rPr>
          <w:rFonts w:cs="Arial"/>
        </w:rPr>
        <w:t>) and (</w:t>
      </w:r>
      <w:r w:rsidR="00335BB7" w:rsidRPr="00524B34">
        <w:rPr>
          <w:rFonts w:cs="Arial"/>
          <w:i/>
          <w:iCs/>
        </w:rPr>
        <w:t>h</w:t>
      </w:r>
      <w:r w:rsidR="00335BB7" w:rsidRPr="00452980">
        <w:rPr>
          <w:rFonts w:cs="Arial"/>
          <w:vertAlign w:val="subscript"/>
        </w:rPr>
        <w:t>2</w:t>
      </w:r>
      <w:r w:rsidR="00335BB7" w:rsidRPr="00524B34">
        <w:rPr>
          <w:rFonts w:cs="Arial"/>
          <w:i/>
          <w:iCs/>
        </w:rPr>
        <w:t>k</w:t>
      </w:r>
      <w:r w:rsidR="00335BB7" w:rsidRPr="00452980">
        <w:rPr>
          <w:rFonts w:cs="Arial"/>
          <w:vertAlign w:val="subscript"/>
        </w:rPr>
        <w:t>2</w:t>
      </w:r>
      <w:r w:rsidR="00335BB7" w:rsidRPr="00524B34">
        <w:rPr>
          <w:rFonts w:cs="Arial"/>
          <w:i/>
          <w:iCs/>
        </w:rPr>
        <w:t>l</w:t>
      </w:r>
      <w:r w:rsidR="00335BB7" w:rsidRPr="00452980">
        <w:rPr>
          <w:rFonts w:cs="Arial"/>
          <w:vertAlign w:val="subscript"/>
        </w:rPr>
        <w:t>2</w:t>
      </w:r>
      <w:r w:rsidR="00335BB7" w:rsidRPr="00452980">
        <w:rPr>
          <w:rFonts w:cs="Arial"/>
        </w:rPr>
        <w:t>) can be calculated using</w:t>
      </w:r>
    </w:p>
    <w:p w14:paraId="6BBD4665" w14:textId="20650DAB" w:rsidR="007F7F0B" w:rsidRPr="00452980" w:rsidRDefault="00452980" w:rsidP="00231148">
      <w:pPr>
        <w:spacing w:line="480" w:lineRule="auto"/>
        <w:ind w:left="2880" w:firstLine="720"/>
        <w:jc w:val="center"/>
        <w:rPr>
          <w:bCs/>
        </w:rPr>
      </w:pPr>
      <m:oMath>
        <m:r>
          <m:rPr>
            <m:sty m:val="p"/>
          </m:rPr>
          <w:rPr>
            <w:rFonts w:ascii="Cambria Math" w:hAnsi="Cambria Math"/>
            <w:vertAlign w:val="subscript"/>
          </w:rPr>
          <w:lastRenderedPageBreak/>
          <m:t>α</m:t>
        </m:r>
        <m:r>
          <m:rPr>
            <m:sty m:val="p"/>
          </m:rPr>
          <w:rPr>
            <w:rFonts w:ascii="Cambria Math" w:hAnsi="Cambria Math"/>
            <w:color w:val="000000" w:themeColor="text1"/>
            <w:vertAlign w:val="subscript"/>
          </w:rPr>
          <m:t>=</m:t>
        </m:r>
        <m:func>
          <m:funcPr>
            <m:ctrlPr>
              <w:rPr>
                <w:rFonts w:ascii="Cambria Math" w:hAnsi="Cambria Math"/>
                <w:bCs/>
                <w:vertAlign w:val="subscript"/>
              </w:rPr>
            </m:ctrlPr>
          </m:funcPr>
          <m:fName>
            <m:sSup>
              <m:sSupPr>
                <m:ctrlPr>
                  <w:rPr>
                    <w:rFonts w:ascii="Cambria Math" w:hAnsi="Cambria Math"/>
                    <w:bCs/>
                    <w:vertAlign w:val="subscript"/>
                  </w:rPr>
                </m:ctrlPr>
              </m:sSupPr>
              <m:e>
                <m:r>
                  <m:rPr>
                    <m:sty m:val="p"/>
                  </m:rPr>
                  <w:rPr>
                    <w:rFonts w:ascii="Cambria Math" w:hAnsi="Cambria Math"/>
                    <w:vertAlign w:val="subscript"/>
                  </w:rPr>
                  <m:t>cos</m:t>
                </m:r>
              </m:e>
              <m:sup>
                <m:r>
                  <m:rPr>
                    <m:sty m:val="p"/>
                  </m:rPr>
                  <w:rPr>
                    <w:rFonts w:ascii="Cambria Math" w:hAnsi="Cambria Math"/>
                    <w:vertAlign w:val="subscript"/>
                  </w:rPr>
                  <m:t>-1</m:t>
                </m:r>
              </m:sup>
            </m:sSup>
          </m:fName>
          <m:e>
            <m:d>
              <m:dPr>
                <m:ctrlPr>
                  <w:rPr>
                    <w:rFonts w:ascii="Cambria Math" w:hAnsi="Cambria Math"/>
                    <w:bCs/>
                    <w:vertAlign w:val="subscript"/>
                  </w:rPr>
                </m:ctrlPr>
              </m:dPr>
              <m:e>
                <m:f>
                  <m:fPr>
                    <m:ctrlPr>
                      <w:rPr>
                        <w:rFonts w:ascii="Cambria Math" w:hAnsi="Cambria Math"/>
                        <w:bCs/>
                        <w:vertAlign w:val="subscript"/>
                      </w:rPr>
                    </m:ctrlPr>
                  </m:fPr>
                  <m:num>
                    <m:sSub>
                      <m:sSubPr>
                        <m:ctrlPr>
                          <w:rPr>
                            <w:rFonts w:ascii="Cambria Math" w:hAnsi="Cambria Math"/>
                            <w:bCs/>
                            <w:vertAlign w:val="subscript"/>
                          </w:rPr>
                        </m:ctrlPr>
                      </m:sSubPr>
                      <m:e>
                        <m:r>
                          <m:rPr>
                            <m:sty m:val="p"/>
                          </m:rPr>
                          <w:rPr>
                            <w:rFonts w:ascii="Cambria Math" w:hAnsi="Cambria Math"/>
                            <w:vertAlign w:val="subscript"/>
                          </w:rPr>
                          <m:t>h</m:t>
                        </m:r>
                      </m:e>
                      <m:sub>
                        <m:r>
                          <m:rPr>
                            <m:sty m:val="p"/>
                          </m:rPr>
                          <w:rPr>
                            <w:rFonts w:ascii="Cambria Math" w:hAnsi="Cambria Math"/>
                            <w:vertAlign w:val="subscript"/>
                          </w:rPr>
                          <m:t>1</m:t>
                        </m:r>
                      </m:sub>
                    </m:sSub>
                    <m:sSub>
                      <m:sSubPr>
                        <m:ctrlPr>
                          <w:rPr>
                            <w:rFonts w:ascii="Cambria Math" w:hAnsi="Cambria Math"/>
                            <w:bCs/>
                            <w:vertAlign w:val="subscript"/>
                          </w:rPr>
                        </m:ctrlPr>
                      </m:sSubPr>
                      <m:e>
                        <m:r>
                          <m:rPr>
                            <m:sty m:val="p"/>
                          </m:rPr>
                          <w:rPr>
                            <w:rFonts w:ascii="Cambria Math" w:hAnsi="Cambria Math"/>
                            <w:vertAlign w:val="subscript"/>
                          </w:rPr>
                          <m:t>h</m:t>
                        </m:r>
                      </m:e>
                      <m:sub>
                        <m:r>
                          <m:rPr>
                            <m:sty m:val="p"/>
                          </m:rPr>
                          <w:rPr>
                            <w:rFonts w:ascii="Cambria Math" w:hAnsi="Cambria Math"/>
                            <w:vertAlign w:val="subscript"/>
                          </w:rPr>
                          <m:t>2</m:t>
                        </m:r>
                      </m:sub>
                    </m:sSub>
                    <m:r>
                      <m:rPr>
                        <m:sty m:val="p"/>
                      </m:rPr>
                      <w:rPr>
                        <w:rFonts w:ascii="Cambria Math" w:hAnsi="Cambria Math"/>
                        <w:vertAlign w:val="subscript"/>
                      </w:rPr>
                      <m:t>+</m:t>
                    </m:r>
                    <m:sSub>
                      <m:sSubPr>
                        <m:ctrlPr>
                          <w:rPr>
                            <w:rFonts w:ascii="Cambria Math" w:hAnsi="Cambria Math"/>
                            <w:bCs/>
                            <w:vertAlign w:val="subscript"/>
                          </w:rPr>
                        </m:ctrlPr>
                      </m:sSubPr>
                      <m:e>
                        <m:r>
                          <m:rPr>
                            <m:sty m:val="p"/>
                          </m:rPr>
                          <w:rPr>
                            <w:rFonts w:ascii="Cambria Math" w:hAnsi="Cambria Math"/>
                            <w:vertAlign w:val="subscript"/>
                          </w:rPr>
                          <m:t>k</m:t>
                        </m:r>
                      </m:e>
                      <m:sub>
                        <m:r>
                          <m:rPr>
                            <m:sty m:val="p"/>
                          </m:rPr>
                          <w:rPr>
                            <w:rFonts w:ascii="Cambria Math" w:hAnsi="Cambria Math"/>
                            <w:vertAlign w:val="subscript"/>
                          </w:rPr>
                          <m:t>1</m:t>
                        </m:r>
                      </m:sub>
                    </m:sSub>
                    <m:sSub>
                      <m:sSubPr>
                        <m:ctrlPr>
                          <w:rPr>
                            <w:rFonts w:ascii="Cambria Math" w:hAnsi="Cambria Math"/>
                            <w:bCs/>
                            <w:vertAlign w:val="subscript"/>
                          </w:rPr>
                        </m:ctrlPr>
                      </m:sSubPr>
                      <m:e>
                        <m:r>
                          <m:rPr>
                            <m:sty m:val="p"/>
                          </m:rPr>
                          <w:rPr>
                            <w:rFonts w:ascii="Cambria Math" w:hAnsi="Cambria Math"/>
                            <w:vertAlign w:val="subscript"/>
                          </w:rPr>
                          <m:t>k</m:t>
                        </m:r>
                      </m:e>
                      <m:sub>
                        <m:r>
                          <m:rPr>
                            <m:sty m:val="p"/>
                          </m:rPr>
                          <w:rPr>
                            <w:rFonts w:ascii="Cambria Math" w:hAnsi="Cambria Math"/>
                            <w:vertAlign w:val="subscript"/>
                          </w:rPr>
                          <m:t>2</m:t>
                        </m:r>
                      </m:sub>
                    </m:sSub>
                    <m:r>
                      <m:rPr>
                        <m:sty m:val="p"/>
                      </m:rPr>
                      <w:rPr>
                        <w:rFonts w:ascii="Cambria Math" w:hAnsi="Cambria Math"/>
                        <w:vertAlign w:val="subscript"/>
                      </w:rPr>
                      <m:t>+</m:t>
                    </m:r>
                    <m:sSub>
                      <m:sSubPr>
                        <m:ctrlPr>
                          <w:rPr>
                            <w:rFonts w:ascii="Cambria Math" w:hAnsi="Cambria Math"/>
                            <w:bCs/>
                            <w:vertAlign w:val="subscript"/>
                          </w:rPr>
                        </m:ctrlPr>
                      </m:sSubPr>
                      <m:e>
                        <m:r>
                          <m:rPr>
                            <m:sty m:val="p"/>
                          </m:rPr>
                          <w:rPr>
                            <w:rFonts w:ascii="Cambria Math" w:hAnsi="Cambria Math"/>
                            <w:vertAlign w:val="subscript"/>
                          </w:rPr>
                          <m:t>l</m:t>
                        </m:r>
                      </m:e>
                      <m:sub>
                        <m:r>
                          <m:rPr>
                            <m:sty m:val="p"/>
                          </m:rPr>
                          <w:rPr>
                            <w:rFonts w:ascii="Cambria Math" w:hAnsi="Cambria Math"/>
                            <w:vertAlign w:val="subscript"/>
                          </w:rPr>
                          <m:t>1</m:t>
                        </m:r>
                      </m:sub>
                    </m:sSub>
                    <m:sSub>
                      <m:sSubPr>
                        <m:ctrlPr>
                          <w:rPr>
                            <w:rFonts w:ascii="Cambria Math" w:hAnsi="Cambria Math"/>
                            <w:bCs/>
                            <w:vertAlign w:val="subscript"/>
                          </w:rPr>
                        </m:ctrlPr>
                      </m:sSubPr>
                      <m:e>
                        <m:r>
                          <m:rPr>
                            <m:sty m:val="p"/>
                          </m:rPr>
                          <w:rPr>
                            <w:rFonts w:ascii="Cambria Math" w:hAnsi="Cambria Math"/>
                            <w:vertAlign w:val="subscript"/>
                          </w:rPr>
                          <m:t>l</m:t>
                        </m:r>
                      </m:e>
                      <m:sub>
                        <m:r>
                          <m:rPr>
                            <m:sty m:val="p"/>
                          </m:rPr>
                          <w:rPr>
                            <w:rFonts w:ascii="Cambria Math" w:hAnsi="Cambria Math"/>
                            <w:vertAlign w:val="subscript"/>
                          </w:rPr>
                          <m:t>2</m:t>
                        </m:r>
                      </m:sub>
                    </m:sSub>
                  </m:num>
                  <m:den>
                    <m:rad>
                      <m:radPr>
                        <m:degHide m:val="1"/>
                        <m:ctrlPr>
                          <w:rPr>
                            <w:rFonts w:ascii="Cambria Math" w:hAnsi="Cambria Math"/>
                            <w:bCs/>
                            <w:vertAlign w:val="subscript"/>
                          </w:rPr>
                        </m:ctrlPr>
                      </m:radPr>
                      <m:deg/>
                      <m:e>
                        <m:sSubSup>
                          <m:sSubSupPr>
                            <m:ctrlPr>
                              <w:rPr>
                                <w:rFonts w:ascii="Cambria Math" w:hAnsi="Cambria Math"/>
                                <w:bCs/>
                                <w:vertAlign w:val="subscript"/>
                              </w:rPr>
                            </m:ctrlPr>
                          </m:sSubSupPr>
                          <m:e>
                            <m:r>
                              <m:rPr>
                                <m:sty m:val="p"/>
                              </m:rPr>
                              <w:rPr>
                                <w:rFonts w:ascii="Cambria Math" w:hAnsi="Cambria Math"/>
                                <w:vertAlign w:val="subscript"/>
                              </w:rPr>
                              <m:t>h</m:t>
                            </m:r>
                          </m:e>
                          <m:sub>
                            <m:r>
                              <m:rPr>
                                <m:sty m:val="p"/>
                              </m:rPr>
                              <w:rPr>
                                <w:rFonts w:ascii="Cambria Math" w:hAnsi="Cambria Math"/>
                                <w:vertAlign w:val="subscript"/>
                              </w:rPr>
                              <m:t>1</m:t>
                            </m:r>
                          </m:sub>
                          <m:sup>
                            <m:r>
                              <m:rPr>
                                <m:sty m:val="p"/>
                              </m:rPr>
                              <w:rPr>
                                <w:rFonts w:ascii="Cambria Math" w:hAnsi="Cambria Math"/>
                                <w:vertAlign w:val="subscript"/>
                              </w:rPr>
                              <m:t>2</m:t>
                            </m:r>
                          </m:sup>
                        </m:sSubSup>
                        <m:r>
                          <m:rPr>
                            <m:sty m:val="p"/>
                          </m:rPr>
                          <w:rPr>
                            <w:rFonts w:ascii="Cambria Math" w:hAnsi="Cambria Math"/>
                            <w:vertAlign w:val="subscript"/>
                          </w:rPr>
                          <m:t>+</m:t>
                        </m:r>
                        <m:sSubSup>
                          <m:sSubSupPr>
                            <m:ctrlPr>
                              <w:rPr>
                                <w:rFonts w:ascii="Cambria Math" w:hAnsi="Cambria Math"/>
                                <w:bCs/>
                                <w:vertAlign w:val="subscript"/>
                              </w:rPr>
                            </m:ctrlPr>
                          </m:sSubSupPr>
                          <m:e>
                            <m:r>
                              <m:rPr>
                                <m:sty m:val="p"/>
                              </m:rPr>
                              <w:rPr>
                                <w:rFonts w:ascii="Cambria Math" w:hAnsi="Cambria Math"/>
                                <w:vertAlign w:val="subscript"/>
                              </w:rPr>
                              <m:t>k</m:t>
                            </m:r>
                          </m:e>
                          <m:sub>
                            <m:r>
                              <m:rPr>
                                <m:sty m:val="p"/>
                              </m:rPr>
                              <w:rPr>
                                <w:rFonts w:ascii="Cambria Math" w:hAnsi="Cambria Math"/>
                                <w:vertAlign w:val="subscript"/>
                              </w:rPr>
                              <m:t>1</m:t>
                            </m:r>
                          </m:sub>
                          <m:sup>
                            <m:r>
                              <m:rPr>
                                <m:sty m:val="p"/>
                              </m:rPr>
                              <w:rPr>
                                <w:rFonts w:ascii="Cambria Math" w:hAnsi="Cambria Math"/>
                                <w:vertAlign w:val="subscript"/>
                              </w:rPr>
                              <m:t>2</m:t>
                            </m:r>
                          </m:sup>
                        </m:sSubSup>
                        <m:r>
                          <m:rPr>
                            <m:sty m:val="p"/>
                          </m:rPr>
                          <w:rPr>
                            <w:rFonts w:ascii="Cambria Math" w:hAnsi="Cambria Math"/>
                            <w:vertAlign w:val="subscript"/>
                          </w:rPr>
                          <m:t>+</m:t>
                        </m:r>
                        <m:sSubSup>
                          <m:sSubSupPr>
                            <m:ctrlPr>
                              <w:rPr>
                                <w:rFonts w:ascii="Cambria Math" w:hAnsi="Cambria Math"/>
                                <w:bCs/>
                                <w:vertAlign w:val="subscript"/>
                              </w:rPr>
                            </m:ctrlPr>
                          </m:sSubSupPr>
                          <m:e>
                            <m:r>
                              <m:rPr>
                                <m:sty m:val="p"/>
                              </m:rPr>
                              <w:rPr>
                                <w:rFonts w:ascii="Cambria Math" w:hAnsi="Cambria Math"/>
                                <w:vertAlign w:val="subscript"/>
                              </w:rPr>
                              <m:t>l</m:t>
                            </m:r>
                          </m:e>
                          <m:sub>
                            <m:r>
                              <m:rPr>
                                <m:sty m:val="p"/>
                              </m:rPr>
                              <w:rPr>
                                <w:rFonts w:ascii="Cambria Math" w:hAnsi="Cambria Math"/>
                                <w:vertAlign w:val="subscript"/>
                              </w:rPr>
                              <m:t>1</m:t>
                            </m:r>
                          </m:sub>
                          <m:sup>
                            <m:r>
                              <m:rPr>
                                <m:sty m:val="p"/>
                              </m:rPr>
                              <w:rPr>
                                <w:rFonts w:ascii="Cambria Math" w:hAnsi="Cambria Math"/>
                                <w:vertAlign w:val="subscript"/>
                              </w:rPr>
                              <m:t>2</m:t>
                            </m:r>
                          </m:sup>
                        </m:sSubSup>
                      </m:e>
                    </m:rad>
                    <m:rad>
                      <m:radPr>
                        <m:degHide m:val="1"/>
                        <m:ctrlPr>
                          <w:rPr>
                            <w:rFonts w:ascii="Cambria Math" w:hAnsi="Cambria Math"/>
                            <w:bCs/>
                            <w:vertAlign w:val="subscript"/>
                          </w:rPr>
                        </m:ctrlPr>
                      </m:radPr>
                      <m:deg/>
                      <m:e>
                        <m:sSubSup>
                          <m:sSubSupPr>
                            <m:ctrlPr>
                              <w:rPr>
                                <w:rFonts w:ascii="Cambria Math" w:hAnsi="Cambria Math"/>
                                <w:bCs/>
                                <w:vertAlign w:val="subscript"/>
                              </w:rPr>
                            </m:ctrlPr>
                          </m:sSubSupPr>
                          <m:e>
                            <m:r>
                              <m:rPr>
                                <m:sty m:val="p"/>
                              </m:rPr>
                              <w:rPr>
                                <w:rFonts w:ascii="Cambria Math" w:hAnsi="Cambria Math"/>
                                <w:vertAlign w:val="subscript"/>
                              </w:rPr>
                              <m:t>h</m:t>
                            </m:r>
                          </m:e>
                          <m:sub>
                            <m:r>
                              <m:rPr>
                                <m:sty m:val="p"/>
                              </m:rPr>
                              <w:rPr>
                                <w:rFonts w:ascii="Cambria Math" w:hAnsi="Cambria Math"/>
                                <w:vertAlign w:val="subscript"/>
                              </w:rPr>
                              <m:t>2</m:t>
                            </m:r>
                          </m:sub>
                          <m:sup>
                            <m:r>
                              <m:rPr>
                                <m:sty m:val="p"/>
                              </m:rPr>
                              <w:rPr>
                                <w:rFonts w:ascii="Cambria Math" w:hAnsi="Cambria Math"/>
                                <w:vertAlign w:val="subscript"/>
                              </w:rPr>
                              <m:t>2</m:t>
                            </m:r>
                          </m:sup>
                        </m:sSubSup>
                        <m:r>
                          <m:rPr>
                            <m:sty m:val="p"/>
                          </m:rPr>
                          <w:rPr>
                            <w:rFonts w:ascii="Cambria Math" w:hAnsi="Cambria Math"/>
                            <w:vertAlign w:val="subscript"/>
                          </w:rPr>
                          <m:t>+</m:t>
                        </m:r>
                        <m:sSubSup>
                          <m:sSubSupPr>
                            <m:ctrlPr>
                              <w:rPr>
                                <w:rFonts w:ascii="Cambria Math" w:hAnsi="Cambria Math"/>
                                <w:bCs/>
                                <w:vertAlign w:val="subscript"/>
                              </w:rPr>
                            </m:ctrlPr>
                          </m:sSubSupPr>
                          <m:e>
                            <m:r>
                              <m:rPr>
                                <m:sty m:val="p"/>
                              </m:rPr>
                              <w:rPr>
                                <w:rFonts w:ascii="Cambria Math" w:hAnsi="Cambria Math"/>
                                <w:vertAlign w:val="subscript"/>
                              </w:rPr>
                              <m:t>k</m:t>
                            </m:r>
                          </m:e>
                          <m:sub>
                            <m:r>
                              <m:rPr>
                                <m:sty m:val="p"/>
                              </m:rPr>
                              <w:rPr>
                                <w:rFonts w:ascii="Cambria Math" w:hAnsi="Cambria Math"/>
                                <w:vertAlign w:val="subscript"/>
                              </w:rPr>
                              <m:t>2</m:t>
                            </m:r>
                          </m:sub>
                          <m:sup>
                            <m:r>
                              <m:rPr>
                                <m:sty m:val="p"/>
                              </m:rPr>
                              <w:rPr>
                                <w:rFonts w:ascii="Cambria Math" w:hAnsi="Cambria Math"/>
                                <w:vertAlign w:val="subscript"/>
                              </w:rPr>
                              <m:t>2</m:t>
                            </m:r>
                          </m:sup>
                        </m:sSubSup>
                        <m:r>
                          <m:rPr>
                            <m:sty m:val="p"/>
                          </m:rPr>
                          <w:rPr>
                            <w:rFonts w:ascii="Cambria Math" w:hAnsi="Cambria Math"/>
                            <w:vertAlign w:val="subscript"/>
                          </w:rPr>
                          <m:t>+</m:t>
                        </m:r>
                        <m:sSubSup>
                          <m:sSubSupPr>
                            <m:ctrlPr>
                              <w:rPr>
                                <w:rFonts w:ascii="Cambria Math" w:hAnsi="Cambria Math"/>
                                <w:bCs/>
                                <w:vertAlign w:val="subscript"/>
                              </w:rPr>
                            </m:ctrlPr>
                          </m:sSubSupPr>
                          <m:e>
                            <m:r>
                              <m:rPr>
                                <m:sty m:val="p"/>
                              </m:rPr>
                              <w:rPr>
                                <w:rFonts w:ascii="Cambria Math" w:hAnsi="Cambria Math"/>
                                <w:vertAlign w:val="subscript"/>
                              </w:rPr>
                              <m:t>l</m:t>
                            </m:r>
                          </m:e>
                          <m:sub>
                            <m:r>
                              <m:rPr>
                                <m:sty m:val="p"/>
                              </m:rPr>
                              <w:rPr>
                                <w:rFonts w:ascii="Cambria Math" w:hAnsi="Cambria Math"/>
                                <w:vertAlign w:val="subscript"/>
                              </w:rPr>
                              <m:t>2</m:t>
                            </m:r>
                          </m:sub>
                          <m:sup>
                            <m:r>
                              <m:rPr>
                                <m:sty m:val="p"/>
                              </m:rPr>
                              <w:rPr>
                                <w:rFonts w:ascii="Cambria Math" w:hAnsi="Cambria Math"/>
                                <w:vertAlign w:val="subscript"/>
                              </w:rPr>
                              <m:t>2</m:t>
                            </m:r>
                          </m:sup>
                        </m:sSubSup>
                      </m:e>
                    </m:rad>
                  </m:den>
                </m:f>
              </m:e>
            </m:d>
            <m:r>
              <m:rPr>
                <m:sty m:val="p"/>
              </m:rPr>
              <w:rPr>
                <w:rFonts w:ascii="Cambria Math" w:hAnsi="Cambria Math"/>
                <w:vertAlign w:val="subscript"/>
              </w:rPr>
              <m:t xml:space="preserve"> </m:t>
            </m:r>
          </m:e>
        </m:func>
      </m:oMath>
      <w:r w:rsidR="00231148" w:rsidRPr="00452980">
        <w:rPr>
          <w:rFonts w:eastAsiaTheme="minorEastAsia"/>
          <w:bCs/>
          <w:color w:val="000000" w:themeColor="text1"/>
        </w:rPr>
        <w:tab/>
      </w:r>
      <w:r w:rsidR="00231148" w:rsidRPr="00452980">
        <w:rPr>
          <w:rFonts w:eastAsiaTheme="minorEastAsia"/>
          <w:bCs/>
          <w:color w:val="000000" w:themeColor="text1"/>
        </w:rPr>
        <w:tab/>
      </w:r>
      <w:r w:rsidR="00231148" w:rsidRPr="00452980">
        <w:rPr>
          <w:rFonts w:eastAsiaTheme="minorEastAsia"/>
          <w:bCs/>
          <w:color w:val="000000" w:themeColor="text1"/>
        </w:rPr>
        <w:tab/>
      </w:r>
      <w:r w:rsidR="00231148" w:rsidRPr="00452980">
        <w:rPr>
          <w:rFonts w:eastAsiaTheme="minorEastAsia"/>
          <w:bCs/>
          <w:color w:val="000000" w:themeColor="text1"/>
        </w:rPr>
        <w:tab/>
        <w:t>(</w:t>
      </w:r>
      <w:r w:rsidR="008816C7" w:rsidRPr="00452980">
        <w:rPr>
          <w:rFonts w:eastAsiaTheme="minorEastAsia"/>
          <w:bCs/>
          <w:color w:val="000000" w:themeColor="text1"/>
        </w:rPr>
        <w:t>6</w:t>
      </w:r>
      <w:r w:rsidR="00231148" w:rsidRPr="00452980">
        <w:rPr>
          <w:rFonts w:eastAsiaTheme="minorEastAsia"/>
          <w:bCs/>
          <w:color w:val="000000" w:themeColor="text1"/>
        </w:rPr>
        <w:t>)</w:t>
      </w:r>
      <w:r w:rsidR="00231148" w:rsidRPr="00452980">
        <w:rPr>
          <w:rFonts w:eastAsiaTheme="minorEastAsia"/>
          <w:bCs/>
          <w:color w:val="000000" w:themeColor="text1"/>
        </w:rPr>
        <w:tab/>
      </w:r>
    </w:p>
    <w:p w14:paraId="49DFD468" w14:textId="535579A5" w:rsidR="00335BB7" w:rsidRPr="00452980" w:rsidRDefault="00335BB7" w:rsidP="007A666D">
      <w:pPr>
        <w:spacing w:line="480" w:lineRule="auto"/>
        <w:ind w:left="0" w:firstLine="720"/>
        <w:rPr>
          <w:rFonts w:cs="Arial"/>
        </w:rPr>
      </w:pPr>
      <w:r w:rsidRPr="00452980">
        <w:rPr>
          <w:rFonts w:cs="Arial"/>
        </w:rPr>
        <w:t>The relation above must be incorporated for planes orientated at an angle to the (111) plane. However, the predicted (22</w:t>
      </w:r>
      <w:r w:rsidR="004F40F7">
        <w:rPr>
          <w:rFonts w:cs="Arial"/>
        </w:rPr>
        <w:t>0</w:t>
      </w:r>
      <w:r w:rsidRPr="00452980">
        <w:rPr>
          <w:rFonts w:cs="Arial"/>
        </w:rPr>
        <w:t>) reflection lies parallel to the (111) plane</w:t>
      </w:r>
      <w:r w:rsidR="0029517B">
        <w:rPr>
          <w:rFonts w:cs="Arial"/>
        </w:rPr>
        <w:t>.</w:t>
      </w:r>
      <w:r w:rsidR="007C5FA5" w:rsidRPr="00452980">
        <w:rPr>
          <w:rFonts w:cs="Arial"/>
        </w:rPr>
        <w:t xml:space="preserve"> </w:t>
      </w:r>
      <w:r w:rsidRPr="00452980">
        <w:rPr>
          <w:rFonts w:cs="Arial"/>
        </w:rPr>
        <w:t>Artefacts corresponding to allowed Bragg reflections in the (200), (220), (311), and (400) directions may also be observed for self-assembled opals, especially at low incidence angles.</w:t>
      </w:r>
      <w:r w:rsidR="00FC065C" w:rsidRPr="00452980">
        <w:rPr>
          <w:rFonts w:cs="Arial"/>
        </w:rPr>
        <w:fldChar w:fldCharType="begin">
          <w:fldData xml:space="preserve">PEVuZE5vdGU+PENpdGU+PEF1dGhvcj5IaWxob3JzdDwvQXV0aG9yPjxZZWFyPjIwMTA8L1llYXI+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</w:fldData>
        </w:fldChar>
      </w:r>
      <w:r w:rsidR="00782998" w:rsidRPr="00452980">
        <w:rPr>
          <w:rFonts w:cs="Arial"/>
        </w:rPr>
        <w:instrText xml:space="preserve"> ADDIN EN.CITE </w:instrText>
      </w:r>
      <w:r w:rsidR="00782998" w:rsidRPr="00452980">
        <w:rPr>
          <w:rFonts w:cs="Arial"/>
        </w:rPr>
        <w:fldChar w:fldCharType="begin">
          <w:fldData xml:space="preserve">PEVuZE5vdGU+PENpdGU+PEF1dGhvcj5IaWxob3JzdDwvQXV0aG9yPjxZZWFyPjIwMTA8L1llYXI+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</w:fldData>
        </w:fldChar>
      </w:r>
      <w:r w:rsidR="00782998" w:rsidRPr="00452980">
        <w:rPr>
          <w:rFonts w:cs="Arial"/>
        </w:rPr>
        <w:instrText xml:space="preserve"> ADDIN EN.CITE.DATA </w:instrText>
      </w:r>
      <w:r w:rsidR="00782998" w:rsidRPr="00452980">
        <w:rPr>
          <w:rFonts w:cs="Arial"/>
        </w:rPr>
      </w:r>
      <w:r w:rsidR="00782998" w:rsidRPr="00452980">
        <w:rPr>
          <w:rFonts w:cs="Arial"/>
        </w:rPr>
        <w:fldChar w:fldCharType="end"/>
      </w:r>
      <w:r w:rsidR="00FC065C" w:rsidRPr="00452980">
        <w:rPr>
          <w:rFonts w:cs="Arial"/>
        </w:rPr>
      </w:r>
      <w:r w:rsidR="00FC065C" w:rsidRPr="00452980">
        <w:rPr>
          <w:rFonts w:cs="Arial"/>
        </w:rPr>
        <w:fldChar w:fldCharType="separate"/>
      </w:r>
      <w:r w:rsidR="00782998" w:rsidRPr="00452980">
        <w:rPr>
          <w:rFonts w:cs="Arial"/>
          <w:noProof/>
          <w:vertAlign w:val="superscript"/>
        </w:rPr>
        <w:t>2-4</w:t>
      </w:r>
      <w:r w:rsidR="00FC065C" w:rsidRPr="00452980">
        <w:rPr>
          <w:rFonts w:cs="Arial"/>
        </w:rPr>
        <w:fldChar w:fldCharType="end"/>
      </w:r>
      <w:r w:rsidR="00F13D4C">
        <w:rPr>
          <w:rFonts w:cs="Arial"/>
        </w:rPr>
        <w:t>, but are not observed in the spectral range for our samples.</w:t>
      </w:r>
      <w:r w:rsidRPr="00452980">
        <w:rPr>
          <w:rFonts w:cs="Arial"/>
        </w:rPr>
        <w:t xml:space="preserve"> </w:t>
      </w:r>
    </w:p>
    <w:p w14:paraId="3C50E891" w14:textId="77777777" w:rsidR="007530DA" w:rsidRPr="00452980" w:rsidRDefault="007530DA" w:rsidP="00335BB7">
      <w:pPr>
        <w:spacing w:line="480" w:lineRule="auto"/>
        <w:ind w:left="0"/>
        <w:rPr>
          <w:rFonts w:cs="Arial"/>
        </w:rPr>
      </w:pPr>
    </w:p>
    <w:p w14:paraId="4B7696A8" w14:textId="54EDD0D3" w:rsidR="00FC065C" w:rsidRPr="00452980" w:rsidRDefault="00F36947" w:rsidP="00FB6B86">
      <w:pPr>
        <w:ind w:left="0"/>
        <w:rPr>
          <w:b/>
          <w:bCs/>
        </w:rPr>
      </w:pPr>
      <w:r w:rsidRPr="00452980">
        <w:rPr>
          <w:b/>
          <w:bCs/>
        </w:rPr>
        <w:t>References</w:t>
      </w:r>
    </w:p>
    <w:p w14:paraId="0F75F12B" w14:textId="77777777" w:rsidR="00B570BC" w:rsidRPr="00B570BC" w:rsidRDefault="00FC065C" w:rsidP="00B570BC">
      <w:pPr>
        <w:pStyle w:val="EndNoteBibliography"/>
        <w:spacing w:after="0"/>
        <w:ind w:hanging="720"/>
      </w:pPr>
      <w:r w:rsidRPr="00452980">
        <w:fldChar w:fldCharType="begin"/>
      </w:r>
      <w:r w:rsidRPr="00452980">
        <w:instrText xml:space="preserve"> ADDIN EN.REFLIST </w:instrText>
      </w:r>
      <w:r w:rsidRPr="00452980">
        <w:fldChar w:fldCharType="separate"/>
      </w:r>
      <w:r w:rsidR="00B570BC" w:rsidRPr="00B570BC">
        <w:rPr>
          <w:vertAlign w:val="superscript"/>
        </w:rPr>
        <w:t>1</w:t>
      </w:r>
      <w:r w:rsidR="00B570BC" w:rsidRPr="00B570BC">
        <w:rPr>
          <w:vertAlign w:val="superscript"/>
        </w:rPr>
        <w:tab/>
      </w:r>
      <w:r w:rsidR="00B570BC" w:rsidRPr="00B570BC">
        <w:t xml:space="preserve">N. Vogel, S. Utech, G. T. England, T. Shirman, K. R. Phillips, N. Koay, I. B. Burgess, M. Kolle, D. A. Weitz, and J. Aizenberg, Proceedings of the National Academy of Sciences </w:t>
      </w:r>
      <w:r w:rsidR="00B570BC" w:rsidRPr="00B570BC">
        <w:rPr>
          <w:b/>
        </w:rPr>
        <w:t>112,</w:t>
      </w:r>
      <w:r w:rsidR="00B570BC" w:rsidRPr="00B570BC">
        <w:t xml:space="preserve"> 10845 (2015).</w:t>
      </w:r>
    </w:p>
    <w:p w14:paraId="00F94AA8" w14:textId="77777777" w:rsidR="00B570BC" w:rsidRPr="00B570BC" w:rsidRDefault="00B570BC" w:rsidP="00B570BC">
      <w:pPr>
        <w:pStyle w:val="EndNoteBibliography"/>
        <w:spacing w:after="0"/>
        <w:ind w:hanging="720"/>
      </w:pPr>
      <w:r w:rsidRPr="00B570BC">
        <w:rPr>
          <w:vertAlign w:val="superscript"/>
        </w:rPr>
        <w:t>2</w:t>
      </w:r>
      <w:r w:rsidRPr="00B570BC">
        <w:rPr>
          <w:vertAlign w:val="superscript"/>
        </w:rPr>
        <w:tab/>
      </w:r>
      <w:r w:rsidRPr="00B570BC">
        <w:t xml:space="preserve">J. Hilhorst, J. Wolters, and A. Petukhov, CrystEngComm </w:t>
      </w:r>
      <w:r w:rsidRPr="00B570BC">
        <w:rPr>
          <w:b/>
        </w:rPr>
        <w:t>12</w:t>
      </w:r>
      <w:r w:rsidRPr="00B570BC">
        <w:t xml:space="preserve"> (2010).</w:t>
      </w:r>
    </w:p>
    <w:p w14:paraId="1AFE983B" w14:textId="77777777" w:rsidR="00B570BC" w:rsidRPr="00B570BC" w:rsidRDefault="00B570BC" w:rsidP="00B570BC">
      <w:pPr>
        <w:pStyle w:val="EndNoteBibliography"/>
        <w:spacing w:after="0"/>
        <w:ind w:hanging="720"/>
      </w:pPr>
      <w:r w:rsidRPr="00B570BC">
        <w:rPr>
          <w:vertAlign w:val="superscript"/>
        </w:rPr>
        <w:t>3</w:t>
      </w:r>
      <w:r w:rsidRPr="00B570BC">
        <w:rPr>
          <w:vertAlign w:val="superscript"/>
        </w:rPr>
        <w:tab/>
      </w:r>
      <w:r w:rsidRPr="00B570BC">
        <w:t xml:space="preserve">E. Vekris, V. Kitaev, D. D. Perovic, J. S. Aitchison, and G. A. Ozin, Advanced Materials </w:t>
      </w:r>
      <w:r w:rsidRPr="00B570BC">
        <w:rPr>
          <w:b/>
        </w:rPr>
        <w:t>20,</w:t>
      </w:r>
      <w:r w:rsidRPr="00B570BC">
        <w:t xml:space="preserve"> 1110 (2008).</w:t>
      </w:r>
    </w:p>
    <w:p w14:paraId="388A490E" w14:textId="77777777" w:rsidR="00B570BC" w:rsidRPr="00B570BC" w:rsidRDefault="00B570BC" w:rsidP="00B570BC">
      <w:pPr>
        <w:pStyle w:val="EndNoteBibliography"/>
        <w:ind w:hanging="720"/>
      </w:pPr>
      <w:r w:rsidRPr="00B570BC">
        <w:rPr>
          <w:vertAlign w:val="superscript"/>
        </w:rPr>
        <w:t>4</w:t>
      </w:r>
      <w:r w:rsidRPr="00B570BC">
        <w:rPr>
          <w:vertAlign w:val="superscript"/>
        </w:rPr>
        <w:tab/>
      </w:r>
      <w:r w:rsidRPr="00B570BC">
        <w:t xml:space="preserve">J. P. Hoogenboom, D. Derks, P. Vergeer, and A. v. Blaaderen, The Journal of Chemical Physics </w:t>
      </w:r>
      <w:r w:rsidRPr="00B570BC">
        <w:rPr>
          <w:b/>
        </w:rPr>
        <w:t>117,</w:t>
      </w:r>
      <w:r w:rsidRPr="00B570BC">
        <w:t xml:space="preserve"> 11320 (2002).</w:t>
      </w:r>
    </w:p>
    <w:p w14:paraId="29C66A55" w14:textId="3422DD23" w:rsidR="00180B54" w:rsidRPr="00452980" w:rsidRDefault="00FC065C">
      <w:r w:rsidRPr="00452980">
        <w:fldChar w:fldCharType="end"/>
      </w:r>
    </w:p>
    <w:sectPr w:rsidR="00180B54" w:rsidRPr="00452980" w:rsidSect="003372E3">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49FCA" w14:textId="77777777" w:rsidR="00471DA4" w:rsidRDefault="00471DA4">
      <w:pPr>
        <w:spacing w:after="0" w:line="240" w:lineRule="auto"/>
      </w:pPr>
      <w:r>
        <w:separator/>
      </w:r>
    </w:p>
  </w:endnote>
  <w:endnote w:type="continuationSeparator" w:id="0">
    <w:p w14:paraId="53A98F18" w14:textId="77777777" w:rsidR="00471DA4" w:rsidRDefault="00471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9939928"/>
      <w:docPartObj>
        <w:docPartGallery w:val="Page Numbers (Bottom of Page)"/>
        <w:docPartUnique/>
      </w:docPartObj>
    </w:sdtPr>
    <w:sdtEndPr>
      <w:rPr>
        <w:noProof/>
      </w:rPr>
    </w:sdtEndPr>
    <w:sdtContent>
      <w:p w14:paraId="298568D7" w14:textId="77777777" w:rsidR="00CC45FB" w:rsidRDefault="00335B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13CC74" w14:textId="77777777" w:rsidR="00CC45FB"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F0D74" w14:textId="77777777" w:rsidR="00471DA4" w:rsidRDefault="00471DA4">
      <w:pPr>
        <w:spacing w:after="0" w:line="240" w:lineRule="auto"/>
      </w:pPr>
      <w:r>
        <w:separator/>
      </w:r>
    </w:p>
  </w:footnote>
  <w:footnote w:type="continuationSeparator" w:id="0">
    <w:p w14:paraId="5A6E3C5A" w14:textId="77777777" w:rsidR="00471DA4" w:rsidRDefault="00471D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Applied Physics Cop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szzfx2xx9zdx2e9f9pvxfdfrts9zzzasddx&quot;&gt;EndnoteLib_Paper2_18042023&lt;record-ids&gt;&lt;item&gt;73&lt;/item&gt;&lt;item&gt;75&lt;/item&gt;&lt;item&gt;76&lt;/item&gt;&lt;item&gt;77&lt;/item&gt;&lt;/record-ids&gt;&lt;/item&gt;&lt;/Libraries&gt;"/>
  </w:docVars>
  <w:rsids>
    <w:rsidRoot w:val="00335BB7"/>
    <w:rsid w:val="00001F5F"/>
    <w:rsid w:val="0000481D"/>
    <w:rsid w:val="0001178A"/>
    <w:rsid w:val="00035D12"/>
    <w:rsid w:val="000543B3"/>
    <w:rsid w:val="000A7CB3"/>
    <w:rsid w:val="000D4124"/>
    <w:rsid w:val="001249D1"/>
    <w:rsid w:val="00152F1F"/>
    <w:rsid w:val="001541A1"/>
    <w:rsid w:val="001A7546"/>
    <w:rsid w:val="001B375C"/>
    <w:rsid w:val="00231148"/>
    <w:rsid w:val="00245E14"/>
    <w:rsid w:val="0029517B"/>
    <w:rsid w:val="0031242E"/>
    <w:rsid w:val="00324507"/>
    <w:rsid w:val="00335BB7"/>
    <w:rsid w:val="00381CB4"/>
    <w:rsid w:val="003840CE"/>
    <w:rsid w:val="003B2476"/>
    <w:rsid w:val="003B327A"/>
    <w:rsid w:val="004005BD"/>
    <w:rsid w:val="004147C4"/>
    <w:rsid w:val="0042691E"/>
    <w:rsid w:val="0043058C"/>
    <w:rsid w:val="004405E8"/>
    <w:rsid w:val="00452980"/>
    <w:rsid w:val="00471DA4"/>
    <w:rsid w:val="0047591C"/>
    <w:rsid w:val="004B2B2B"/>
    <w:rsid w:val="004B6FD1"/>
    <w:rsid w:val="004F40F7"/>
    <w:rsid w:val="00501851"/>
    <w:rsid w:val="00505768"/>
    <w:rsid w:val="00524B34"/>
    <w:rsid w:val="00540C69"/>
    <w:rsid w:val="005B2547"/>
    <w:rsid w:val="005C70C6"/>
    <w:rsid w:val="005E4DB9"/>
    <w:rsid w:val="005F1297"/>
    <w:rsid w:val="005F7E3A"/>
    <w:rsid w:val="006355B1"/>
    <w:rsid w:val="00645CA9"/>
    <w:rsid w:val="00661884"/>
    <w:rsid w:val="00662A84"/>
    <w:rsid w:val="00683E13"/>
    <w:rsid w:val="00691168"/>
    <w:rsid w:val="00694DB2"/>
    <w:rsid w:val="006E693D"/>
    <w:rsid w:val="006E7798"/>
    <w:rsid w:val="007530DA"/>
    <w:rsid w:val="007740FA"/>
    <w:rsid w:val="00782998"/>
    <w:rsid w:val="007A1E77"/>
    <w:rsid w:val="007A666D"/>
    <w:rsid w:val="007B0AF2"/>
    <w:rsid w:val="007C5FA5"/>
    <w:rsid w:val="007C6246"/>
    <w:rsid w:val="007D728E"/>
    <w:rsid w:val="007E5AEC"/>
    <w:rsid w:val="007E753A"/>
    <w:rsid w:val="007F7F0B"/>
    <w:rsid w:val="0080616F"/>
    <w:rsid w:val="00807AE7"/>
    <w:rsid w:val="00880E4C"/>
    <w:rsid w:val="0088111D"/>
    <w:rsid w:val="008816C7"/>
    <w:rsid w:val="008D27AD"/>
    <w:rsid w:val="00901C09"/>
    <w:rsid w:val="00905E71"/>
    <w:rsid w:val="00940026"/>
    <w:rsid w:val="0094317A"/>
    <w:rsid w:val="00961B5D"/>
    <w:rsid w:val="009A23BE"/>
    <w:rsid w:val="009D5EBF"/>
    <w:rsid w:val="009F2D14"/>
    <w:rsid w:val="00A12F7F"/>
    <w:rsid w:val="00A22EED"/>
    <w:rsid w:val="00A34756"/>
    <w:rsid w:val="00A52E30"/>
    <w:rsid w:val="00A565E7"/>
    <w:rsid w:val="00AB289A"/>
    <w:rsid w:val="00AD62D9"/>
    <w:rsid w:val="00AF7BA6"/>
    <w:rsid w:val="00B15839"/>
    <w:rsid w:val="00B248E0"/>
    <w:rsid w:val="00B26FBB"/>
    <w:rsid w:val="00B510C4"/>
    <w:rsid w:val="00B570BC"/>
    <w:rsid w:val="00B7034D"/>
    <w:rsid w:val="00B849F5"/>
    <w:rsid w:val="00B9374D"/>
    <w:rsid w:val="00B967C1"/>
    <w:rsid w:val="00B97E73"/>
    <w:rsid w:val="00BB4F36"/>
    <w:rsid w:val="00BD30A9"/>
    <w:rsid w:val="00BF19A8"/>
    <w:rsid w:val="00C050AC"/>
    <w:rsid w:val="00C97BAD"/>
    <w:rsid w:val="00CC679B"/>
    <w:rsid w:val="00CF68FC"/>
    <w:rsid w:val="00D23547"/>
    <w:rsid w:val="00DE3BF6"/>
    <w:rsid w:val="00DE46BF"/>
    <w:rsid w:val="00DF2569"/>
    <w:rsid w:val="00E055B6"/>
    <w:rsid w:val="00E444E1"/>
    <w:rsid w:val="00E51313"/>
    <w:rsid w:val="00E563DA"/>
    <w:rsid w:val="00E73897"/>
    <w:rsid w:val="00E866ED"/>
    <w:rsid w:val="00E90DFD"/>
    <w:rsid w:val="00ED274E"/>
    <w:rsid w:val="00ED4139"/>
    <w:rsid w:val="00EE7B92"/>
    <w:rsid w:val="00EF0294"/>
    <w:rsid w:val="00F06550"/>
    <w:rsid w:val="00F13D4C"/>
    <w:rsid w:val="00F14E21"/>
    <w:rsid w:val="00F36947"/>
    <w:rsid w:val="00F64BCF"/>
    <w:rsid w:val="00F66642"/>
    <w:rsid w:val="00F829B9"/>
    <w:rsid w:val="00FA74FD"/>
    <w:rsid w:val="00FB6B86"/>
    <w:rsid w:val="00FC065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1DB7C"/>
  <w15:chartTrackingRefBased/>
  <w15:docId w15:val="{FE5DA8D2-29F3-4D48-B240-8C88F8B1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b/>
        <w:bCs/>
        <w:kern w:val="2"/>
        <w:sz w:val="24"/>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BB7"/>
    <w:pPr>
      <w:spacing w:line="360" w:lineRule="auto"/>
      <w:ind w:left="720"/>
      <w:jc w:val="both"/>
    </w:pPr>
    <w:rPr>
      <w:rFonts w:cstheme="minorBidi"/>
      <w:b w:val="0"/>
      <w:bCs w:val="0"/>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35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BB7"/>
    <w:rPr>
      <w:rFonts w:cstheme="minorBidi"/>
      <w:b w:val="0"/>
      <w:bCs w:val="0"/>
      <w:kern w:val="0"/>
      <w:sz w:val="22"/>
      <w14:ligatures w14:val="none"/>
    </w:rPr>
  </w:style>
  <w:style w:type="character" w:styleId="CommentReference">
    <w:name w:val="annotation reference"/>
    <w:basedOn w:val="DefaultParagraphFont"/>
    <w:uiPriority w:val="99"/>
    <w:semiHidden/>
    <w:unhideWhenUsed/>
    <w:rsid w:val="00335BB7"/>
    <w:rPr>
      <w:sz w:val="16"/>
      <w:szCs w:val="16"/>
    </w:rPr>
  </w:style>
  <w:style w:type="paragraph" w:styleId="CommentText">
    <w:name w:val="annotation text"/>
    <w:basedOn w:val="Normal"/>
    <w:link w:val="CommentTextChar"/>
    <w:uiPriority w:val="99"/>
    <w:unhideWhenUsed/>
    <w:rsid w:val="00335BB7"/>
    <w:pPr>
      <w:spacing w:line="240" w:lineRule="auto"/>
    </w:pPr>
    <w:rPr>
      <w:sz w:val="20"/>
      <w:szCs w:val="20"/>
    </w:rPr>
  </w:style>
  <w:style w:type="character" w:customStyle="1" w:styleId="CommentTextChar">
    <w:name w:val="Comment Text Char"/>
    <w:basedOn w:val="DefaultParagraphFont"/>
    <w:link w:val="CommentText"/>
    <w:uiPriority w:val="99"/>
    <w:rsid w:val="00335BB7"/>
    <w:rPr>
      <w:rFonts w:cstheme="minorBidi"/>
      <w:b w:val="0"/>
      <w:bCs w:val="0"/>
      <w:kern w:val="0"/>
      <w:sz w:val="20"/>
      <w:szCs w:val="20"/>
      <w14:ligatures w14:val="none"/>
    </w:rPr>
  </w:style>
  <w:style w:type="paragraph" w:customStyle="1" w:styleId="EndNoteBibliographyTitle">
    <w:name w:val="EndNote Bibliography Title"/>
    <w:basedOn w:val="Normal"/>
    <w:link w:val="EndNoteBibliographyTitleChar"/>
    <w:rsid w:val="00F36947"/>
    <w:pPr>
      <w:spacing w:after="0"/>
      <w:jc w:val="center"/>
    </w:pPr>
    <w:rPr>
      <w:rFonts w:cs="Arial"/>
      <w:noProof/>
      <w:lang w:val="en-US"/>
    </w:rPr>
  </w:style>
  <w:style w:type="character" w:customStyle="1" w:styleId="EndNoteBibliographyTitleChar">
    <w:name w:val="EndNote Bibliography Title Char"/>
    <w:basedOn w:val="DefaultParagraphFont"/>
    <w:link w:val="EndNoteBibliographyTitle"/>
    <w:rsid w:val="00F36947"/>
    <w:rPr>
      <w:b w:val="0"/>
      <w:bCs w:val="0"/>
      <w:noProof/>
      <w:kern w:val="0"/>
      <w:sz w:val="22"/>
      <w:lang w:val="en-US"/>
      <w14:ligatures w14:val="none"/>
    </w:rPr>
  </w:style>
  <w:style w:type="paragraph" w:customStyle="1" w:styleId="EndNoteBibliography">
    <w:name w:val="EndNote Bibliography"/>
    <w:basedOn w:val="Normal"/>
    <w:link w:val="EndNoteBibliographyChar"/>
    <w:rsid w:val="00F36947"/>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F36947"/>
    <w:rPr>
      <w:b w:val="0"/>
      <w:bCs w:val="0"/>
      <w:noProof/>
      <w:kern w:val="0"/>
      <w:sz w:val="22"/>
      <w:lang w:val="en-US"/>
      <w14:ligatures w14:val="none"/>
    </w:rPr>
  </w:style>
  <w:style w:type="paragraph" w:styleId="CommentSubject">
    <w:name w:val="annotation subject"/>
    <w:basedOn w:val="CommentText"/>
    <w:next w:val="CommentText"/>
    <w:link w:val="CommentSubjectChar"/>
    <w:uiPriority w:val="99"/>
    <w:semiHidden/>
    <w:unhideWhenUsed/>
    <w:rsid w:val="00B26FBB"/>
    <w:rPr>
      <w:b/>
      <w:bCs/>
    </w:rPr>
  </w:style>
  <w:style w:type="character" w:customStyle="1" w:styleId="CommentSubjectChar">
    <w:name w:val="Comment Subject Char"/>
    <w:basedOn w:val="CommentTextChar"/>
    <w:link w:val="CommentSubject"/>
    <w:uiPriority w:val="99"/>
    <w:semiHidden/>
    <w:rsid w:val="00B26FBB"/>
    <w:rPr>
      <w:rFonts w:cstheme="minorBid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85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1647</Words>
  <Characters>9392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grant</dc:creator>
  <cp:keywords/>
  <dc:description/>
  <cp:lastModifiedBy>Colm O'Dwyer</cp:lastModifiedBy>
  <cp:revision>17</cp:revision>
  <dcterms:created xsi:type="dcterms:W3CDTF">2023-05-10T11:35:00Z</dcterms:created>
  <dcterms:modified xsi:type="dcterms:W3CDTF">2023-05-11T14:08:00Z</dcterms:modified>
</cp:coreProperties>
</file>