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670"/>
        <w:gridCol w:w="1134"/>
        <w:gridCol w:w="1276"/>
      </w:tblGrid>
      <w:tr w:rsidR="0047480A" w:rsidRPr="00904412" w14:paraId="75EC9EAE" w14:textId="77777777" w:rsidTr="00337142">
        <w:trPr>
          <w:trHeight w:val="312"/>
        </w:trPr>
        <w:tc>
          <w:tcPr>
            <w:tcW w:w="2405" w:type="dxa"/>
            <w:shd w:val="clear" w:color="000000" w:fill="D9D9D9"/>
            <w:noWrap/>
            <w:vAlign w:val="center"/>
            <w:hideMark/>
          </w:tcPr>
          <w:p w14:paraId="5CC30B86" w14:textId="77777777" w:rsidR="0047480A" w:rsidRPr="00904412" w:rsidRDefault="0047480A" w:rsidP="00337142">
            <w:pPr>
              <w:spacing w:after="0" w:line="240" w:lineRule="auto"/>
              <w:jc w:val="left"/>
              <w:rPr>
                <w:b/>
                <w:bCs/>
                <w:color w:val="000000"/>
                <w:sz w:val="20"/>
                <w:szCs w:val="20"/>
                <w:lang w:eastAsia="en-GB"/>
              </w:rPr>
            </w:pPr>
            <w:r w:rsidRPr="00904412">
              <w:rPr>
                <w:b/>
                <w:bCs/>
                <w:color w:val="000000"/>
                <w:sz w:val="20"/>
                <w:szCs w:val="20"/>
                <w:lang w:eastAsia="en-GB"/>
              </w:rPr>
              <w:t>Domain</w:t>
            </w:r>
          </w:p>
        </w:tc>
        <w:tc>
          <w:tcPr>
            <w:tcW w:w="5670" w:type="dxa"/>
            <w:shd w:val="clear" w:color="000000" w:fill="D9D9D9"/>
            <w:noWrap/>
            <w:vAlign w:val="center"/>
            <w:hideMark/>
          </w:tcPr>
          <w:p w14:paraId="419DEA5F" w14:textId="77777777" w:rsidR="0047480A" w:rsidRPr="00904412" w:rsidRDefault="0047480A" w:rsidP="00337142">
            <w:pPr>
              <w:spacing w:after="0" w:line="240" w:lineRule="auto"/>
              <w:jc w:val="left"/>
              <w:rPr>
                <w:b/>
                <w:bCs/>
                <w:color w:val="000000"/>
                <w:sz w:val="20"/>
                <w:szCs w:val="20"/>
                <w:lang w:eastAsia="en-GB"/>
              </w:rPr>
            </w:pPr>
            <w:r w:rsidRPr="00904412">
              <w:rPr>
                <w:b/>
                <w:bCs/>
                <w:color w:val="000000"/>
                <w:sz w:val="20"/>
                <w:szCs w:val="20"/>
                <w:lang w:eastAsia="en-GB"/>
              </w:rPr>
              <w:t>Definition</w:t>
            </w:r>
          </w:p>
        </w:tc>
        <w:tc>
          <w:tcPr>
            <w:tcW w:w="1134" w:type="dxa"/>
            <w:shd w:val="clear" w:color="000000" w:fill="D9D9D9"/>
            <w:noWrap/>
            <w:vAlign w:val="center"/>
            <w:hideMark/>
          </w:tcPr>
          <w:p w14:paraId="62351E6B" w14:textId="77777777" w:rsidR="0047480A" w:rsidRPr="00904412" w:rsidRDefault="0047480A" w:rsidP="00337142">
            <w:pPr>
              <w:spacing w:after="0" w:line="240" w:lineRule="auto"/>
              <w:jc w:val="center"/>
              <w:rPr>
                <w:b/>
                <w:bCs/>
                <w:color w:val="000000"/>
                <w:sz w:val="20"/>
                <w:szCs w:val="20"/>
                <w:lang w:eastAsia="en-GB"/>
              </w:rPr>
            </w:pPr>
            <w:r w:rsidRPr="00904412">
              <w:rPr>
                <w:b/>
                <w:bCs/>
                <w:color w:val="000000"/>
                <w:sz w:val="20"/>
                <w:szCs w:val="20"/>
                <w:lang w:eastAsia="en-GB"/>
              </w:rPr>
              <w:t>No. of Outcomes</w:t>
            </w:r>
          </w:p>
        </w:tc>
        <w:tc>
          <w:tcPr>
            <w:tcW w:w="1276" w:type="dxa"/>
            <w:shd w:val="clear" w:color="000000" w:fill="D9D9D9"/>
            <w:noWrap/>
            <w:vAlign w:val="center"/>
            <w:hideMark/>
          </w:tcPr>
          <w:p w14:paraId="2ADCDBE5" w14:textId="77777777" w:rsidR="0047480A" w:rsidRPr="00904412" w:rsidRDefault="0047480A" w:rsidP="00337142">
            <w:pPr>
              <w:spacing w:after="0" w:line="240" w:lineRule="auto"/>
              <w:jc w:val="center"/>
              <w:rPr>
                <w:b/>
                <w:bCs/>
                <w:color w:val="000000"/>
                <w:sz w:val="20"/>
                <w:szCs w:val="20"/>
                <w:lang w:eastAsia="en-GB"/>
              </w:rPr>
            </w:pPr>
            <w:r w:rsidRPr="00904412">
              <w:rPr>
                <w:b/>
                <w:bCs/>
                <w:color w:val="000000"/>
                <w:sz w:val="20"/>
                <w:szCs w:val="20"/>
                <w:lang w:eastAsia="en-GB"/>
              </w:rPr>
              <w:t>No. of Studies</w:t>
            </w:r>
          </w:p>
        </w:tc>
      </w:tr>
      <w:tr w:rsidR="0047480A" w:rsidRPr="00904412" w14:paraId="2510F9C4" w14:textId="77777777" w:rsidTr="00337142">
        <w:trPr>
          <w:trHeight w:val="828"/>
        </w:trPr>
        <w:tc>
          <w:tcPr>
            <w:tcW w:w="2405" w:type="dxa"/>
            <w:shd w:val="clear" w:color="auto" w:fill="auto"/>
            <w:vAlign w:val="center"/>
            <w:hideMark/>
          </w:tcPr>
          <w:p w14:paraId="119065C9"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Labour &amp; Birth</w:t>
            </w:r>
          </w:p>
        </w:tc>
        <w:tc>
          <w:tcPr>
            <w:tcW w:w="5670" w:type="dxa"/>
            <w:shd w:val="clear" w:color="auto" w:fill="auto"/>
            <w:vAlign w:val="center"/>
            <w:hideMark/>
          </w:tcPr>
          <w:p w14:paraId="6B9D8B23"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Medical outcomes related labour and birth, for example, time from induction to birth, adverse events or complications during birth, mode of birth, use of analgesia</w:t>
            </w:r>
          </w:p>
        </w:tc>
        <w:tc>
          <w:tcPr>
            <w:tcW w:w="1134" w:type="dxa"/>
            <w:shd w:val="clear" w:color="auto" w:fill="auto"/>
            <w:vAlign w:val="center"/>
            <w:hideMark/>
          </w:tcPr>
          <w:p w14:paraId="15EFA39F"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52</w:t>
            </w:r>
          </w:p>
        </w:tc>
        <w:tc>
          <w:tcPr>
            <w:tcW w:w="1276" w:type="dxa"/>
            <w:shd w:val="clear" w:color="auto" w:fill="auto"/>
            <w:vAlign w:val="center"/>
            <w:hideMark/>
          </w:tcPr>
          <w:p w14:paraId="2564BF70"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55</w:t>
            </w:r>
          </w:p>
        </w:tc>
      </w:tr>
      <w:tr w:rsidR="0047480A" w:rsidRPr="00904412" w14:paraId="50382EAC" w14:textId="77777777" w:rsidTr="00337142">
        <w:trPr>
          <w:trHeight w:val="828"/>
        </w:trPr>
        <w:tc>
          <w:tcPr>
            <w:tcW w:w="2405" w:type="dxa"/>
            <w:shd w:val="clear" w:color="auto" w:fill="auto"/>
            <w:vAlign w:val="center"/>
            <w:hideMark/>
          </w:tcPr>
          <w:p w14:paraId="174A9206"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Postpartum</w:t>
            </w:r>
          </w:p>
        </w:tc>
        <w:tc>
          <w:tcPr>
            <w:tcW w:w="5670" w:type="dxa"/>
            <w:shd w:val="clear" w:color="auto" w:fill="auto"/>
            <w:vAlign w:val="center"/>
            <w:hideMark/>
          </w:tcPr>
          <w:p w14:paraId="22D09E0A"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Medical outcomes immediately following birth and up to six weeks afterwards, postpartum complications, for example, postpartum haemorrhage, retained placenta</w:t>
            </w:r>
          </w:p>
        </w:tc>
        <w:tc>
          <w:tcPr>
            <w:tcW w:w="1134" w:type="dxa"/>
            <w:shd w:val="clear" w:color="auto" w:fill="auto"/>
            <w:vAlign w:val="center"/>
            <w:hideMark/>
          </w:tcPr>
          <w:p w14:paraId="384B9F67"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3</w:t>
            </w:r>
            <w:r>
              <w:rPr>
                <w:color w:val="000000"/>
                <w:sz w:val="20"/>
                <w:szCs w:val="20"/>
                <w:lang w:eastAsia="en-GB"/>
              </w:rPr>
              <w:t>8</w:t>
            </w:r>
          </w:p>
        </w:tc>
        <w:tc>
          <w:tcPr>
            <w:tcW w:w="1276" w:type="dxa"/>
            <w:shd w:val="clear" w:color="auto" w:fill="auto"/>
            <w:vAlign w:val="center"/>
            <w:hideMark/>
          </w:tcPr>
          <w:p w14:paraId="482F0DFB"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32</w:t>
            </w:r>
          </w:p>
        </w:tc>
      </w:tr>
      <w:tr w:rsidR="0047480A" w:rsidRPr="00904412" w14:paraId="778DDE0E" w14:textId="77777777" w:rsidTr="00337142">
        <w:trPr>
          <w:trHeight w:val="1104"/>
        </w:trPr>
        <w:tc>
          <w:tcPr>
            <w:tcW w:w="2405" w:type="dxa"/>
            <w:shd w:val="clear" w:color="auto" w:fill="auto"/>
            <w:vAlign w:val="center"/>
            <w:hideMark/>
          </w:tcPr>
          <w:p w14:paraId="16636A2F"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Delivery of care</w:t>
            </w:r>
          </w:p>
        </w:tc>
        <w:tc>
          <w:tcPr>
            <w:tcW w:w="5670" w:type="dxa"/>
            <w:shd w:val="clear" w:color="auto" w:fill="auto"/>
            <w:vAlign w:val="center"/>
            <w:hideMark/>
          </w:tcPr>
          <w:p w14:paraId="7EED3D8D"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 xml:space="preserve">Care related outcomes, for example, experience of satisfaction with care or healthcare professionals, support from healthcare professionals, adherence to intervention, hospital use outcomes, length of hospital stay following diagnosis of stillbirth </w:t>
            </w:r>
          </w:p>
        </w:tc>
        <w:tc>
          <w:tcPr>
            <w:tcW w:w="1134" w:type="dxa"/>
            <w:shd w:val="clear" w:color="auto" w:fill="auto"/>
            <w:vAlign w:val="center"/>
            <w:hideMark/>
          </w:tcPr>
          <w:p w14:paraId="6E5F3811"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29</w:t>
            </w:r>
          </w:p>
        </w:tc>
        <w:tc>
          <w:tcPr>
            <w:tcW w:w="1276" w:type="dxa"/>
            <w:shd w:val="clear" w:color="auto" w:fill="auto"/>
            <w:vAlign w:val="center"/>
            <w:hideMark/>
          </w:tcPr>
          <w:p w14:paraId="55F6C91A"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45</w:t>
            </w:r>
          </w:p>
        </w:tc>
      </w:tr>
      <w:tr w:rsidR="0047480A" w:rsidRPr="00904412" w14:paraId="6A66908C" w14:textId="77777777" w:rsidTr="00337142">
        <w:trPr>
          <w:trHeight w:val="828"/>
        </w:trPr>
        <w:tc>
          <w:tcPr>
            <w:tcW w:w="2405" w:type="dxa"/>
            <w:shd w:val="clear" w:color="auto" w:fill="auto"/>
            <w:vAlign w:val="center"/>
            <w:hideMark/>
          </w:tcPr>
          <w:p w14:paraId="188CC9B5"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 xml:space="preserve">Investigations </w:t>
            </w:r>
          </w:p>
        </w:tc>
        <w:tc>
          <w:tcPr>
            <w:tcW w:w="5670" w:type="dxa"/>
            <w:shd w:val="clear" w:color="auto" w:fill="auto"/>
            <w:vAlign w:val="center"/>
            <w:hideMark/>
          </w:tcPr>
          <w:p w14:paraId="6C22D9BA"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Outcomes related to the investigation of stillbirth, for example, identification of cause of death or medical diagnosis following investigation, proportion consenting to post-mortem or investigations</w:t>
            </w:r>
          </w:p>
        </w:tc>
        <w:tc>
          <w:tcPr>
            <w:tcW w:w="1134" w:type="dxa"/>
            <w:shd w:val="clear" w:color="auto" w:fill="auto"/>
            <w:vAlign w:val="center"/>
            <w:hideMark/>
          </w:tcPr>
          <w:p w14:paraId="10079E86"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127</w:t>
            </w:r>
          </w:p>
        </w:tc>
        <w:tc>
          <w:tcPr>
            <w:tcW w:w="1276" w:type="dxa"/>
            <w:shd w:val="clear" w:color="auto" w:fill="auto"/>
            <w:vAlign w:val="center"/>
            <w:hideMark/>
          </w:tcPr>
          <w:p w14:paraId="0F59282A"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120</w:t>
            </w:r>
          </w:p>
        </w:tc>
      </w:tr>
      <w:tr w:rsidR="0047480A" w:rsidRPr="00904412" w14:paraId="0554FDCD" w14:textId="77777777" w:rsidTr="00337142">
        <w:trPr>
          <w:trHeight w:val="828"/>
        </w:trPr>
        <w:tc>
          <w:tcPr>
            <w:tcW w:w="2405" w:type="dxa"/>
            <w:shd w:val="clear" w:color="auto" w:fill="auto"/>
            <w:vAlign w:val="center"/>
            <w:hideMark/>
          </w:tcPr>
          <w:p w14:paraId="7BC43B06"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Multiple pregnancy outcomes</w:t>
            </w:r>
          </w:p>
        </w:tc>
        <w:tc>
          <w:tcPr>
            <w:tcW w:w="5670" w:type="dxa"/>
            <w:shd w:val="clear" w:color="auto" w:fill="auto"/>
            <w:vAlign w:val="center"/>
            <w:hideMark/>
          </w:tcPr>
          <w:p w14:paraId="32195229"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Outcomes specifically related to when a stillbirth occurs in a multiple pregnancy, for example, clinical outcomes of surviving twin, attachment to survivor</w:t>
            </w:r>
          </w:p>
        </w:tc>
        <w:tc>
          <w:tcPr>
            <w:tcW w:w="1134" w:type="dxa"/>
            <w:shd w:val="clear" w:color="auto" w:fill="auto"/>
            <w:vAlign w:val="center"/>
            <w:hideMark/>
          </w:tcPr>
          <w:p w14:paraId="1071C7D6"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8</w:t>
            </w:r>
          </w:p>
        </w:tc>
        <w:tc>
          <w:tcPr>
            <w:tcW w:w="1276" w:type="dxa"/>
            <w:shd w:val="clear" w:color="auto" w:fill="auto"/>
            <w:vAlign w:val="center"/>
            <w:hideMark/>
          </w:tcPr>
          <w:p w14:paraId="780C2784"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2</w:t>
            </w:r>
          </w:p>
        </w:tc>
      </w:tr>
      <w:tr w:rsidR="0047480A" w:rsidRPr="00904412" w14:paraId="4C1C651E" w14:textId="77777777" w:rsidTr="00337142">
        <w:trPr>
          <w:trHeight w:val="552"/>
        </w:trPr>
        <w:tc>
          <w:tcPr>
            <w:tcW w:w="2405" w:type="dxa"/>
            <w:shd w:val="clear" w:color="auto" w:fill="auto"/>
            <w:vAlign w:val="center"/>
            <w:hideMark/>
          </w:tcPr>
          <w:p w14:paraId="289944EA"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Mental health</w:t>
            </w:r>
          </w:p>
        </w:tc>
        <w:tc>
          <w:tcPr>
            <w:tcW w:w="5670" w:type="dxa"/>
            <w:shd w:val="clear" w:color="auto" w:fill="auto"/>
            <w:vAlign w:val="center"/>
            <w:hideMark/>
          </w:tcPr>
          <w:p w14:paraId="1AF59BA1"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Outcomes related to mental health, for example, depression, anxiety, PTSD</w:t>
            </w:r>
          </w:p>
        </w:tc>
        <w:tc>
          <w:tcPr>
            <w:tcW w:w="1134" w:type="dxa"/>
            <w:shd w:val="clear" w:color="auto" w:fill="auto"/>
            <w:vAlign w:val="center"/>
            <w:hideMark/>
          </w:tcPr>
          <w:p w14:paraId="5B602210"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1</w:t>
            </w:r>
            <w:r>
              <w:rPr>
                <w:color w:val="000000"/>
                <w:sz w:val="20"/>
                <w:szCs w:val="20"/>
                <w:lang w:eastAsia="en-GB"/>
              </w:rPr>
              <w:t>8</w:t>
            </w:r>
          </w:p>
        </w:tc>
        <w:tc>
          <w:tcPr>
            <w:tcW w:w="1276" w:type="dxa"/>
            <w:shd w:val="clear" w:color="auto" w:fill="auto"/>
            <w:vAlign w:val="center"/>
            <w:hideMark/>
          </w:tcPr>
          <w:p w14:paraId="1207B0F5"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35</w:t>
            </w:r>
          </w:p>
        </w:tc>
      </w:tr>
      <w:tr w:rsidR="0047480A" w:rsidRPr="00904412" w14:paraId="77A7937A" w14:textId="77777777" w:rsidTr="00337142">
        <w:trPr>
          <w:trHeight w:val="552"/>
        </w:trPr>
        <w:tc>
          <w:tcPr>
            <w:tcW w:w="2405" w:type="dxa"/>
            <w:shd w:val="clear" w:color="auto" w:fill="auto"/>
            <w:vAlign w:val="center"/>
            <w:hideMark/>
          </w:tcPr>
          <w:p w14:paraId="78601FFD"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Emotional functioning</w:t>
            </w:r>
          </w:p>
        </w:tc>
        <w:tc>
          <w:tcPr>
            <w:tcW w:w="5670" w:type="dxa"/>
            <w:shd w:val="clear" w:color="auto" w:fill="auto"/>
            <w:vAlign w:val="center"/>
            <w:hideMark/>
          </w:tcPr>
          <w:p w14:paraId="1AB822ED"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Outcomes related to emotional health, for example, emotional regulation, feelings, self-compassion</w:t>
            </w:r>
          </w:p>
        </w:tc>
        <w:tc>
          <w:tcPr>
            <w:tcW w:w="1134" w:type="dxa"/>
            <w:shd w:val="clear" w:color="auto" w:fill="auto"/>
            <w:vAlign w:val="center"/>
            <w:hideMark/>
          </w:tcPr>
          <w:p w14:paraId="252094DF"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27</w:t>
            </w:r>
          </w:p>
        </w:tc>
        <w:tc>
          <w:tcPr>
            <w:tcW w:w="1276" w:type="dxa"/>
            <w:shd w:val="clear" w:color="auto" w:fill="auto"/>
            <w:vAlign w:val="center"/>
            <w:hideMark/>
          </w:tcPr>
          <w:p w14:paraId="6DFC0062"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20</w:t>
            </w:r>
          </w:p>
        </w:tc>
      </w:tr>
      <w:tr w:rsidR="0047480A" w:rsidRPr="00904412" w14:paraId="25F0A56A" w14:textId="77777777" w:rsidTr="00337142">
        <w:trPr>
          <w:trHeight w:val="552"/>
        </w:trPr>
        <w:tc>
          <w:tcPr>
            <w:tcW w:w="2405" w:type="dxa"/>
            <w:shd w:val="clear" w:color="auto" w:fill="auto"/>
            <w:vAlign w:val="center"/>
            <w:hideMark/>
          </w:tcPr>
          <w:p w14:paraId="72D1B477"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Grief and bereavement outcomes</w:t>
            </w:r>
          </w:p>
        </w:tc>
        <w:tc>
          <w:tcPr>
            <w:tcW w:w="5670" w:type="dxa"/>
            <w:shd w:val="clear" w:color="auto" w:fill="auto"/>
            <w:vAlign w:val="center"/>
            <w:hideMark/>
          </w:tcPr>
          <w:p w14:paraId="720530E3"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Outcomes related to grief and bereavement, for example, grief, complicated grief, coping with grief</w:t>
            </w:r>
          </w:p>
        </w:tc>
        <w:tc>
          <w:tcPr>
            <w:tcW w:w="1134" w:type="dxa"/>
            <w:shd w:val="clear" w:color="auto" w:fill="auto"/>
            <w:vAlign w:val="center"/>
            <w:hideMark/>
          </w:tcPr>
          <w:p w14:paraId="4C3177D0"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9</w:t>
            </w:r>
          </w:p>
        </w:tc>
        <w:tc>
          <w:tcPr>
            <w:tcW w:w="1276" w:type="dxa"/>
            <w:shd w:val="clear" w:color="auto" w:fill="auto"/>
            <w:vAlign w:val="center"/>
            <w:hideMark/>
          </w:tcPr>
          <w:p w14:paraId="20CE5070"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22</w:t>
            </w:r>
          </w:p>
        </w:tc>
      </w:tr>
      <w:tr w:rsidR="0047480A" w:rsidRPr="00904412" w14:paraId="6126A35B" w14:textId="77777777" w:rsidTr="00337142">
        <w:trPr>
          <w:trHeight w:val="552"/>
        </w:trPr>
        <w:tc>
          <w:tcPr>
            <w:tcW w:w="2405" w:type="dxa"/>
            <w:shd w:val="clear" w:color="auto" w:fill="auto"/>
            <w:vAlign w:val="center"/>
            <w:hideMark/>
          </w:tcPr>
          <w:p w14:paraId="1C06AD59"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Social functioning</w:t>
            </w:r>
          </w:p>
        </w:tc>
        <w:tc>
          <w:tcPr>
            <w:tcW w:w="5670" w:type="dxa"/>
            <w:shd w:val="clear" w:color="auto" w:fill="auto"/>
            <w:vAlign w:val="center"/>
            <w:hideMark/>
          </w:tcPr>
          <w:p w14:paraId="47350101"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Outcomes related to social functioning, for example, social support, support from family, friends, social role impairment</w:t>
            </w:r>
          </w:p>
        </w:tc>
        <w:tc>
          <w:tcPr>
            <w:tcW w:w="1134" w:type="dxa"/>
            <w:shd w:val="clear" w:color="auto" w:fill="auto"/>
            <w:vAlign w:val="center"/>
            <w:hideMark/>
          </w:tcPr>
          <w:p w14:paraId="57745CC0"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6</w:t>
            </w:r>
          </w:p>
        </w:tc>
        <w:tc>
          <w:tcPr>
            <w:tcW w:w="1276" w:type="dxa"/>
            <w:shd w:val="clear" w:color="auto" w:fill="auto"/>
            <w:vAlign w:val="center"/>
            <w:hideMark/>
          </w:tcPr>
          <w:p w14:paraId="26172657"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6</w:t>
            </w:r>
          </w:p>
        </w:tc>
      </w:tr>
      <w:tr w:rsidR="0047480A" w:rsidRPr="00904412" w14:paraId="1AE0D123" w14:textId="77777777" w:rsidTr="00337142">
        <w:trPr>
          <w:trHeight w:val="552"/>
        </w:trPr>
        <w:tc>
          <w:tcPr>
            <w:tcW w:w="2405" w:type="dxa"/>
            <w:shd w:val="clear" w:color="auto" w:fill="auto"/>
            <w:vAlign w:val="center"/>
            <w:hideMark/>
          </w:tcPr>
          <w:p w14:paraId="2255CC67"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Relationship outcomes</w:t>
            </w:r>
          </w:p>
        </w:tc>
        <w:tc>
          <w:tcPr>
            <w:tcW w:w="5670" w:type="dxa"/>
            <w:shd w:val="clear" w:color="auto" w:fill="auto"/>
            <w:vAlign w:val="center"/>
            <w:hideMark/>
          </w:tcPr>
          <w:p w14:paraId="508F45F0"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Outcomes related to relationships with partner, friends, family, for example, relationship difficulties, quality</w:t>
            </w:r>
          </w:p>
        </w:tc>
        <w:tc>
          <w:tcPr>
            <w:tcW w:w="1134" w:type="dxa"/>
            <w:shd w:val="clear" w:color="auto" w:fill="auto"/>
            <w:vAlign w:val="center"/>
            <w:hideMark/>
          </w:tcPr>
          <w:p w14:paraId="237ADCB5"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6</w:t>
            </w:r>
          </w:p>
        </w:tc>
        <w:tc>
          <w:tcPr>
            <w:tcW w:w="1276" w:type="dxa"/>
            <w:shd w:val="clear" w:color="auto" w:fill="auto"/>
            <w:vAlign w:val="center"/>
            <w:hideMark/>
          </w:tcPr>
          <w:p w14:paraId="3B71E166"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6</w:t>
            </w:r>
          </w:p>
        </w:tc>
      </w:tr>
      <w:tr w:rsidR="0047480A" w:rsidRPr="00904412" w14:paraId="7FEBEB70" w14:textId="77777777" w:rsidTr="00337142">
        <w:trPr>
          <w:trHeight w:val="1104"/>
        </w:trPr>
        <w:tc>
          <w:tcPr>
            <w:tcW w:w="2405" w:type="dxa"/>
            <w:shd w:val="clear" w:color="auto" w:fill="auto"/>
            <w:vAlign w:val="center"/>
            <w:hideMark/>
          </w:tcPr>
          <w:p w14:paraId="3DC3DF57"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Whole person outcomes</w:t>
            </w:r>
          </w:p>
        </w:tc>
        <w:tc>
          <w:tcPr>
            <w:tcW w:w="5670" w:type="dxa"/>
            <w:shd w:val="clear" w:color="auto" w:fill="auto"/>
            <w:vAlign w:val="center"/>
            <w:hideMark/>
          </w:tcPr>
          <w:p w14:paraId="1E5BEC37"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Outcomes related to physical functioning, for example, poor physical health, physical mobility, health-related quality of life, outcomes affecting the whole body and not attributed to a particular system, self-reported health, sleep</w:t>
            </w:r>
          </w:p>
        </w:tc>
        <w:tc>
          <w:tcPr>
            <w:tcW w:w="1134" w:type="dxa"/>
            <w:shd w:val="clear" w:color="auto" w:fill="auto"/>
            <w:vAlign w:val="center"/>
            <w:hideMark/>
          </w:tcPr>
          <w:p w14:paraId="4781CB21"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7</w:t>
            </w:r>
          </w:p>
        </w:tc>
        <w:tc>
          <w:tcPr>
            <w:tcW w:w="1276" w:type="dxa"/>
            <w:shd w:val="clear" w:color="auto" w:fill="auto"/>
            <w:vAlign w:val="center"/>
            <w:hideMark/>
          </w:tcPr>
          <w:p w14:paraId="595A7FF6"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7</w:t>
            </w:r>
          </w:p>
        </w:tc>
      </w:tr>
      <w:tr w:rsidR="0047480A" w:rsidRPr="00904412" w14:paraId="4FDA008D" w14:textId="77777777" w:rsidTr="00337142">
        <w:trPr>
          <w:trHeight w:val="552"/>
        </w:trPr>
        <w:tc>
          <w:tcPr>
            <w:tcW w:w="2405" w:type="dxa"/>
            <w:shd w:val="clear" w:color="auto" w:fill="auto"/>
            <w:vAlign w:val="center"/>
            <w:hideMark/>
          </w:tcPr>
          <w:p w14:paraId="18B4172F"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Subsequent pregnancy</w:t>
            </w:r>
          </w:p>
        </w:tc>
        <w:tc>
          <w:tcPr>
            <w:tcW w:w="5670" w:type="dxa"/>
            <w:shd w:val="clear" w:color="auto" w:fill="auto"/>
            <w:vAlign w:val="center"/>
            <w:hideMark/>
          </w:tcPr>
          <w:p w14:paraId="4FEA2457"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Outcomes related to a subsequent pregnancy after stillbirth, for example, live birth, complications in pregnancy, preterm birth, pregnancy anxiety</w:t>
            </w:r>
          </w:p>
        </w:tc>
        <w:tc>
          <w:tcPr>
            <w:tcW w:w="1134" w:type="dxa"/>
            <w:shd w:val="clear" w:color="auto" w:fill="auto"/>
            <w:vAlign w:val="center"/>
            <w:hideMark/>
          </w:tcPr>
          <w:p w14:paraId="6480F545"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47</w:t>
            </w:r>
          </w:p>
        </w:tc>
        <w:tc>
          <w:tcPr>
            <w:tcW w:w="1276" w:type="dxa"/>
            <w:shd w:val="clear" w:color="auto" w:fill="auto"/>
            <w:vAlign w:val="center"/>
            <w:hideMark/>
          </w:tcPr>
          <w:p w14:paraId="424E45D6"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12</w:t>
            </w:r>
          </w:p>
        </w:tc>
      </w:tr>
      <w:tr w:rsidR="0047480A" w:rsidRPr="00904412" w14:paraId="3BA6E4C5" w14:textId="77777777" w:rsidTr="00337142">
        <w:trPr>
          <w:trHeight w:val="552"/>
        </w:trPr>
        <w:tc>
          <w:tcPr>
            <w:tcW w:w="2405" w:type="dxa"/>
            <w:shd w:val="clear" w:color="auto" w:fill="auto"/>
            <w:vAlign w:val="center"/>
            <w:hideMark/>
          </w:tcPr>
          <w:p w14:paraId="79540AF1"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Subsequent children and siblings</w:t>
            </w:r>
          </w:p>
        </w:tc>
        <w:tc>
          <w:tcPr>
            <w:tcW w:w="5670" w:type="dxa"/>
            <w:shd w:val="clear" w:color="auto" w:fill="auto"/>
            <w:vAlign w:val="center"/>
            <w:hideMark/>
          </w:tcPr>
          <w:p w14:paraId="2834CB12"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Outcomes related to subsequent children and siblings after stillbirth, for example, attachment to infant, parental concerns</w:t>
            </w:r>
          </w:p>
        </w:tc>
        <w:tc>
          <w:tcPr>
            <w:tcW w:w="1134" w:type="dxa"/>
            <w:shd w:val="clear" w:color="auto" w:fill="auto"/>
            <w:vAlign w:val="center"/>
            <w:hideMark/>
          </w:tcPr>
          <w:p w14:paraId="0C5F2D69"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2</w:t>
            </w:r>
          </w:p>
        </w:tc>
        <w:tc>
          <w:tcPr>
            <w:tcW w:w="1276" w:type="dxa"/>
            <w:shd w:val="clear" w:color="auto" w:fill="auto"/>
            <w:vAlign w:val="center"/>
            <w:hideMark/>
          </w:tcPr>
          <w:p w14:paraId="3A5DCDA4"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2</w:t>
            </w:r>
          </w:p>
        </w:tc>
      </w:tr>
      <w:tr w:rsidR="0047480A" w:rsidRPr="00904412" w14:paraId="37061A1F" w14:textId="77777777" w:rsidTr="00337142">
        <w:trPr>
          <w:trHeight w:val="552"/>
        </w:trPr>
        <w:tc>
          <w:tcPr>
            <w:tcW w:w="2405" w:type="dxa"/>
            <w:shd w:val="clear" w:color="auto" w:fill="auto"/>
            <w:vAlign w:val="center"/>
            <w:hideMark/>
          </w:tcPr>
          <w:p w14:paraId="0CA32B64"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 xml:space="preserve">Economic </w:t>
            </w:r>
          </w:p>
        </w:tc>
        <w:tc>
          <w:tcPr>
            <w:tcW w:w="5670" w:type="dxa"/>
            <w:shd w:val="clear" w:color="auto" w:fill="auto"/>
            <w:vAlign w:val="center"/>
            <w:hideMark/>
          </w:tcPr>
          <w:p w14:paraId="6AC45C4A" w14:textId="77777777" w:rsidR="0047480A" w:rsidRPr="00904412" w:rsidRDefault="0047480A" w:rsidP="00337142">
            <w:pPr>
              <w:spacing w:after="0" w:line="240" w:lineRule="auto"/>
              <w:jc w:val="left"/>
              <w:rPr>
                <w:color w:val="000000"/>
                <w:sz w:val="20"/>
                <w:szCs w:val="20"/>
                <w:lang w:eastAsia="en-GB"/>
              </w:rPr>
            </w:pPr>
            <w:r w:rsidRPr="00904412">
              <w:rPr>
                <w:color w:val="000000"/>
                <w:sz w:val="20"/>
                <w:szCs w:val="20"/>
                <w:lang w:eastAsia="en-GB"/>
              </w:rPr>
              <w:t xml:space="preserve">Outcomes related to the financial cost of stillbirth intervention or care, for example, costs of hospital care and treatment </w:t>
            </w:r>
          </w:p>
        </w:tc>
        <w:tc>
          <w:tcPr>
            <w:tcW w:w="1134" w:type="dxa"/>
            <w:shd w:val="clear" w:color="auto" w:fill="auto"/>
            <w:vAlign w:val="center"/>
            <w:hideMark/>
          </w:tcPr>
          <w:p w14:paraId="0A156F3C"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15</w:t>
            </w:r>
          </w:p>
        </w:tc>
        <w:tc>
          <w:tcPr>
            <w:tcW w:w="1276" w:type="dxa"/>
            <w:shd w:val="clear" w:color="auto" w:fill="auto"/>
            <w:vAlign w:val="center"/>
            <w:hideMark/>
          </w:tcPr>
          <w:p w14:paraId="7358F6EF" w14:textId="77777777" w:rsidR="0047480A" w:rsidRPr="00904412" w:rsidRDefault="0047480A" w:rsidP="00337142">
            <w:pPr>
              <w:spacing w:after="0" w:line="240" w:lineRule="auto"/>
              <w:jc w:val="center"/>
              <w:rPr>
                <w:color w:val="000000"/>
                <w:sz w:val="20"/>
                <w:szCs w:val="20"/>
                <w:lang w:eastAsia="en-GB"/>
              </w:rPr>
            </w:pPr>
            <w:r w:rsidRPr="00904412">
              <w:rPr>
                <w:color w:val="000000"/>
                <w:sz w:val="20"/>
                <w:szCs w:val="20"/>
                <w:lang w:eastAsia="en-GB"/>
              </w:rPr>
              <w:t>5</w:t>
            </w:r>
          </w:p>
        </w:tc>
      </w:tr>
    </w:tbl>
    <w:p w14:paraId="084394B2" w14:textId="77777777" w:rsidR="00A0753A" w:rsidRDefault="00A0753A"/>
    <w:sectPr w:rsidR="00A0753A" w:rsidSect="0047480A">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C3AE2" w14:textId="77777777" w:rsidR="00A33DF1" w:rsidRDefault="00A33DF1" w:rsidP="005C36E4">
      <w:pPr>
        <w:spacing w:after="0" w:line="240" w:lineRule="auto"/>
      </w:pPr>
      <w:r>
        <w:separator/>
      </w:r>
    </w:p>
  </w:endnote>
  <w:endnote w:type="continuationSeparator" w:id="0">
    <w:p w14:paraId="20A1833A" w14:textId="77777777" w:rsidR="00A33DF1" w:rsidRDefault="00A33DF1" w:rsidP="005C3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D9CB8" w14:textId="77777777" w:rsidR="005C36E4" w:rsidRDefault="005C36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08C4D" w14:textId="77777777" w:rsidR="005C36E4" w:rsidRDefault="005C3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90791" w14:textId="77777777" w:rsidR="005C36E4" w:rsidRDefault="005C3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E84C8" w14:textId="77777777" w:rsidR="00A33DF1" w:rsidRDefault="00A33DF1" w:rsidP="005C36E4">
      <w:pPr>
        <w:spacing w:after="0" w:line="240" w:lineRule="auto"/>
      </w:pPr>
      <w:r>
        <w:separator/>
      </w:r>
    </w:p>
  </w:footnote>
  <w:footnote w:type="continuationSeparator" w:id="0">
    <w:p w14:paraId="6BE6167E" w14:textId="77777777" w:rsidR="00A33DF1" w:rsidRDefault="00A33DF1" w:rsidP="005C3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0C2B2" w14:textId="77777777" w:rsidR="005C36E4" w:rsidRDefault="005C3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F093F" w14:textId="6E023D1F" w:rsidR="005C36E4" w:rsidRPr="00112421" w:rsidRDefault="005C36E4" w:rsidP="005C36E4">
    <w:r w:rsidRPr="00112421">
      <w:rPr>
        <w:b/>
        <w:bCs/>
      </w:rPr>
      <w:t>Table 3:</w:t>
    </w:r>
    <w:r w:rsidRPr="00112421">
      <w:t xml:space="preserve"> Summary table of outcomes and domains from sy</w:t>
    </w:r>
    <w:r>
      <w:t xml:space="preserve">stematic review </w:t>
    </w:r>
  </w:p>
  <w:p w14:paraId="35D01CA3" w14:textId="034EFDE6" w:rsidR="005C36E4" w:rsidRDefault="005C36E4">
    <w:pPr>
      <w:pStyle w:val="Header"/>
    </w:pPr>
  </w:p>
  <w:p w14:paraId="39C1955A" w14:textId="77777777" w:rsidR="005C36E4" w:rsidRDefault="005C3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F80D4" w14:textId="77777777" w:rsidR="005C36E4" w:rsidRDefault="005C36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3A"/>
    <w:rsid w:val="0047480A"/>
    <w:rsid w:val="005C36E4"/>
    <w:rsid w:val="00A0753A"/>
    <w:rsid w:val="00A33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03F5F"/>
  <w15:chartTrackingRefBased/>
  <w15:docId w15:val="{0E96E7EE-50E0-B54A-B376-7652B033C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80A"/>
    <w:pPr>
      <w:spacing w:after="240" w:line="360" w:lineRule="auto"/>
      <w:jc w:val="both"/>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6E4"/>
    <w:rPr>
      <w:rFonts w:ascii="Calibri" w:eastAsia="Times New Roman" w:hAnsi="Calibri" w:cs="Calibri"/>
    </w:rPr>
  </w:style>
  <w:style w:type="paragraph" w:styleId="Footer">
    <w:name w:val="footer"/>
    <w:basedOn w:val="Normal"/>
    <w:link w:val="FooterChar"/>
    <w:uiPriority w:val="99"/>
    <w:unhideWhenUsed/>
    <w:rsid w:val="005C3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6E4"/>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Danya Bakhbakhi</dc:creator>
  <cp:keywords/>
  <dc:description/>
  <cp:lastModifiedBy>Danya Bakhbakhi</cp:lastModifiedBy>
  <cp:revision>3</cp:revision>
  <dcterms:created xsi:type="dcterms:W3CDTF">2022-06-08T11:27:00Z</dcterms:created>
  <dcterms:modified xsi:type="dcterms:W3CDTF">2022-06-08T11:33:00Z</dcterms:modified>
</cp:coreProperties>
</file>