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EB9C" w14:textId="77777777" w:rsidR="00D345C0" w:rsidRPr="00A508FF" w:rsidRDefault="00D345C0" w:rsidP="00D345C0">
      <w:pPr>
        <w:rPr>
          <w:rFonts w:ascii="Times New Roman" w:hAnsi="Times New Roman" w:cs="Times New Roman"/>
          <w:b/>
          <w:sz w:val="28"/>
          <w:szCs w:val="28"/>
          <w:lang w:val="en"/>
        </w:rPr>
      </w:pPr>
      <w:r w:rsidRPr="00A508FF">
        <w:rPr>
          <w:rFonts w:ascii="Times New Roman" w:hAnsi="Times New Roman" w:cs="Times New Roman"/>
          <w:b/>
          <w:sz w:val="28"/>
          <w:szCs w:val="28"/>
          <w:lang w:val="en"/>
        </w:rPr>
        <w:t>Supplementary Material</w:t>
      </w:r>
    </w:p>
    <w:p w14:paraId="5BB584BB" w14:textId="77777777" w:rsidR="00D20CB7" w:rsidRPr="00A508FF" w:rsidRDefault="00D20CB7" w:rsidP="00D345C0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9CBC9E7" w14:textId="68428A03" w:rsidR="00D345C0" w:rsidRPr="00A508FF" w:rsidRDefault="00D345C0" w:rsidP="00D345C0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A508FF">
        <w:rPr>
          <w:rFonts w:ascii="Times New Roman" w:hAnsi="Times New Roman" w:cs="Times New Roman"/>
          <w:b/>
          <w:bCs/>
          <w:lang w:val="en-GB"/>
        </w:rPr>
        <w:t>Tailoring an implementation strategy for deprescribing as part of a Comprehensive Geriatric Assessment (dCGA) in long-term care facilities: A roundtable discussion</w:t>
      </w:r>
    </w:p>
    <w:p w14:paraId="0DCAB9ED" w14:textId="77777777" w:rsidR="00D20CB7" w:rsidRPr="00A508FF" w:rsidRDefault="00D20CB7" w:rsidP="00D345C0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1E793CC1" w14:textId="5DB1EC7F" w:rsidR="00D345C0" w:rsidRPr="00A508FF" w:rsidRDefault="00D345C0" w:rsidP="00D345C0">
      <w:pPr>
        <w:spacing w:line="360" w:lineRule="auto"/>
        <w:jc w:val="both"/>
        <w:rPr>
          <w:rFonts w:ascii="Times New Roman" w:hAnsi="Times New Roman" w:cs="Times New Roman"/>
          <w:vertAlign w:val="superscript"/>
          <w:lang w:val="en-GB"/>
        </w:rPr>
      </w:pPr>
      <w:r w:rsidRPr="00A508FF">
        <w:rPr>
          <w:rFonts w:ascii="Times New Roman" w:hAnsi="Times New Roman" w:cs="Times New Roman"/>
          <w:lang w:val="en-GB"/>
        </w:rPr>
        <w:t>Dora Belec</w:t>
      </w:r>
      <w:r w:rsidRPr="00A508FF">
        <w:rPr>
          <w:rFonts w:ascii="Times New Roman" w:hAnsi="Times New Roman" w:cs="Times New Roman"/>
          <w:vertAlign w:val="superscript"/>
          <w:lang w:val="en-GB"/>
        </w:rPr>
        <w:t>1</w:t>
      </w:r>
      <w:r w:rsidRPr="00A508FF">
        <w:rPr>
          <w:rFonts w:ascii="Times New Roman" w:hAnsi="Times New Roman" w:cs="Times New Roman"/>
          <w:lang w:val="en-GB"/>
        </w:rPr>
        <w:t>, Kieran Dalton</w:t>
      </w:r>
      <w:r w:rsidRPr="00A508FF">
        <w:rPr>
          <w:rFonts w:ascii="Times New Roman" w:hAnsi="Times New Roman" w:cs="Times New Roman"/>
          <w:vertAlign w:val="superscript"/>
          <w:lang w:val="en-GB"/>
        </w:rPr>
        <w:t>2</w:t>
      </w:r>
      <w:r w:rsidRPr="00A508FF">
        <w:rPr>
          <w:rFonts w:ascii="Times New Roman" w:hAnsi="Times New Roman" w:cs="Times New Roman"/>
          <w:lang w:val="en-GB"/>
        </w:rPr>
        <w:t>, Clara H Heinrich</w:t>
      </w:r>
      <w:r w:rsidRPr="00A508FF">
        <w:rPr>
          <w:rFonts w:ascii="Times New Roman" w:hAnsi="Times New Roman" w:cs="Times New Roman"/>
          <w:vertAlign w:val="superscript"/>
          <w:lang w:val="en-GB"/>
        </w:rPr>
        <w:t>2,3</w:t>
      </w:r>
      <w:r w:rsidRPr="00A508FF">
        <w:rPr>
          <w:rFonts w:ascii="Times New Roman" w:hAnsi="Times New Roman" w:cs="Times New Roman"/>
          <w:lang w:val="en-GB"/>
        </w:rPr>
        <w:t>, Maja Ortner Hadžiabdić</w:t>
      </w:r>
      <w:r w:rsidRPr="00A508FF">
        <w:rPr>
          <w:rFonts w:ascii="Times New Roman" w:hAnsi="Times New Roman" w:cs="Times New Roman"/>
          <w:vertAlign w:val="superscript"/>
          <w:lang w:val="en-GB"/>
        </w:rPr>
        <w:t>1</w:t>
      </w:r>
      <w:r w:rsidRPr="00A508FF">
        <w:rPr>
          <w:rFonts w:ascii="Times New Roman" w:hAnsi="Times New Roman" w:cs="Times New Roman"/>
          <w:lang w:val="en-GB"/>
        </w:rPr>
        <w:t>, Maria D Donovan</w:t>
      </w:r>
      <w:r w:rsidRPr="00A508FF">
        <w:rPr>
          <w:rFonts w:ascii="Times New Roman" w:hAnsi="Times New Roman" w:cs="Times New Roman"/>
          <w:vertAlign w:val="superscript"/>
          <w:lang w:val="en-GB"/>
        </w:rPr>
        <w:t>2</w:t>
      </w:r>
    </w:p>
    <w:p w14:paraId="1BE67123" w14:textId="77777777" w:rsidR="00D345C0" w:rsidRPr="00A508FF" w:rsidRDefault="00D345C0" w:rsidP="00D345C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5D57A37C" w14:textId="0CEE54B1" w:rsidR="00D345C0" w:rsidRPr="00A508FF" w:rsidRDefault="00D345C0" w:rsidP="00696B59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A508FF">
        <w:rPr>
          <w:rFonts w:ascii="Times New Roman" w:hAnsi="Times New Roman" w:cs="Times New Roman"/>
          <w:vertAlign w:val="superscript"/>
          <w:lang w:val="en-GB"/>
        </w:rPr>
        <w:t>1</w:t>
      </w:r>
      <w:r w:rsidRPr="00A508FF">
        <w:rPr>
          <w:rFonts w:ascii="Times New Roman" w:hAnsi="Times New Roman" w:cs="Times New Roman"/>
          <w:lang w:val="en-GB"/>
        </w:rPr>
        <w:t xml:space="preserve"> </w:t>
      </w:r>
      <w:r w:rsidR="00D20CB7" w:rsidRPr="00A508FF">
        <w:rPr>
          <w:rFonts w:ascii="Times New Roman" w:hAnsi="Times New Roman" w:cs="Times New Roman"/>
          <w:lang w:val="en-GB"/>
        </w:rPr>
        <w:t xml:space="preserve">Centre of Applied Pharmacy, </w:t>
      </w:r>
      <w:r w:rsidRPr="00A508FF">
        <w:rPr>
          <w:rFonts w:ascii="Times New Roman" w:hAnsi="Times New Roman" w:cs="Times New Roman"/>
          <w:lang w:val="en-GB"/>
        </w:rPr>
        <w:t xml:space="preserve">Faculty of Pharmacy and Biochemistry, </w:t>
      </w:r>
      <w:r w:rsidR="00D20CB7" w:rsidRPr="00A508FF">
        <w:rPr>
          <w:rFonts w:ascii="Times New Roman" w:hAnsi="Times New Roman" w:cs="Times New Roman"/>
          <w:lang w:val="en-GB"/>
        </w:rPr>
        <w:t xml:space="preserve">University of Zagreb, </w:t>
      </w:r>
      <w:r w:rsidRPr="00A508FF">
        <w:rPr>
          <w:rFonts w:ascii="Times New Roman" w:hAnsi="Times New Roman" w:cs="Times New Roman"/>
          <w:lang w:val="en-GB"/>
        </w:rPr>
        <w:t>10000 Zagreb, Croatia</w:t>
      </w:r>
      <w:r w:rsidR="00D20CB7" w:rsidRPr="00A508FF">
        <w:rPr>
          <w:rFonts w:ascii="Times New Roman" w:hAnsi="Times New Roman" w:cs="Times New Roman"/>
          <w:lang w:val="en-GB"/>
        </w:rPr>
        <w:t>.</w:t>
      </w:r>
    </w:p>
    <w:p w14:paraId="0627C283" w14:textId="461E213F" w:rsidR="00D345C0" w:rsidRPr="00A508FF" w:rsidRDefault="00D345C0" w:rsidP="00696B59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A508FF">
        <w:rPr>
          <w:rFonts w:ascii="Times New Roman" w:hAnsi="Times New Roman" w:cs="Times New Roman"/>
          <w:vertAlign w:val="superscript"/>
          <w:lang w:val="en-GB"/>
        </w:rPr>
        <w:t>2</w:t>
      </w:r>
      <w:r w:rsidRPr="00A508FF">
        <w:rPr>
          <w:rFonts w:ascii="Times New Roman" w:hAnsi="Times New Roman" w:cs="Times New Roman"/>
          <w:lang w:val="en-GB"/>
        </w:rPr>
        <w:t xml:space="preserve"> Pharmaceutical Care Research Group, </w:t>
      </w:r>
      <w:r w:rsidR="00D20CB7" w:rsidRPr="00A508FF">
        <w:rPr>
          <w:rFonts w:ascii="Times New Roman" w:hAnsi="Times New Roman" w:cs="Times New Roman"/>
          <w:lang w:val="en-GB"/>
        </w:rPr>
        <w:t xml:space="preserve">School of Pharmacy, University College Cork, </w:t>
      </w:r>
      <w:r w:rsidRPr="00A508FF">
        <w:rPr>
          <w:rFonts w:ascii="Times New Roman" w:hAnsi="Times New Roman" w:cs="Times New Roman"/>
          <w:lang w:val="en-GB"/>
        </w:rPr>
        <w:t>Cork, Ireland</w:t>
      </w:r>
      <w:r w:rsidR="00D20CB7" w:rsidRPr="00A508FF">
        <w:rPr>
          <w:rFonts w:ascii="Times New Roman" w:hAnsi="Times New Roman" w:cs="Times New Roman"/>
          <w:lang w:val="en-GB"/>
        </w:rPr>
        <w:t>.</w:t>
      </w:r>
    </w:p>
    <w:p w14:paraId="3E5DD5BC" w14:textId="2A195EAC" w:rsidR="00D345C0" w:rsidRPr="00A508FF" w:rsidRDefault="00D345C0" w:rsidP="00696B59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A508FF">
        <w:rPr>
          <w:rFonts w:ascii="Times New Roman" w:hAnsi="Times New Roman" w:cs="Times New Roman"/>
          <w:vertAlign w:val="superscript"/>
          <w:lang w:val="en-GB"/>
        </w:rPr>
        <w:t>3</w:t>
      </w:r>
      <w:r w:rsidR="00D20CB7" w:rsidRPr="00A508FF">
        <w:rPr>
          <w:rFonts w:ascii="Times New Roman" w:hAnsi="Times New Roman" w:cs="Times New Roman"/>
          <w:lang w:val="en-GB"/>
        </w:rPr>
        <w:t xml:space="preserve"> </w:t>
      </w:r>
      <w:r w:rsidR="00696B59" w:rsidRPr="00696B59">
        <w:rPr>
          <w:rFonts w:ascii="Times New Roman" w:hAnsi="Times New Roman" w:cs="Times New Roman"/>
          <w:lang w:val="en-GB"/>
        </w:rPr>
        <w:t>Department of Biological and Pharmaceutical Sciences</w:t>
      </w:r>
      <w:r w:rsidR="00696B59">
        <w:rPr>
          <w:rFonts w:ascii="Times New Roman" w:hAnsi="Times New Roman" w:cs="Times New Roman"/>
          <w:lang w:val="en-GB"/>
        </w:rPr>
        <w:t xml:space="preserve">, </w:t>
      </w:r>
      <w:r w:rsidR="00D20CB7" w:rsidRPr="00A508FF">
        <w:rPr>
          <w:rFonts w:ascii="Times New Roman" w:hAnsi="Times New Roman" w:cs="Times New Roman"/>
          <w:lang w:val="en-GB"/>
        </w:rPr>
        <w:t>Munster Technological U</w:t>
      </w:r>
      <w:r w:rsidRPr="00A508FF">
        <w:rPr>
          <w:rFonts w:ascii="Times New Roman" w:hAnsi="Times New Roman" w:cs="Times New Roman"/>
          <w:lang w:val="en-GB"/>
        </w:rPr>
        <w:t>niversity</w:t>
      </w:r>
      <w:r w:rsidR="00D20CB7" w:rsidRPr="00A508FF">
        <w:rPr>
          <w:rFonts w:ascii="Times New Roman" w:hAnsi="Times New Roman" w:cs="Times New Roman"/>
          <w:lang w:val="en-GB"/>
        </w:rPr>
        <w:t>,</w:t>
      </w:r>
      <w:r w:rsidRPr="00A508FF">
        <w:rPr>
          <w:rFonts w:ascii="Times New Roman" w:hAnsi="Times New Roman" w:cs="Times New Roman"/>
          <w:lang w:val="en-GB"/>
        </w:rPr>
        <w:t xml:space="preserve"> </w:t>
      </w:r>
      <w:r w:rsidR="00D20CB7" w:rsidRPr="00A508FF">
        <w:rPr>
          <w:rFonts w:ascii="Times New Roman" w:hAnsi="Times New Roman" w:cs="Times New Roman"/>
          <w:lang w:val="en-GB"/>
        </w:rPr>
        <w:t>Ke</w:t>
      </w:r>
      <w:r w:rsidRPr="00A508FF">
        <w:rPr>
          <w:rFonts w:ascii="Times New Roman" w:hAnsi="Times New Roman" w:cs="Times New Roman"/>
          <w:lang w:val="en-GB"/>
        </w:rPr>
        <w:t>rry, Ireland</w:t>
      </w:r>
      <w:r w:rsidR="00D20CB7" w:rsidRPr="00A508FF">
        <w:rPr>
          <w:rFonts w:ascii="Times New Roman" w:hAnsi="Times New Roman" w:cs="Times New Roman"/>
          <w:lang w:val="en-GB"/>
        </w:rPr>
        <w:t>.</w:t>
      </w:r>
    </w:p>
    <w:p w14:paraId="04D346E2" w14:textId="77777777" w:rsidR="005E0CD0" w:rsidRPr="00A508FF" w:rsidRDefault="005E0CD0" w:rsidP="00D345C0">
      <w:pPr>
        <w:rPr>
          <w:rFonts w:ascii="Times New Roman" w:hAnsi="Times New Roman" w:cs="Times New Roman"/>
          <w:b/>
          <w:lang w:val="en"/>
        </w:rPr>
      </w:pPr>
    </w:p>
    <w:p w14:paraId="591A4FAE" w14:textId="6587668B" w:rsidR="00D345C0" w:rsidRPr="00A508FF" w:rsidRDefault="00D345C0" w:rsidP="00D345C0">
      <w:pPr>
        <w:rPr>
          <w:rFonts w:ascii="Times New Roman" w:hAnsi="Times New Roman" w:cs="Times New Roman"/>
          <w:lang w:val="en"/>
        </w:rPr>
      </w:pPr>
      <w:r w:rsidRPr="00A508FF">
        <w:rPr>
          <w:rFonts w:ascii="Times New Roman" w:hAnsi="Times New Roman" w:cs="Times New Roman"/>
          <w:b/>
          <w:lang w:val="en"/>
        </w:rPr>
        <w:t>Keywords:</w:t>
      </w:r>
      <w:r w:rsidRPr="00A508FF">
        <w:rPr>
          <w:rFonts w:ascii="Times New Roman" w:hAnsi="Times New Roman" w:cs="Times New Roman"/>
          <w:lang w:val="en"/>
        </w:rPr>
        <w:t xml:space="preserve"> </w:t>
      </w:r>
      <w:proofErr w:type="gramStart"/>
      <w:r w:rsidR="0007683E" w:rsidRPr="00A508FF">
        <w:rPr>
          <w:rFonts w:ascii="Times New Roman" w:hAnsi="Times New Roman" w:cs="Times New Roman"/>
          <w:lang w:val="en"/>
        </w:rPr>
        <w:t>deprescribing</w:t>
      </w:r>
      <w:proofErr w:type="gramEnd"/>
      <w:r w:rsidR="0007683E" w:rsidRPr="00A508FF">
        <w:rPr>
          <w:rFonts w:ascii="Times New Roman" w:hAnsi="Times New Roman" w:cs="Times New Roman"/>
          <w:lang w:val="en"/>
        </w:rPr>
        <w:t>, comprehensive geriatric assessment, long-term care, implementation science, multidisciplinary team</w:t>
      </w:r>
    </w:p>
    <w:p w14:paraId="616FBC25" w14:textId="77777777" w:rsidR="00D345C0" w:rsidRPr="00A508FF" w:rsidRDefault="00D345C0" w:rsidP="00D345C0">
      <w:pPr>
        <w:rPr>
          <w:rFonts w:ascii="Times New Roman" w:hAnsi="Times New Roman" w:cs="Times New Roman"/>
          <w:lang w:val="en"/>
        </w:rPr>
      </w:pPr>
      <w:r w:rsidRPr="00A508FF">
        <w:rPr>
          <w:rFonts w:ascii="Times New Roman" w:hAnsi="Times New Roman" w:cs="Times New Roman"/>
          <w:lang w:val="en"/>
        </w:rPr>
        <w:t xml:space="preserve"> </w:t>
      </w:r>
    </w:p>
    <w:p w14:paraId="1B2984D6" w14:textId="77777777" w:rsidR="00D345C0" w:rsidRPr="00A508FF" w:rsidRDefault="00D345C0" w:rsidP="00D345C0">
      <w:p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508FF">
        <w:rPr>
          <w:rFonts w:ascii="Times New Roman" w:hAnsi="Times New Roman" w:cs="Times New Roman"/>
          <w:b/>
          <w:lang w:val="en"/>
        </w:rPr>
        <w:t>Correspondence:</w:t>
      </w:r>
      <w:r w:rsidRPr="00A508FF">
        <w:rPr>
          <w:rFonts w:ascii="Times New Roman" w:hAnsi="Times New Roman" w:cs="Times New Roman"/>
          <w:lang w:val="en"/>
        </w:rPr>
        <w:t xml:space="preserve"> </w:t>
      </w:r>
    </w:p>
    <w:p w14:paraId="68458CC7" w14:textId="77777777" w:rsidR="00D345C0" w:rsidRPr="00A508FF" w:rsidRDefault="00D345C0" w:rsidP="00D345C0">
      <w:pPr>
        <w:spacing w:line="360" w:lineRule="auto"/>
        <w:jc w:val="both"/>
        <w:rPr>
          <w:rFonts w:ascii="Times New Roman" w:hAnsi="Times New Roman" w:cs="Times New Roman"/>
          <w:vertAlign w:val="superscript"/>
          <w:lang w:val="en-GB"/>
        </w:rPr>
      </w:pPr>
      <w:r w:rsidRPr="00A508FF">
        <w:rPr>
          <w:rFonts w:ascii="Times New Roman" w:hAnsi="Times New Roman" w:cs="Times New Roman"/>
        </w:rPr>
        <w:t>Kieran Dalton</w:t>
      </w:r>
      <w:r w:rsidRPr="00A508FF">
        <w:rPr>
          <w:rFonts w:ascii="Times New Roman" w:hAnsi="Times New Roman" w:cs="Times New Roman"/>
          <w:vertAlign w:val="superscript"/>
          <w:lang w:val="en-GB"/>
        </w:rPr>
        <w:t>2</w:t>
      </w:r>
    </w:p>
    <w:p w14:paraId="41C03CC1" w14:textId="133ABF00" w:rsidR="00D345C0" w:rsidRPr="00A508FF" w:rsidRDefault="00D20CB7" w:rsidP="00D345C0">
      <w:pPr>
        <w:spacing w:line="360" w:lineRule="auto"/>
        <w:jc w:val="both"/>
        <w:rPr>
          <w:rFonts w:ascii="Times New Roman" w:hAnsi="Times New Roman" w:cs="Times New Roman"/>
        </w:rPr>
      </w:pPr>
      <w:r w:rsidRPr="00A508FF">
        <w:rPr>
          <w:rFonts w:ascii="Times New Roman" w:hAnsi="Times New Roman" w:cs="Times New Roman"/>
          <w:lang w:val="en"/>
        </w:rPr>
        <w:t>E</w:t>
      </w:r>
      <w:r w:rsidR="00D345C0" w:rsidRPr="00A508FF">
        <w:rPr>
          <w:rFonts w:ascii="Times New Roman" w:hAnsi="Times New Roman" w:cs="Times New Roman"/>
          <w:lang w:val="en"/>
        </w:rPr>
        <w:t xml:space="preserve">mail: </w:t>
      </w:r>
      <w:r w:rsidR="00D345C0" w:rsidRPr="00A508FF">
        <w:rPr>
          <w:rFonts w:ascii="Times New Roman" w:hAnsi="Times New Roman" w:cs="Times New Roman"/>
        </w:rPr>
        <w:t xml:space="preserve">kieran.dalton@ucc.ie </w:t>
      </w:r>
    </w:p>
    <w:p w14:paraId="4DE5FFE4" w14:textId="77777777" w:rsidR="00D345C0" w:rsidRPr="00A508FF" w:rsidRDefault="00D345C0" w:rsidP="00D345C0">
      <w:pPr>
        <w:rPr>
          <w:rFonts w:ascii="Times New Roman" w:hAnsi="Times New Roman" w:cs="Times New Roman"/>
          <w:b/>
          <w:lang w:val="en"/>
        </w:rPr>
      </w:pPr>
    </w:p>
    <w:p w14:paraId="4C0BAB20" w14:textId="4A689552" w:rsidR="00D345C0" w:rsidRPr="00A508FF" w:rsidRDefault="00D345C0" w:rsidP="00D345C0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A508FF">
        <w:rPr>
          <w:rFonts w:ascii="Times New Roman" w:hAnsi="Times New Roman" w:cs="Times New Roman"/>
          <w:b/>
          <w:lang w:val="en"/>
        </w:rPr>
        <w:t xml:space="preserve">Funding Information: </w:t>
      </w:r>
      <w:r w:rsidRPr="00A508FF">
        <w:rPr>
          <w:rFonts w:ascii="Times New Roman" w:hAnsi="Times New Roman" w:cs="Times New Roman"/>
          <w:lang w:val="en-GB"/>
        </w:rPr>
        <w:t>The authors declare that this work did not receive any specific funding. However, Dora Belec received a mobility grant from the Croatian Science Foundation (grant scheme MOBDOK-2023) to support her research training abroad. The funders had no role in the design, conduct, or reporting of this research.</w:t>
      </w:r>
    </w:p>
    <w:p w14:paraId="293559C2" w14:textId="77777777" w:rsidR="00D345C0" w:rsidRPr="00A508FF" w:rsidRDefault="00D345C0">
      <w:pPr>
        <w:rPr>
          <w:rFonts w:ascii="Times New Roman" w:hAnsi="Times New Roman" w:cs="Times New Roman"/>
          <w:lang w:val="en-GB"/>
        </w:rPr>
      </w:pPr>
      <w:r w:rsidRPr="00A508FF">
        <w:rPr>
          <w:rFonts w:ascii="Times New Roman" w:hAnsi="Times New Roman" w:cs="Times New Roman"/>
          <w:lang w:val="en-GB"/>
        </w:rPr>
        <w:br w:type="page"/>
      </w:r>
    </w:p>
    <w:p w14:paraId="6027632D" w14:textId="5B431642" w:rsidR="00D345C0" w:rsidRPr="00A508FF" w:rsidRDefault="00D345C0" w:rsidP="00A9605A">
      <w:pPr>
        <w:spacing w:line="360" w:lineRule="auto"/>
        <w:ind w:left="-284" w:right="-279"/>
        <w:jc w:val="both"/>
        <w:rPr>
          <w:rFonts w:ascii="Times New Roman" w:hAnsi="Times New Roman" w:cs="Times New Roman"/>
          <w:b/>
        </w:rPr>
      </w:pPr>
      <w:r w:rsidRPr="00A508FF">
        <w:rPr>
          <w:rFonts w:ascii="Times New Roman" w:hAnsi="Times New Roman" w:cs="Times New Roman"/>
          <w:b/>
          <w:lang w:val="en"/>
        </w:rPr>
        <w:lastRenderedPageBreak/>
        <w:t>Supplementary Table 1</w:t>
      </w:r>
      <w:r w:rsidR="00DD5E73" w:rsidRPr="00A508FF">
        <w:rPr>
          <w:rFonts w:ascii="Times New Roman" w:hAnsi="Times New Roman" w:cs="Times New Roman"/>
          <w:b/>
          <w:lang w:val="en"/>
        </w:rPr>
        <w:t>:</w:t>
      </w:r>
      <w:r w:rsidRPr="00A508FF">
        <w:rPr>
          <w:rFonts w:ascii="Times New Roman" w:hAnsi="Times New Roman" w:cs="Times New Roman"/>
          <w:b/>
          <w:lang w:val="en"/>
        </w:rPr>
        <w:t xml:space="preserve"> </w:t>
      </w:r>
      <w:r w:rsidRPr="00A508FF">
        <w:rPr>
          <w:rFonts w:ascii="Times New Roman" w:hAnsi="Times New Roman" w:cs="Times New Roman"/>
          <w:b/>
        </w:rPr>
        <w:t>Consolidated</w:t>
      </w:r>
      <w:r w:rsidRPr="00A508FF">
        <w:rPr>
          <w:rFonts w:ascii="Times New Roman" w:hAnsi="Times New Roman" w:cs="Times New Roman"/>
          <w:b/>
          <w:spacing w:val="-4"/>
        </w:rPr>
        <w:t xml:space="preserve"> </w:t>
      </w:r>
      <w:r w:rsidRPr="00A508FF">
        <w:rPr>
          <w:rFonts w:ascii="Times New Roman" w:hAnsi="Times New Roman" w:cs="Times New Roman"/>
          <w:b/>
        </w:rPr>
        <w:t>criteria</w:t>
      </w:r>
      <w:r w:rsidRPr="00A508FF">
        <w:rPr>
          <w:rFonts w:ascii="Times New Roman" w:hAnsi="Times New Roman" w:cs="Times New Roman"/>
          <w:b/>
          <w:spacing w:val="-3"/>
        </w:rPr>
        <w:t xml:space="preserve"> </w:t>
      </w:r>
      <w:r w:rsidRPr="00A508FF">
        <w:rPr>
          <w:rFonts w:ascii="Times New Roman" w:hAnsi="Times New Roman" w:cs="Times New Roman"/>
          <w:b/>
        </w:rPr>
        <w:t>for</w:t>
      </w:r>
      <w:r w:rsidRPr="00A508FF">
        <w:rPr>
          <w:rFonts w:ascii="Times New Roman" w:hAnsi="Times New Roman" w:cs="Times New Roman"/>
          <w:b/>
          <w:spacing w:val="-4"/>
        </w:rPr>
        <w:t xml:space="preserve"> </w:t>
      </w:r>
      <w:r w:rsidRPr="00A508FF">
        <w:rPr>
          <w:rFonts w:ascii="Times New Roman" w:hAnsi="Times New Roman" w:cs="Times New Roman"/>
          <w:b/>
        </w:rPr>
        <w:t>reporting</w:t>
      </w:r>
      <w:r w:rsidRPr="00A508FF">
        <w:rPr>
          <w:rFonts w:ascii="Times New Roman" w:hAnsi="Times New Roman" w:cs="Times New Roman"/>
          <w:b/>
          <w:spacing w:val="-3"/>
        </w:rPr>
        <w:t xml:space="preserve"> </w:t>
      </w:r>
      <w:r w:rsidRPr="00A508FF">
        <w:rPr>
          <w:rFonts w:ascii="Times New Roman" w:hAnsi="Times New Roman" w:cs="Times New Roman"/>
          <w:b/>
        </w:rPr>
        <w:t>qualitative</w:t>
      </w:r>
      <w:r w:rsidRPr="00A508FF">
        <w:rPr>
          <w:rFonts w:ascii="Times New Roman" w:hAnsi="Times New Roman" w:cs="Times New Roman"/>
          <w:b/>
          <w:spacing w:val="-6"/>
        </w:rPr>
        <w:t xml:space="preserve"> </w:t>
      </w:r>
      <w:r w:rsidRPr="00A508FF">
        <w:rPr>
          <w:rFonts w:ascii="Times New Roman" w:hAnsi="Times New Roman" w:cs="Times New Roman"/>
          <w:b/>
        </w:rPr>
        <w:t>studies</w:t>
      </w:r>
      <w:r w:rsidRPr="00A508FF">
        <w:rPr>
          <w:rFonts w:ascii="Times New Roman" w:hAnsi="Times New Roman" w:cs="Times New Roman"/>
          <w:b/>
          <w:spacing w:val="-3"/>
        </w:rPr>
        <w:t xml:space="preserve"> </w:t>
      </w:r>
      <w:r w:rsidRPr="00A508FF">
        <w:rPr>
          <w:rFonts w:ascii="Times New Roman" w:hAnsi="Times New Roman" w:cs="Times New Roman"/>
          <w:b/>
        </w:rPr>
        <w:t>(COREQ):</w:t>
      </w:r>
      <w:r w:rsidRPr="00A508FF">
        <w:rPr>
          <w:rFonts w:ascii="Times New Roman" w:hAnsi="Times New Roman" w:cs="Times New Roman"/>
          <w:b/>
          <w:spacing w:val="-2"/>
        </w:rPr>
        <w:t xml:space="preserve"> </w:t>
      </w:r>
      <w:r w:rsidRPr="00A508FF">
        <w:rPr>
          <w:rFonts w:ascii="Times New Roman" w:hAnsi="Times New Roman" w:cs="Times New Roman"/>
          <w:b/>
        </w:rPr>
        <w:t>32-item</w:t>
      </w:r>
      <w:r w:rsidRPr="00A508FF">
        <w:rPr>
          <w:rFonts w:ascii="Times New Roman" w:hAnsi="Times New Roman" w:cs="Times New Roman"/>
          <w:b/>
          <w:spacing w:val="-2"/>
        </w:rPr>
        <w:t xml:space="preserve"> </w:t>
      </w:r>
      <w:r w:rsidRPr="00A508FF">
        <w:rPr>
          <w:rFonts w:ascii="Times New Roman" w:hAnsi="Times New Roman" w:cs="Times New Roman"/>
          <w:b/>
        </w:rPr>
        <w:t>checklist</w:t>
      </w:r>
    </w:p>
    <w:p w14:paraId="48C94ED4" w14:textId="77777777" w:rsidR="002D1D5F" w:rsidRPr="00A508FF" w:rsidRDefault="002D1D5F" w:rsidP="00A9605A">
      <w:pPr>
        <w:spacing w:line="360" w:lineRule="auto"/>
        <w:ind w:left="-284" w:right="-279"/>
        <w:jc w:val="both"/>
        <w:rPr>
          <w:rFonts w:ascii="Times New Roman" w:hAnsi="Times New Roman" w:cs="Times New Roman"/>
          <w:b/>
          <w:sz w:val="12"/>
          <w:szCs w:val="12"/>
        </w:rPr>
      </w:pPr>
    </w:p>
    <w:tbl>
      <w:tblPr>
        <w:tblW w:w="99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1985"/>
        <w:gridCol w:w="3685"/>
        <w:gridCol w:w="3686"/>
      </w:tblGrid>
      <w:tr w:rsidR="00D345C0" w:rsidRPr="00A508FF" w14:paraId="033D91D8" w14:textId="77777777" w:rsidTr="00A9605A">
        <w:trPr>
          <w:trHeight w:val="316"/>
          <w:jc w:val="center"/>
        </w:trPr>
        <w:tc>
          <w:tcPr>
            <w:tcW w:w="594" w:type="dxa"/>
          </w:tcPr>
          <w:p w14:paraId="62149DCC" w14:textId="77777777" w:rsidR="00D345C0" w:rsidRPr="00A508FF" w:rsidRDefault="00D345C0" w:rsidP="005B3244">
            <w:pPr>
              <w:pStyle w:val="TableParagraph"/>
              <w:spacing w:line="29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985" w:type="dxa"/>
          </w:tcPr>
          <w:p w14:paraId="4BF67CE4" w14:textId="77777777" w:rsidR="00D345C0" w:rsidRPr="00A508FF" w:rsidRDefault="00D345C0" w:rsidP="005B3244">
            <w:pPr>
              <w:pStyle w:val="TableParagraph"/>
              <w:spacing w:line="296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3685" w:type="dxa"/>
          </w:tcPr>
          <w:p w14:paraId="4A22123E" w14:textId="77777777" w:rsidR="00D345C0" w:rsidRPr="00A508FF" w:rsidRDefault="00D345C0" w:rsidP="005B3244">
            <w:pPr>
              <w:pStyle w:val="TableParagraph"/>
              <w:spacing w:line="296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Description</w:t>
            </w:r>
          </w:p>
        </w:tc>
        <w:tc>
          <w:tcPr>
            <w:tcW w:w="3686" w:type="dxa"/>
            <w:vAlign w:val="center"/>
          </w:tcPr>
          <w:p w14:paraId="18229F14" w14:textId="77777777" w:rsidR="00D345C0" w:rsidRPr="00A508FF" w:rsidRDefault="00D345C0" w:rsidP="005B3244">
            <w:pPr>
              <w:pStyle w:val="TableParagraph"/>
              <w:spacing w:line="296" w:lineRule="exact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Section</w:t>
            </w:r>
            <w:r w:rsidRPr="00A508FF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#</w:t>
            </w:r>
          </w:p>
        </w:tc>
      </w:tr>
      <w:tr w:rsidR="00D345C0" w:rsidRPr="00A508FF" w14:paraId="58EA620E" w14:textId="77777777" w:rsidTr="00A9605A">
        <w:trPr>
          <w:trHeight w:val="347"/>
          <w:jc w:val="center"/>
        </w:trPr>
        <w:tc>
          <w:tcPr>
            <w:tcW w:w="9950" w:type="dxa"/>
            <w:gridSpan w:val="4"/>
            <w:shd w:val="clear" w:color="auto" w:fill="D0CECE"/>
            <w:vAlign w:val="center"/>
          </w:tcPr>
          <w:p w14:paraId="6C10BB32" w14:textId="77777777" w:rsidR="00D345C0" w:rsidRPr="00A508FF" w:rsidRDefault="00D345C0" w:rsidP="005B3244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Domain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1:</w:t>
            </w:r>
            <w:r w:rsidRPr="00A508FF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Research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team</w:t>
            </w:r>
            <w:r w:rsidRPr="00A508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reflexivity</w:t>
            </w:r>
          </w:p>
        </w:tc>
      </w:tr>
      <w:tr w:rsidR="00D345C0" w:rsidRPr="00A508FF" w14:paraId="1FB1B45C" w14:textId="77777777" w:rsidTr="00A9605A">
        <w:trPr>
          <w:trHeight w:val="364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32C08B6D" w14:textId="77777777" w:rsidR="00D345C0" w:rsidRPr="00A508FF" w:rsidRDefault="00D345C0" w:rsidP="005B3244">
            <w:pPr>
              <w:pStyle w:val="TableParagraph"/>
              <w:spacing w:before="47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Personal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</w:tr>
      <w:tr w:rsidR="00D345C0" w:rsidRPr="00A508FF" w14:paraId="7D7F5D62" w14:textId="77777777" w:rsidTr="00A9605A">
        <w:trPr>
          <w:trHeight w:val="537"/>
          <w:jc w:val="center"/>
        </w:trPr>
        <w:tc>
          <w:tcPr>
            <w:tcW w:w="594" w:type="dxa"/>
          </w:tcPr>
          <w:p w14:paraId="7F60E624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14:paraId="4369E02D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Interviewer/facilitator</w:t>
            </w:r>
          </w:p>
        </w:tc>
        <w:tc>
          <w:tcPr>
            <w:tcW w:w="3685" w:type="dxa"/>
          </w:tcPr>
          <w:p w14:paraId="0F353E4A" w14:textId="2BF7E7A8" w:rsidR="00D345C0" w:rsidRPr="00A508FF" w:rsidRDefault="00D345C0" w:rsidP="00D20CB7">
            <w:pPr>
              <w:pStyle w:val="TableParagraph"/>
              <w:ind w:left="108"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Which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author/s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conducted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interview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="003A27C1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focus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group?</w:t>
            </w:r>
          </w:p>
        </w:tc>
        <w:tc>
          <w:tcPr>
            <w:tcW w:w="3686" w:type="dxa"/>
            <w:vAlign w:val="center"/>
          </w:tcPr>
          <w:p w14:paraId="08A3584E" w14:textId="77777777" w:rsidR="00D345C0" w:rsidRPr="00A508FF" w:rsidRDefault="00D345C0" w:rsidP="00D20CB7">
            <w:pPr>
              <w:pStyle w:val="TableParagraph"/>
              <w:spacing w:line="240" w:lineRule="auto"/>
              <w:ind w:left="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DB and MOH.</w:t>
            </w:r>
          </w:p>
        </w:tc>
      </w:tr>
      <w:tr w:rsidR="00D345C0" w:rsidRPr="00A508FF" w14:paraId="7BFE261F" w14:textId="77777777" w:rsidTr="00A9605A">
        <w:trPr>
          <w:trHeight w:val="537"/>
          <w:jc w:val="center"/>
        </w:trPr>
        <w:tc>
          <w:tcPr>
            <w:tcW w:w="594" w:type="dxa"/>
          </w:tcPr>
          <w:p w14:paraId="1A2E6985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1985" w:type="dxa"/>
          </w:tcPr>
          <w:p w14:paraId="0192E2F8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Credentials</w:t>
            </w:r>
          </w:p>
        </w:tc>
        <w:tc>
          <w:tcPr>
            <w:tcW w:w="3685" w:type="dxa"/>
          </w:tcPr>
          <w:p w14:paraId="741B220E" w14:textId="77777777" w:rsidR="00F62D96" w:rsidRPr="00A508FF" w:rsidRDefault="00D345C0" w:rsidP="00D20CB7">
            <w:pPr>
              <w:pStyle w:val="TableParagraph"/>
              <w:ind w:left="108" w:right="137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researcher's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credentials?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14:paraId="2EB70827" w14:textId="3A81DF87" w:rsidR="00D345C0" w:rsidRPr="00A508FF" w:rsidRDefault="00E5650D" w:rsidP="00D20CB7">
            <w:pPr>
              <w:pStyle w:val="TableParagraph"/>
              <w:ind w:left="108" w:right="137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="00D20CB7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PhD,</w:t>
            </w:r>
            <w:r w:rsidR="00D345C0" w:rsidRPr="00A508FF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MD</w:t>
            </w:r>
          </w:p>
        </w:tc>
        <w:tc>
          <w:tcPr>
            <w:tcW w:w="3686" w:type="dxa"/>
            <w:vAlign w:val="center"/>
          </w:tcPr>
          <w:p w14:paraId="3EC08D6B" w14:textId="77777777" w:rsidR="00D345C0" w:rsidRPr="00A508FF" w:rsidRDefault="00D345C0" w:rsidP="00D20CB7">
            <w:pPr>
              <w:pStyle w:val="TableParagraph"/>
              <w:spacing w:line="240" w:lineRule="auto"/>
              <w:ind w:left="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DB was </w:t>
            </w:r>
            <w:proofErr w:type="spell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MPharm</w:t>
            </w:r>
            <w:proofErr w:type="spell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and MOH was PhD.</w:t>
            </w:r>
          </w:p>
        </w:tc>
      </w:tr>
      <w:tr w:rsidR="00D345C0" w:rsidRPr="00A508FF" w14:paraId="227BE8C6" w14:textId="77777777" w:rsidTr="00A9605A">
        <w:trPr>
          <w:trHeight w:val="537"/>
          <w:jc w:val="center"/>
        </w:trPr>
        <w:tc>
          <w:tcPr>
            <w:tcW w:w="594" w:type="dxa"/>
          </w:tcPr>
          <w:p w14:paraId="600974D0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1985" w:type="dxa"/>
          </w:tcPr>
          <w:p w14:paraId="65D32BA6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Occupation</w:t>
            </w:r>
          </w:p>
        </w:tc>
        <w:tc>
          <w:tcPr>
            <w:tcW w:w="3685" w:type="dxa"/>
          </w:tcPr>
          <w:p w14:paraId="713E6235" w14:textId="236922AC" w:rsidR="00D345C0" w:rsidRPr="00A508FF" w:rsidRDefault="00D345C0" w:rsidP="00D20CB7">
            <w:pPr>
              <w:pStyle w:val="TableParagraph"/>
              <w:spacing w:line="249" w:lineRule="exact"/>
              <w:ind w:left="108"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 was their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occupation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at 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="00E5650D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study?</w:t>
            </w:r>
          </w:p>
        </w:tc>
        <w:tc>
          <w:tcPr>
            <w:tcW w:w="3686" w:type="dxa"/>
            <w:vAlign w:val="center"/>
          </w:tcPr>
          <w:p w14:paraId="014A8278" w14:textId="66692AB4" w:rsidR="00D345C0" w:rsidRPr="00A508FF" w:rsidRDefault="00D345C0" w:rsidP="00D20CB7">
            <w:pPr>
              <w:pStyle w:val="TableParagraph"/>
              <w:spacing w:line="240" w:lineRule="auto"/>
              <w:ind w:left="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DB was Assistant and MOH was Associate Professor.</w:t>
            </w:r>
          </w:p>
        </w:tc>
      </w:tr>
      <w:tr w:rsidR="00D345C0" w:rsidRPr="00A508FF" w14:paraId="5E1F8E3B" w14:textId="77777777" w:rsidTr="00A9605A">
        <w:trPr>
          <w:trHeight w:val="268"/>
          <w:jc w:val="center"/>
        </w:trPr>
        <w:tc>
          <w:tcPr>
            <w:tcW w:w="594" w:type="dxa"/>
          </w:tcPr>
          <w:p w14:paraId="069DA9BC" w14:textId="77777777" w:rsidR="00D345C0" w:rsidRPr="00A508FF" w:rsidRDefault="00D345C0" w:rsidP="005B3244">
            <w:pPr>
              <w:pStyle w:val="TableParagraph"/>
              <w:spacing w:line="248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1985" w:type="dxa"/>
          </w:tcPr>
          <w:p w14:paraId="698539F1" w14:textId="77777777" w:rsidR="00D345C0" w:rsidRPr="00A508FF" w:rsidRDefault="00D345C0" w:rsidP="005B3244">
            <w:pPr>
              <w:pStyle w:val="TableParagraph"/>
              <w:spacing w:line="24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3685" w:type="dxa"/>
          </w:tcPr>
          <w:p w14:paraId="370CD44A" w14:textId="77777777" w:rsidR="00D345C0" w:rsidRPr="00A508FF" w:rsidRDefault="00D345C0" w:rsidP="00D20CB7">
            <w:pPr>
              <w:pStyle w:val="TableParagraph"/>
              <w:spacing w:line="248" w:lineRule="exact"/>
              <w:ind w:left="108"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 the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 female?</w:t>
            </w:r>
          </w:p>
        </w:tc>
        <w:tc>
          <w:tcPr>
            <w:tcW w:w="3686" w:type="dxa"/>
            <w:vAlign w:val="center"/>
          </w:tcPr>
          <w:p w14:paraId="0238F51A" w14:textId="77777777" w:rsidR="00D345C0" w:rsidRPr="00A508FF" w:rsidRDefault="00D345C0" w:rsidP="00D20CB7">
            <w:pPr>
              <w:pStyle w:val="TableParagraph"/>
              <w:spacing w:line="240" w:lineRule="auto"/>
              <w:ind w:left="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DB and MOH were female.</w:t>
            </w:r>
          </w:p>
        </w:tc>
      </w:tr>
      <w:tr w:rsidR="00D345C0" w:rsidRPr="00A508FF" w14:paraId="2A1C7E0A" w14:textId="77777777" w:rsidTr="00A9605A">
        <w:trPr>
          <w:trHeight w:val="537"/>
          <w:jc w:val="center"/>
        </w:trPr>
        <w:tc>
          <w:tcPr>
            <w:tcW w:w="594" w:type="dxa"/>
          </w:tcPr>
          <w:p w14:paraId="7BA05894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1985" w:type="dxa"/>
          </w:tcPr>
          <w:p w14:paraId="5173333B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4B8135E0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3685" w:type="dxa"/>
          </w:tcPr>
          <w:p w14:paraId="16422D56" w14:textId="7D33B792" w:rsidR="00D345C0" w:rsidRPr="00A508FF" w:rsidRDefault="00D345C0" w:rsidP="00E5650D">
            <w:pPr>
              <w:pStyle w:val="TableParagraph"/>
              <w:ind w:left="108" w:right="1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r w:rsidR="00E5650D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have?</w:t>
            </w:r>
          </w:p>
        </w:tc>
        <w:tc>
          <w:tcPr>
            <w:tcW w:w="3686" w:type="dxa"/>
            <w:vAlign w:val="center"/>
          </w:tcPr>
          <w:p w14:paraId="03D1FE7C" w14:textId="77777777" w:rsidR="00D345C0" w:rsidRPr="00A508FF" w:rsidRDefault="00D345C0" w:rsidP="00D20CB7">
            <w:pPr>
              <w:pStyle w:val="TableParagraph"/>
              <w:spacing w:line="240" w:lineRule="auto"/>
              <w:ind w:left="4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MOH had some experience with this methodology.</w:t>
            </w:r>
          </w:p>
        </w:tc>
      </w:tr>
      <w:tr w:rsidR="00D345C0" w:rsidRPr="00A508FF" w14:paraId="2AF06224" w14:textId="77777777" w:rsidTr="00A9605A">
        <w:trPr>
          <w:trHeight w:val="359"/>
          <w:jc w:val="center"/>
        </w:trPr>
        <w:tc>
          <w:tcPr>
            <w:tcW w:w="9950" w:type="dxa"/>
            <w:gridSpan w:val="4"/>
            <w:shd w:val="clear" w:color="auto" w:fill="F2F2F2" w:themeFill="background1" w:themeFillShade="F2"/>
            <w:vAlign w:val="center"/>
          </w:tcPr>
          <w:p w14:paraId="221C18CE" w14:textId="77777777" w:rsidR="00D345C0" w:rsidRPr="00A508FF" w:rsidRDefault="00D345C0" w:rsidP="005B3244">
            <w:pPr>
              <w:pStyle w:val="TableParagraph"/>
              <w:spacing w:before="44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</w:p>
        </w:tc>
      </w:tr>
      <w:tr w:rsidR="00D345C0" w:rsidRPr="00A508FF" w14:paraId="30ECCDD0" w14:textId="77777777" w:rsidTr="00A9605A">
        <w:trPr>
          <w:trHeight w:val="537"/>
          <w:jc w:val="center"/>
        </w:trPr>
        <w:tc>
          <w:tcPr>
            <w:tcW w:w="594" w:type="dxa"/>
          </w:tcPr>
          <w:p w14:paraId="62F1C79B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1985" w:type="dxa"/>
          </w:tcPr>
          <w:p w14:paraId="70837EEA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</w:p>
          <w:p w14:paraId="7FA8CFA4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established</w:t>
            </w:r>
          </w:p>
        </w:tc>
        <w:tc>
          <w:tcPr>
            <w:tcW w:w="3685" w:type="dxa"/>
          </w:tcPr>
          <w:p w14:paraId="55D05D21" w14:textId="38AE2678" w:rsidR="00D345C0" w:rsidRPr="00A508FF" w:rsidRDefault="00D345C0" w:rsidP="00E5650D">
            <w:pPr>
              <w:pStyle w:val="TableParagraph"/>
              <w:ind w:left="108" w:right="1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established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prior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r w:rsidR="003A27C1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commencement?</w:t>
            </w:r>
          </w:p>
        </w:tc>
        <w:tc>
          <w:tcPr>
            <w:tcW w:w="3686" w:type="dxa"/>
            <w:vAlign w:val="center"/>
          </w:tcPr>
          <w:p w14:paraId="3591AED4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DB and MOH had established relationships with some of the participants.</w:t>
            </w:r>
          </w:p>
        </w:tc>
      </w:tr>
      <w:tr w:rsidR="00D345C0" w:rsidRPr="00A508FF" w14:paraId="480E331D" w14:textId="77777777" w:rsidTr="00A9605A">
        <w:trPr>
          <w:trHeight w:val="805"/>
          <w:jc w:val="center"/>
        </w:trPr>
        <w:tc>
          <w:tcPr>
            <w:tcW w:w="594" w:type="dxa"/>
          </w:tcPr>
          <w:p w14:paraId="07A07364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1985" w:type="dxa"/>
          </w:tcPr>
          <w:p w14:paraId="31777A1A" w14:textId="199E6804" w:rsidR="00D345C0" w:rsidRPr="00A508FF" w:rsidRDefault="00D345C0" w:rsidP="00F62D9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 knowledge</w:t>
            </w:r>
            <w:r w:rsidR="00D20CB7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interviewer</w:t>
            </w:r>
          </w:p>
        </w:tc>
        <w:tc>
          <w:tcPr>
            <w:tcW w:w="3685" w:type="dxa"/>
          </w:tcPr>
          <w:p w14:paraId="7D231DCD" w14:textId="3CB8AAB4" w:rsidR="00D345C0" w:rsidRPr="00A508FF" w:rsidRDefault="00D345C0" w:rsidP="00E5650D">
            <w:pPr>
              <w:pStyle w:val="TableParagraph"/>
              <w:spacing w:line="240" w:lineRule="auto"/>
              <w:ind w:left="108" w:right="13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 did the participants know about the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researcher?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E5650D"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Personal</w:t>
            </w:r>
            <w:r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goals,</w:t>
            </w:r>
            <w:r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reasons</w:t>
            </w:r>
            <w:r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for</w:t>
            </w:r>
            <w:r w:rsidR="003A27C1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doing</w:t>
            </w:r>
            <w:r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research</w:t>
            </w:r>
          </w:p>
        </w:tc>
        <w:tc>
          <w:tcPr>
            <w:tcW w:w="3686" w:type="dxa"/>
            <w:vAlign w:val="center"/>
          </w:tcPr>
          <w:p w14:paraId="473B468C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 knew where the researchers worked and the purpose of the research.</w:t>
            </w:r>
          </w:p>
        </w:tc>
      </w:tr>
      <w:tr w:rsidR="00D345C0" w:rsidRPr="00A508FF" w14:paraId="158BDB9A" w14:textId="77777777" w:rsidTr="00A9605A">
        <w:trPr>
          <w:trHeight w:val="806"/>
          <w:jc w:val="center"/>
        </w:trPr>
        <w:tc>
          <w:tcPr>
            <w:tcW w:w="594" w:type="dxa"/>
          </w:tcPr>
          <w:p w14:paraId="63CBB999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1985" w:type="dxa"/>
          </w:tcPr>
          <w:p w14:paraId="199C0929" w14:textId="4D731C34" w:rsidR="00D345C0" w:rsidRPr="00A508FF" w:rsidRDefault="00D345C0" w:rsidP="00F62D96">
            <w:pPr>
              <w:pStyle w:val="TableParagrap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Interviewer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3685" w:type="dxa"/>
          </w:tcPr>
          <w:p w14:paraId="07CCCF87" w14:textId="77777777" w:rsidR="00E5650D" w:rsidRPr="00A508FF" w:rsidRDefault="00D345C0" w:rsidP="00E5650D">
            <w:pPr>
              <w:pStyle w:val="TableParagraph"/>
              <w:spacing w:line="240" w:lineRule="auto"/>
              <w:ind w:left="108" w:right="133"/>
              <w:jc w:val="both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 characteristics were reported about the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interviewer/facilitator?</w:t>
            </w:r>
            <w:r w:rsidRPr="00A508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</w:p>
          <w:p w14:paraId="45FFCB15" w14:textId="2AC5F821" w:rsidR="00D345C0" w:rsidRPr="00A508FF" w:rsidRDefault="00E5650D" w:rsidP="00E5650D">
            <w:pPr>
              <w:pStyle w:val="TableParagraph"/>
              <w:spacing w:line="240" w:lineRule="auto"/>
              <w:ind w:left="108" w:right="13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e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="00D345C0" w:rsidRPr="00A508FF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Bias,</w:t>
            </w:r>
            <w:r w:rsidR="00D345C0" w:rsidRPr="00A508FF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assumptions,</w:t>
            </w:r>
            <w:r w:rsidR="00F62D96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reasons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and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interests</w:t>
            </w:r>
            <w:r w:rsidR="00D345C0"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="00D345C0"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research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topic</w:t>
            </w:r>
          </w:p>
        </w:tc>
        <w:tc>
          <w:tcPr>
            <w:tcW w:w="3686" w:type="dxa"/>
            <w:vAlign w:val="center"/>
          </w:tcPr>
          <w:p w14:paraId="011ECC2F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 characteristics were reported.</w:t>
            </w:r>
          </w:p>
        </w:tc>
      </w:tr>
      <w:tr w:rsidR="00D345C0" w:rsidRPr="00A508FF" w14:paraId="590A148D" w14:textId="77777777" w:rsidTr="00A9605A">
        <w:trPr>
          <w:trHeight w:val="371"/>
          <w:jc w:val="center"/>
        </w:trPr>
        <w:tc>
          <w:tcPr>
            <w:tcW w:w="9950" w:type="dxa"/>
            <w:gridSpan w:val="4"/>
            <w:shd w:val="clear" w:color="auto" w:fill="D0CECE"/>
            <w:vAlign w:val="center"/>
          </w:tcPr>
          <w:p w14:paraId="31746316" w14:textId="77777777" w:rsidR="00D345C0" w:rsidRPr="00A508FF" w:rsidRDefault="00D345C0" w:rsidP="005B3244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Domain 2: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  <w:r w:rsidRPr="00A508F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design</w:t>
            </w:r>
          </w:p>
        </w:tc>
      </w:tr>
      <w:tr w:rsidR="00D345C0" w:rsidRPr="00A508FF" w14:paraId="4894BC28" w14:textId="77777777" w:rsidTr="00A9605A">
        <w:trPr>
          <w:trHeight w:val="417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72C34757" w14:textId="77777777" w:rsidR="00D345C0" w:rsidRPr="00A508FF" w:rsidRDefault="00D345C0" w:rsidP="005B3244">
            <w:pPr>
              <w:pStyle w:val="TableParagraph"/>
              <w:spacing w:before="73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Theoretical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framework</w:t>
            </w:r>
          </w:p>
        </w:tc>
      </w:tr>
      <w:tr w:rsidR="00D345C0" w:rsidRPr="00A508FF" w14:paraId="15F09376" w14:textId="77777777" w:rsidTr="00A9605A">
        <w:trPr>
          <w:trHeight w:val="1072"/>
          <w:jc w:val="center"/>
        </w:trPr>
        <w:tc>
          <w:tcPr>
            <w:tcW w:w="594" w:type="dxa"/>
          </w:tcPr>
          <w:p w14:paraId="0D032593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1985" w:type="dxa"/>
          </w:tcPr>
          <w:p w14:paraId="4CC5201D" w14:textId="77777777" w:rsidR="00D345C0" w:rsidRPr="00A508FF" w:rsidRDefault="00D345C0" w:rsidP="005B3244">
            <w:pPr>
              <w:pStyle w:val="TableParagraph"/>
              <w:spacing w:line="240" w:lineRule="auto"/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Methodological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orientation</w:t>
            </w:r>
            <w:r w:rsidRPr="00A508F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theory</w:t>
            </w:r>
          </w:p>
        </w:tc>
        <w:tc>
          <w:tcPr>
            <w:tcW w:w="3685" w:type="dxa"/>
          </w:tcPr>
          <w:p w14:paraId="6460C44B" w14:textId="77777777" w:rsidR="00DD5E73" w:rsidRPr="00A508FF" w:rsidRDefault="00D345C0" w:rsidP="00DD5E73">
            <w:pPr>
              <w:pStyle w:val="TableParagraph"/>
              <w:spacing w:line="240" w:lineRule="auto"/>
              <w:ind w:left="108" w:right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 methodological orientation was stated to</w:t>
            </w:r>
            <w:r w:rsidRPr="00A508FF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underpin the study? </w:t>
            </w:r>
          </w:p>
          <w:p w14:paraId="2EB92CB4" w14:textId="1E7407ED" w:rsidR="00D345C0" w:rsidRPr="00A508FF" w:rsidRDefault="00DD5E73" w:rsidP="00DD5E73">
            <w:pPr>
              <w:pStyle w:val="TableParagraph"/>
              <w:spacing w:line="240" w:lineRule="auto"/>
              <w:ind w:left="108" w:right="16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e.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g. grounded theory,</w:t>
            </w:r>
            <w:r w:rsidR="00D345C0" w:rsidRPr="00A508FF">
              <w:rPr>
                <w:rFonts w:ascii="Times New Roman" w:hAnsi="Times New Roman" w:cs="Times New Roman"/>
                <w:i/>
                <w:spacing w:val="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discourse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analysis, ethnography,</w:t>
            </w:r>
            <w:r w:rsidR="003A27C1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phenomenology,</w:t>
            </w:r>
            <w:r w:rsidR="00D345C0"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content</w:t>
            </w:r>
            <w:r w:rsidR="00D345C0"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analysis</w:t>
            </w:r>
          </w:p>
        </w:tc>
        <w:tc>
          <w:tcPr>
            <w:tcW w:w="3686" w:type="dxa"/>
            <w:vAlign w:val="center"/>
          </w:tcPr>
          <w:p w14:paraId="1313495C" w14:textId="77777777" w:rsidR="002D1D5F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Qualitative description methodological orientation of primary facilitator using a summative content analysis method. </w:t>
            </w:r>
          </w:p>
          <w:p w14:paraId="10F4AF2A" w14:textId="6DE20629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Barriers and enablers discussed during roundtable were mapped to the Theoretical Domains Framework.</w:t>
            </w:r>
          </w:p>
        </w:tc>
      </w:tr>
      <w:tr w:rsidR="00D345C0" w:rsidRPr="00A508FF" w14:paraId="7AE648F7" w14:textId="77777777" w:rsidTr="00A9605A">
        <w:trPr>
          <w:trHeight w:val="434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4955C7FE" w14:textId="77777777" w:rsidR="00D345C0" w:rsidRPr="00A508FF" w:rsidRDefault="00D345C0" w:rsidP="005B3244">
            <w:pPr>
              <w:pStyle w:val="TableParagraph"/>
              <w:spacing w:before="83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selection</w:t>
            </w:r>
          </w:p>
        </w:tc>
      </w:tr>
      <w:tr w:rsidR="00D345C0" w:rsidRPr="00A508FF" w14:paraId="5DEED894" w14:textId="77777777" w:rsidTr="00A9605A">
        <w:trPr>
          <w:trHeight w:val="537"/>
          <w:jc w:val="center"/>
        </w:trPr>
        <w:tc>
          <w:tcPr>
            <w:tcW w:w="594" w:type="dxa"/>
          </w:tcPr>
          <w:p w14:paraId="6F8A28EF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1985" w:type="dxa"/>
          </w:tcPr>
          <w:p w14:paraId="225146BF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Sampling</w:t>
            </w:r>
          </w:p>
        </w:tc>
        <w:tc>
          <w:tcPr>
            <w:tcW w:w="3685" w:type="dxa"/>
          </w:tcPr>
          <w:p w14:paraId="347F7343" w14:textId="77777777" w:rsidR="00F62D96" w:rsidRPr="00A508FF" w:rsidRDefault="00D345C0" w:rsidP="003A27C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selected?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  <w:p w14:paraId="4A8C90EB" w14:textId="7DEFA731" w:rsidR="00D345C0" w:rsidRPr="00A508FF" w:rsidRDefault="00DD5E73" w:rsidP="003A27C1">
            <w:pPr>
              <w:pStyle w:val="TableParagraph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="00D345C0"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purposive,</w:t>
            </w:r>
            <w:r w:rsidR="003A27C1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convenience,</w:t>
            </w:r>
            <w:r w:rsidR="00D345C0" w:rsidRPr="00A508FF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consecutive,</w:t>
            </w:r>
            <w:r w:rsidR="00D345C0" w:rsidRPr="00A508FF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snowball</w:t>
            </w:r>
          </w:p>
        </w:tc>
        <w:tc>
          <w:tcPr>
            <w:tcW w:w="3686" w:type="dxa"/>
            <w:vAlign w:val="center"/>
          </w:tcPr>
          <w:p w14:paraId="0DA06928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Convenience and stratified purposive sampling.</w:t>
            </w:r>
          </w:p>
        </w:tc>
      </w:tr>
      <w:tr w:rsidR="00D345C0" w:rsidRPr="00A508FF" w14:paraId="39DBD493" w14:textId="77777777" w:rsidTr="00A9605A">
        <w:trPr>
          <w:trHeight w:val="537"/>
          <w:jc w:val="center"/>
        </w:trPr>
        <w:tc>
          <w:tcPr>
            <w:tcW w:w="594" w:type="dxa"/>
          </w:tcPr>
          <w:p w14:paraId="2EF796AF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11.</w:t>
            </w:r>
          </w:p>
        </w:tc>
        <w:tc>
          <w:tcPr>
            <w:tcW w:w="1985" w:type="dxa"/>
          </w:tcPr>
          <w:p w14:paraId="6B5C8725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approach</w:t>
            </w:r>
          </w:p>
        </w:tc>
        <w:tc>
          <w:tcPr>
            <w:tcW w:w="3685" w:type="dxa"/>
          </w:tcPr>
          <w:p w14:paraId="1462A81F" w14:textId="77777777" w:rsidR="00F62D96" w:rsidRPr="00A508FF" w:rsidRDefault="00D345C0" w:rsidP="003A27C1">
            <w:pPr>
              <w:pStyle w:val="TableParagraph"/>
              <w:ind w:left="108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 participants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approached?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</w:p>
          <w:p w14:paraId="05455029" w14:textId="08745CC8" w:rsidR="00D345C0" w:rsidRPr="00A508FF" w:rsidRDefault="00DD5E73" w:rsidP="003A27C1">
            <w:pPr>
              <w:pStyle w:val="TableParagraph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face-to-face,</w:t>
            </w:r>
            <w:r w:rsidR="00D345C0" w:rsidRPr="00A508FF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telephone,</w:t>
            </w:r>
            <w:r w:rsidR="00D345C0"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mail, email</w:t>
            </w:r>
          </w:p>
        </w:tc>
        <w:tc>
          <w:tcPr>
            <w:tcW w:w="3686" w:type="dxa"/>
            <w:vAlign w:val="center"/>
          </w:tcPr>
          <w:p w14:paraId="4F20D6C3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E-mail.</w:t>
            </w:r>
          </w:p>
        </w:tc>
      </w:tr>
      <w:tr w:rsidR="00D345C0" w:rsidRPr="00A508FF" w14:paraId="1425853A" w14:textId="77777777" w:rsidTr="00A9605A">
        <w:trPr>
          <w:trHeight w:val="269"/>
          <w:jc w:val="center"/>
        </w:trPr>
        <w:tc>
          <w:tcPr>
            <w:tcW w:w="594" w:type="dxa"/>
          </w:tcPr>
          <w:p w14:paraId="4176EE28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1985" w:type="dxa"/>
          </w:tcPr>
          <w:p w14:paraId="0A9B5DCF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size</w:t>
            </w:r>
          </w:p>
        </w:tc>
        <w:tc>
          <w:tcPr>
            <w:tcW w:w="3685" w:type="dxa"/>
          </w:tcPr>
          <w:p w14:paraId="056A898C" w14:textId="77777777" w:rsidR="00D345C0" w:rsidRPr="00A508FF" w:rsidRDefault="00D345C0" w:rsidP="005B3244">
            <w:pPr>
              <w:pStyle w:val="TableParagraph"/>
              <w:spacing w:line="249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 in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study?</w:t>
            </w:r>
          </w:p>
        </w:tc>
        <w:tc>
          <w:tcPr>
            <w:tcW w:w="3686" w:type="dxa"/>
            <w:vAlign w:val="center"/>
          </w:tcPr>
          <w:p w14:paraId="632B6DF0" w14:textId="064D8F9C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At least 1 participant per </w:t>
            </w:r>
            <w:r w:rsidR="00DD5E73" w:rsidRPr="00A508FF">
              <w:rPr>
                <w:rFonts w:ascii="Times New Roman" w:hAnsi="Times New Roman" w:cs="Times New Roman"/>
                <w:sz w:val="20"/>
                <w:szCs w:val="20"/>
              </w:rPr>
              <w:t>healthcare professional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group.</w:t>
            </w:r>
          </w:p>
        </w:tc>
      </w:tr>
      <w:tr w:rsidR="00D345C0" w:rsidRPr="00A508FF" w14:paraId="7E9F2085" w14:textId="77777777" w:rsidTr="00A9605A">
        <w:trPr>
          <w:trHeight w:val="537"/>
          <w:jc w:val="center"/>
        </w:trPr>
        <w:tc>
          <w:tcPr>
            <w:tcW w:w="594" w:type="dxa"/>
          </w:tcPr>
          <w:p w14:paraId="7E74D144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1985" w:type="dxa"/>
          </w:tcPr>
          <w:p w14:paraId="628D1DAE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Non-participation</w:t>
            </w:r>
          </w:p>
        </w:tc>
        <w:tc>
          <w:tcPr>
            <w:tcW w:w="3685" w:type="dxa"/>
          </w:tcPr>
          <w:p w14:paraId="5AB87F57" w14:textId="77777777" w:rsidR="00D345C0" w:rsidRPr="00A508FF" w:rsidRDefault="00D345C0" w:rsidP="005B324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people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refused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to participate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 dropped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out?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reasons for this?</w:t>
            </w:r>
          </w:p>
        </w:tc>
        <w:tc>
          <w:tcPr>
            <w:tcW w:w="3686" w:type="dxa"/>
            <w:vAlign w:val="center"/>
          </w:tcPr>
          <w:p w14:paraId="72FA125B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 participants dropped out. One nurse refused to participate.</w:t>
            </w:r>
          </w:p>
        </w:tc>
      </w:tr>
      <w:tr w:rsidR="00D345C0" w:rsidRPr="00A508FF" w14:paraId="1E771C04" w14:textId="77777777" w:rsidTr="00A9605A">
        <w:trPr>
          <w:trHeight w:val="438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39AF8B13" w14:textId="77777777" w:rsidR="00D345C0" w:rsidRPr="00A508FF" w:rsidRDefault="00D345C0" w:rsidP="005B3244">
            <w:pPr>
              <w:pStyle w:val="TableParagraph"/>
              <w:spacing w:before="85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Setting</w:t>
            </w:r>
          </w:p>
        </w:tc>
      </w:tr>
      <w:tr w:rsidR="00D345C0" w:rsidRPr="00A508FF" w14:paraId="674F004A" w14:textId="77777777" w:rsidTr="00A9605A">
        <w:trPr>
          <w:trHeight w:val="537"/>
          <w:jc w:val="center"/>
        </w:trPr>
        <w:tc>
          <w:tcPr>
            <w:tcW w:w="594" w:type="dxa"/>
          </w:tcPr>
          <w:p w14:paraId="5A7A7D33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1985" w:type="dxa"/>
          </w:tcPr>
          <w:p w14:paraId="2821ECC3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Setting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  <w:p w14:paraId="3884C982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collection</w:t>
            </w:r>
          </w:p>
        </w:tc>
        <w:tc>
          <w:tcPr>
            <w:tcW w:w="3685" w:type="dxa"/>
          </w:tcPr>
          <w:p w14:paraId="6C64F487" w14:textId="77777777" w:rsidR="00DD5E73" w:rsidRPr="00A508FF" w:rsidRDefault="00D345C0" w:rsidP="00DD5E73">
            <w:pPr>
              <w:pStyle w:val="TableParagraph"/>
              <w:ind w:left="108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Where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collected? </w:t>
            </w:r>
          </w:p>
          <w:p w14:paraId="2388BF0A" w14:textId="2D673B91" w:rsidR="00D345C0" w:rsidRPr="00A508FF" w:rsidRDefault="00DD5E73" w:rsidP="00DD5E73">
            <w:pPr>
              <w:pStyle w:val="TableParagraph"/>
              <w:ind w:left="108" w:right="13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D345C0" w:rsidRPr="00A50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.g.</w:t>
            </w:r>
            <w:r w:rsidR="00D345C0" w:rsidRPr="00A508FF">
              <w:rPr>
                <w:rFonts w:ascii="Times New Roman" w:hAnsi="Times New Roman" w:cs="Times New Roman"/>
                <w:i/>
                <w:iCs/>
                <w:spacing w:val="-1"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home, clinic,</w:t>
            </w:r>
            <w:r w:rsidRPr="00A508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345C0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workplace</w:t>
            </w:r>
          </w:p>
        </w:tc>
        <w:tc>
          <w:tcPr>
            <w:tcW w:w="3686" w:type="dxa"/>
            <w:vAlign w:val="center"/>
          </w:tcPr>
          <w:p w14:paraId="50159702" w14:textId="77777777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Microsoft Teams and Microsoft Forms.</w:t>
            </w:r>
          </w:p>
        </w:tc>
      </w:tr>
      <w:tr w:rsidR="00D345C0" w:rsidRPr="00A508FF" w14:paraId="120D868B" w14:textId="77777777" w:rsidTr="00A9605A">
        <w:trPr>
          <w:trHeight w:val="537"/>
          <w:jc w:val="center"/>
        </w:trPr>
        <w:tc>
          <w:tcPr>
            <w:tcW w:w="594" w:type="dxa"/>
          </w:tcPr>
          <w:p w14:paraId="5CCB0B8B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1985" w:type="dxa"/>
          </w:tcPr>
          <w:p w14:paraId="7486CC94" w14:textId="77777777" w:rsidR="00D345C0" w:rsidRPr="00A508FF" w:rsidRDefault="00D345C0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non-</w:t>
            </w:r>
          </w:p>
          <w:p w14:paraId="726337FB" w14:textId="77777777" w:rsidR="00D345C0" w:rsidRPr="00A508FF" w:rsidRDefault="00D345C0" w:rsidP="005B3244">
            <w:pPr>
              <w:pStyle w:val="TableParagraph"/>
              <w:spacing w:line="24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</w:p>
        </w:tc>
        <w:tc>
          <w:tcPr>
            <w:tcW w:w="3685" w:type="dxa"/>
          </w:tcPr>
          <w:p w14:paraId="63679FE0" w14:textId="77777777" w:rsidR="00D345C0" w:rsidRPr="00A508FF" w:rsidRDefault="00D345C0" w:rsidP="00DD5E73">
            <w:pPr>
              <w:pStyle w:val="TableParagraph"/>
              <w:ind w:left="108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anyone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else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besides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participants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researchers?</w:t>
            </w:r>
          </w:p>
        </w:tc>
        <w:tc>
          <w:tcPr>
            <w:tcW w:w="3686" w:type="dxa"/>
            <w:vAlign w:val="center"/>
          </w:tcPr>
          <w:p w14:paraId="196D52C8" w14:textId="5BA48A79" w:rsidR="00D345C0" w:rsidRPr="00A508FF" w:rsidRDefault="00D345C0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Research team member MD was there to record the </w:t>
            </w:r>
            <w:proofErr w:type="gram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meeting, but</w:t>
            </w:r>
            <w:proofErr w:type="gram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was not involved in the discussion. </w:t>
            </w:r>
          </w:p>
        </w:tc>
      </w:tr>
      <w:tr w:rsidR="00D20CB7" w:rsidRPr="00A508FF" w14:paraId="340BA41F" w14:textId="77777777" w:rsidTr="00A9605A">
        <w:trPr>
          <w:trHeight w:val="537"/>
          <w:jc w:val="center"/>
        </w:trPr>
        <w:tc>
          <w:tcPr>
            <w:tcW w:w="594" w:type="dxa"/>
          </w:tcPr>
          <w:p w14:paraId="08DC1B6E" w14:textId="001C9035" w:rsidR="00D20CB7" w:rsidRPr="00A508FF" w:rsidRDefault="00D20CB7" w:rsidP="005B3244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1985" w:type="dxa"/>
          </w:tcPr>
          <w:p w14:paraId="7F14F8BD" w14:textId="6B7E9958" w:rsidR="00D20CB7" w:rsidRPr="00A508FF" w:rsidRDefault="00D20CB7" w:rsidP="005B324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Description of sample</w:t>
            </w:r>
          </w:p>
        </w:tc>
        <w:tc>
          <w:tcPr>
            <w:tcW w:w="3685" w:type="dxa"/>
          </w:tcPr>
          <w:p w14:paraId="62976A30" w14:textId="778F356D" w:rsidR="00D20CB7" w:rsidRPr="00A508FF" w:rsidRDefault="00D20CB7" w:rsidP="00DD5E73">
            <w:pPr>
              <w:pStyle w:val="TableParagraph"/>
              <w:ind w:left="108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important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the sample?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DD5E73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Pr="00A508FF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demographic</w:t>
            </w:r>
            <w:r w:rsidRPr="00A508FF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data,</w:t>
            </w:r>
            <w:r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date</w:t>
            </w:r>
          </w:p>
        </w:tc>
        <w:tc>
          <w:tcPr>
            <w:tcW w:w="3686" w:type="dxa"/>
            <w:vAlign w:val="center"/>
          </w:tcPr>
          <w:p w14:paraId="65D19345" w14:textId="1363FFEB" w:rsidR="00D20CB7" w:rsidRPr="00A508FF" w:rsidRDefault="00D20CB7" w:rsidP="005B3244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Described in the methodology.</w:t>
            </w:r>
          </w:p>
        </w:tc>
      </w:tr>
      <w:tr w:rsidR="00D20CB7" w:rsidRPr="00A508FF" w14:paraId="31BF876C" w14:textId="77777777" w:rsidTr="00A9605A">
        <w:trPr>
          <w:trHeight w:val="503"/>
          <w:jc w:val="center"/>
        </w:trPr>
        <w:tc>
          <w:tcPr>
            <w:tcW w:w="9950" w:type="dxa"/>
            <w:gridSpan w:val="4"/>
            <w:shd w:val="clear" w:color="auto" w:fill="F2F2F2" w:themeFill="background1" w:themeFillShade="F2"/>
            <w:vAlign w:val="center"/>
          </w:tcPr>
          <w:p w14:paraId="5518C161" w14:textId="12F89587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collection</w:t>
            </w:r>
          </w:p>
        </w:tc>
      </w:tr>
      <w:tr w:rsidR="00D20CB7" w:rsidRPr="00A508FF" w14:paraId="42979F02" w14:textId="77777777" w:rsidTr="00A9605A">
        <w:trPr>
          <w:trHeight w:val="537"/>
          <w:jc w:val="center"/>
        </w:trPr>
        <w:tc>
          <w:tcPr>
            <w:tcW w:w="594" w:type="dxa"/>
          </w:tcPr>
          <w:p w14:paraId="5C956BAD" w14:textId="74C00CB3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1985" w:type="dxa"/>
          </w:tcPr>
          <w:p w14:paraId="6B50BFE9" w14:textId="06B415FC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guide</w:t>
            </w:r>
          </w:p>
        </w:tc>
        <w:tc>
          <w:tcPr>
            <w:tcW w:w="3685" w:type="dxa"/>
          </w:tcPr>
          <w:p w14:paraId="13DF3559" w14:textId="45BC07D7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questions,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prompts,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guides provided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by 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authors?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pilot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tested?</w:t>
            </w:r>
          </w:p>
        </w:tc>
        <w:tc>
          <w:tcPr>
            <w:tcW w:w="3686" w:type="dxa"/>
          </w:tcPr>
          <w:p w14:paraId="1819349E" w14:textId="77777777" w:rsidR="00767910" w:rsidRPr="00A508FF" w:rsidRDefault="00D20CB7" w:rsidP="00DD5E73">
            <w:pPr>
              <w:pStyle w:val="TableParagraph"/>
              <w:spacing w:line="240" w:lineRule="auto"/>
              <w:ind w:left="141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 were asked to rank a set of previously identified barriers and enablers to deprescribing, each mapped Theoretical Domains Framework</w:t>
            </w:r>
            <w:r w:rsidR="00DD5E73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domains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750E59CA" w14:textId="7C81BC14" w:rsidR="00D20CB7" w:rsidRPr="00A508FF" w:rsidRDefault="00D20CB7" w:rsidP="00DD5E73">
            <w:pPr>
              <w:pStyle w:val="TableParagraph"/>
              <w:spacing w:line="240" w:lineRule="auto"/>
              <w:ind w:left="141" w:righ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For each item, which was linked to specific </w:t>
            </w:r>
            <w:proofErr w:type="spellStart"/>
            <w:proofErr w:type="gram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change</w:t>
            </w:r>
            <w:proofErr w:type="gram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techniques, participants were then asked to describe how these techniques might be </w:t>
            </w:r>
            <w:proofErr w:type="spell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operationalised</w:t>
            </w:r>
            <w:proofErr w:type="spell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within the context of long-term care as they understood it.</w:t>
            </w:r>
          </w:p>
        </w:tc>
      </w:tr>
      <w:tr w:rsidR="00D20CB7" w:rsidRPr="00A508FF" w14:paraId="2541CB91" w14:textId="77777777" w:rsidTr="00A9605A">
        <w:trPr>
          <w:trHeight w:val="537"/>
          <w:jc w:val="center"/>
        </w:trPr>
        <w:tc>
          <w:tcPr>
            <w:tcW w:w="594" w:type="dxa"/>
          </w:tcPr>
          <w:p w14:paraId="3E035417" w14:textId="73507F33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1985" w:type="dxa"/>
          </w:tcPr>
          <w:p w14:paraId="20BDCFD2" w14:textId="722CB7EB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Repeat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</w:p>
        </w:tc>
        <w:tc>
          <w:tcPr>
            <w:tcW w:w="3685" w:type="dxa"/>
          </w:tcPr>
          <w:p w14:paraId="2CDA807C" w14:textId="38989DE5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repeat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carried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out?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yes,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 many?</w:t>
            </w:r>
          </w:p>
        </w:tc>
        <w:tc>
          <w:tcPr>
            <w:tcW w:w="3686" w:type="dxa"/>
          </w:tcPr>
          <w:p w14:paraId="557FDCAD" w14:textId="51EE26D8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</w:tr>
      <w:tr w:rsidR="00D20CB7" w:rsidRPr="00A508FF" w14:paraId="43E84273" w14:textId="77777777" w:rsidTr="00A9605A">
        <w:trPr>
          <w:trHeight w:val="537"/>
          <w:jc w:val="center"/>
        </w:trPr>
        <w:tc>
          <w:tcPr>
            <w:tcW w:w="594" w:type="dxa"/>
          </w:tcPr>
          <w:p w14:paraId="22A666E2" w14:textId="3854FF5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1985" w:type="dxa"/>
          </w:tcPr>
          <w:p w14:paraId="64C5AEB6" w14:textId="2FD48266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Audio/visual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recording</w:t>
            </w:r>
          </w:p>
        </w:tc>
        <w:tc>
          <w:tcPr>
            <w:tcW w:w="3685" w:type="dxa"/>
          </w:tcPr>
          <w:p w14:paraId="0ECC6851" w14:textId="069B5C13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research use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audio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visual recording to collect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data?</w:t>
            </w:r>
          </w:p>
        </w:tc>
        <w:tc>
          <w:tcPr>
            <w:tcW w:w="3686" w:type="dxa"/>
          </w:tcPr>
          <w:p w14:paraId="52CAA9FD" w14:textId="1127F04A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discussion was audio and video recorded.</w:t>
            </w:r>
          </w:p>
        </w:tc>
      </w:tr>
      <w:tr w:rsidR="00D20CB7" w:rsidRPr="00A508FF" w14:paraId="12D17467" w14:textId="77777777" w:rsidTr="00A9605A">
        <w:trPr>
          <w:trHeight w:val="537"/>
          <w:jc w:val="center"/>
        </w:trPr>
        <w:tc>
          <w:tcPr>
            <w:tcW w:w="594" w:type="dxa"/>
          </w:tcPr>
          <w:p w14:paraId="2CBD3389" w14:textId="443A00E1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1985" w:type="dxa"/>
          </w:tcPr>
          <w:p w14:paraId="716EE1DD" w14:textId="004081D9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Field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notes</w:t>
            </w:r>
          </w:p>
        </w:tc>
        <w:tc>
          <w:tcPr>
            <w:tcW w:w="3685" w:type="dxa"/>
          </w:tcPr>
          <w:p w14:paraId="45DBC5FC" w14:textId="45C20799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field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notes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made during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and/or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interview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 focus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group?</w:t>
            </w:r>
          </w:p>
        </w:tc>
        <w:tc>
          <w:tcPr>
            <w:tcW w:w="3686" w:type="dxa"/>
          </w:tcPr>
          <w:p w14:paraId="1B472133" w14:textId="3FAA410A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During and after the roundtable.</w:t>
            </w:r>
          </w:p>
        </w:tc>
      </w:tr>
      <w:tr w:rsidR="00D20CB7" w:rsidRPr="00A508FF" w14:paraId="4F680D99" w14:textId="77777777" w:rsidTr="00A9605A">
        <w:trPr>
          <w:trHeight w:val="537"/>
          <w:jc w:val="center"/>
        </w:trPr>
        <w:tc>
          <w:tcPr>
            <w:tcW w:w="594" w:type="dxa"/>
          </w:tcPr>
          <w:p w14:paraId="3E3A8173" w14:textId="6BA72A4A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1985" w:type="dxa"/>
          </w:tcPr>
          <w:p w14:paraId="6584E9ED" w14:textId="070E4B4D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Duration</w:t>
            </w:r>
          </w:p>
        </w:tc>
        <w:tc>
          <w:tcPr>
            <w:tcW w:w="3685" w:type="dxa"/>
          </w:tcPr>
          <w:p w14:paraId="370F0F13" w14:textId="4A6B8A89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 the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duration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 focus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group?</w:t>
            </w:r>
          </w:p>
        </w:tc>
        <w:tc>
          <w:tcPr>
            <w:tcW w:w="3686" w:type="dxa"/>
          </w:tcPr>
          <w:p w14:paraId="57C22DE8" w14:textId="1AAE8123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145 minutes.</w:t>
            </w:r>
          </w:p>
        </w:tc>
      </w:tr>
      <w:tr w:rsidR="00D20CB7" w:rsidRPr="00A508FF" w14:paraId="10C50584" w14:textId="77777777" w:rsidTr="00A9605A">
        <w:trPr>
          <w:trHeight w:val="537"/>
          <w:jc w:val="center"/>
        </w:trPr>
        <w:tc>
          <w:tcPr>
            <w:tcW w:w="594" w:type="dxa"/>
          </w:tcPr>
          <w:p w14:paraId="67FEE8A2" w14:textId="339CED9D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1985" w:type="dxa"/>
          </w:tcPr>
          <w:p w14:paraId="392F889C" w14:textId="265467F8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3685" w:type="dxa"/>
          </w:tcPr>
          <w:p w14:paraId="6F98A8E1" w14:textId="0F2556F6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discussed?</w:t>
            </w:r>
          </w:p>
        </w:tc>
        <w:tc>
          <w:tcPr>
            <w:tcW w:w="3686" w:type="dxa"/>
          </w:tcPr>
          <w:p w14:paraId="4E93A245" w14:textId="2685C1E2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 saturation was not discussed, as it was not applicable.</w:t>
            </w:r>
          </w:p>
        </w:tc>
      </w:tr>
      <w:tr w:rsidR="00D20CB7" w:rsidRPr="00A508FF" w14:paraId="6C9679A9" w14:textId="77777777" w:rsidTr="00A9605A">
        <w:trPr>
          <w:trHeight w:val="537"/>
          <w:jc w:val="center"/>
        </w:trPr>
        <w:tc>
          <w:tcPr>
            <w:tcW w:w="594" w:type="dxa"/>
          </w:tcPr>
          <w:p w14:paraId="7AFD0669" w14:textId="746BBC83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1985" w:type="dxa"/>
          </w:tcPr>
          <w:p w14:paraId="57EBDDFC" w14:textId="642BDD62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Transcripts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returned</w:t>
            </w:r>
          </w:p>
        </w:tc>
        <w:tc>
          <w:tcPr>
            <w:tcW w:w="3685" w:type="dxa"/>
          </w:tcPr>
          <w:p w14:paraId="0EAFDF7F" w14:textId="01D8D2BF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transcripts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returned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 for comment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and/or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correction?</w:t>
            </w:r>
          </w:p>
        </w:tc>
        <w:tc>
          <w:tcPr>
            <w:tcW w:w="3686" w:type="dxa"/>
          </w:tcPr>
          <w:p w14:paraId="0C1DC18A" w14:textId="76198A34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Transcripts were not returned to participants.</w:t>
            </w:r>
          </w:p>
        </w:tc>
      </w:tr>
      <w:tr w:rsidR="00D20CB7" w:rsidRPr="00A508FF" w14:paraId="71D00F78" w14:textId="77777777" w:rsidTr="00A9605A">
        <w:trPr>
          <w:trHeight w:val="537"/>
          <w:jc w:val="center"/>
        </w:trPr>
        <w:tc>
          <w:tcPr>
            <w:tcW w:w="9950" w:type="dxa"/>
            <w:gridSpan w:val="4"/>
            <w:shd w:val="clear" w:color="auto" w:fill="D0CECE"/>
            <w:vAlign w:val="center"/>
          </w:tcPr>
          <w:p w14:paraId="53CCC5E0" w14:textId="7111BA97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Domain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3:</w:t>
            </w:r>
            <w:r w:rsidRPr="00A508FF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analysis</w:t>
            </w:r>
            <w:r w:rsidRPr="00A508FF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b/>
                <w:sz w:val="20"/>
                <w:szCs w:val="20"/>
              </w:rPr>
              <w:t>findings</w:t>
            </w:r>
          </w:p>
        </w:tc>
      </w:tr>
      <w:tr w:rsidR="00D20CB7" w:rsidRPr="00A508FF" w14:paraId="47C216B6" w14:textId="77777777" w:rsidTr="00A9605A">
        <w:trPr>
          <w:trHeight w:val="537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471D3D36" w14:textId="6B71108C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</w:p>
        </w:tc>
      </w:tr>
      <w:tr w:rsidR="00D20CB7" w:rsidRPr="00A508FF" w14:paraId="41EECB2C" w14:textId="77777777" w:rsidTr="00A9605A">
        <w:trPr>
          <w:trHeight w:val="537"/>
          <w:jc w:val="center"/>
        </w:trPr>
        <w:tc>
          <w:tcPr>
            <w:tcW w:w="594" w:type="dxa"/>
          </w:tcPr>
          <w:p w14:paraId="525297C2" w14:textId="1B9969BA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24.</w:t>
            </w:r>
          </w:p>
        </w:tc>
        <w:tc>
          <w:tcPr>
            <w:tcW w:w="1985" w:type="dxa"/>
          </w:tcPr>
          <w:p w14:paraId="6779CBAD" w14:textId="7777777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data</w:t>
            </w:r>
          </w:p>
          <w:p w14:paraId="4594E00B" w14:textId="46879426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coders</w:t>
            </w:r>
          </w:p>
        </w:tc>
        <w:tc>
          <w:tcPr>
            <w:tcW w:w="3685" w:type="dxa"/>
          </w:tcPr>
          <w:p w14:paraId="7B63D56B" w14:textId="5A4B49A6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coders</w:t>
            </w:r>
            <w:proofErr w:type="gramEnd"/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coded 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data?</w:t>
            </w:r>
          </w:p>
        </w:tc>
        <w:tc>
          <w:tcPr>
            <w:tcW w:w="3686" w:type="dxa"/>
          </w:tcPr>
          <w:p w14:paraId="3FFF5864" w14:textId="62A0C18D" w:rsidR="00D20CB7" w:rsidRPr="00A508FF" w:rsidRDefault="00D20CB7" w:rsidP="00767910">
            <w:pPr>
              <w:pStyle w:val="TableParagraph"/>
              <w:spacing w:line="240" w:lineRule="auto"/>
              <w:ind w:left="109"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DB and MOH reviewed and </w:t>
            </w:r>
            <w:proofErr w:type="spell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analysed</w:t>
            </w:r>
            <w:proofErr w:type="spell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participants' feedback on the proposed implementation strategy. Although formal coding was not applied, they systematically </w:t>
            </w:r>
            <w:proofErr w:type="spellStart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summarised</w:t>
            </w:r>
            <w:proofErr w:type="spellEnd"/>
            <w:r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the comments and jointly revised the strategy accordingly. No qualitative data software was used.</w:t>
            </w:r>
          </w:p>
        </w:tc>
      </w:tr>
      <w:tr w:rsidR="00D20CB7" w:rsidRPr="00A508FF" w14:paraId="64019157" w14:textId="77777777" w:rsidTr="00A9605A">
        <w:trPr>
          <w:trHeight w:val="537"/>
          <w:jc w:val="center"/>
        </w:trPr>
        <w:tc>
          <w:tcPr>
            <w:tcW w:w="594" w:type="dxa"/>
          </w:tcPr>
          <w:p w14:paraId="04CFBEC6" w14:textId="03DCCF2D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25.</w:t>
            </w:r>
          </w:p>
        </w:tc>
        <w:tc>
          <w:tcPr>
            <w:tcW w:w="1985" w:type="dxa"/>
          </w:tcPr>
          <w:p w14:paraId="4904A19A" w14:textId="7777777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the</w:t>
            </w:r>
          </w:p>
          <w:p w14:paraId="30D65D8A" w14:textId="51B869E2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coding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tree</w:t>
            </w:r>
          </w:p>
        </w:tc>
        <w:tc>
          <w:tcPr>
            <w:tcW w:w="3685" w:type="dxa"/>
          </w:tcPr>
          <w:p w14:paraId="2ACF4609" w14:textId="2AC2F43F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authors provide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 description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the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coding tree?</w:t>
            </w:r>
          </w:p>
        </w:tc>
        <w:tc>
          <w:tcPr>
            <w:tcW w:w="3686" w:type="dxa"/>
          </w:tcPr>
          <w:p w14:paraId="6CBE8502" w14:textId="1420D301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</w:tr>
      <w:tr w:rsidR="00D20CB7" w:rsidRPr="00A508FF" w14:paraId="1F162B78" w14:textId="77777777" w:rsidTr="00A9605A">
        <w:trPr>
          <w:trHeight w:val="537"/>
          <w:jc w:val="center"/>
        </w:trPr>
        <w:tc>
          <w:tcPr>
            <w:tcW w:w="594" w:type="dxa"/>
          </w:tcPr>
          <w:p w14:paraId="6C1EE16D" w14:textId="4A4B9718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26.</w:t>
            </w:r>
          </w:p>
        </w:tc>
        <w:tc>
          <w:tcPr>
            <w:tcW w:w="1985" w:type="dxa"/>
          </w:tcPr>
          <w:p w14:paraId="77BAFD71" w14:textId="50F0435E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Derivation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</w:p>
        </w:tc>
        <w:tc>
          <w:tcPr>
            <w:tcW w:w="3685" w:type="dxa"/>
          </w:tcPr>
          <w:p w14:paraId="5B99D927" w14:textId="2C554A36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identified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advance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derived from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data?</w:t>
            </w:r>
          </w:p>
        </w:tc>
        <w:tc>
          <w:tcPr>
            <w:tcW w:w="3686" w:type="dxa"/>
          </w:tcPr>
          <w:p w14:paraId="382C85CF" w14:textId="5F0CC405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From the data.</w:t>
            </w:r>
          </w:p>
        </w:tc>
      </w:tr>
      <w:tr w:rsidR="00D20CB7" w:rsidRPr="00A508FF" w14:paraId="4F0800B5" w14:textId="77777777" w:rsidTr="00A9605A">
        <w:trPr>
          <w:trHeight w:val="537"/>
          <w:jc w:val="center"/>
        </w:trPr>
        <w:tc>
          <w:tcPr>
            <w:tcW w:w="594" w:type="dxa"/>
          </w:tcPr>
          <w:p w14:paraId="609BD4F8" w14:textId="07C8DBD2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27.</w:t>
            </w:r>
          </w:p>
        </w:tc>
        <w:tc>
          <w:tcPr>
            <w:tcW w:w="1985" w:type="dxa"/>
          </w:tcPr>
          <w:p w14:paraId="55460FCD" w14:textId="3FA5BF43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</w:p>
        </w:tc>
        <w:tc>
          <w:tcPr>
            <w:tcW w:w="3685" w:type="dxa"/>
          </w:tcPr>
          <w:p w14:paraId="7BD8FFEA" w14:textId="54A73B1D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software,</w:t>
            </w:r>
            <w:r w:rsidRPr="00A508F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applicable, was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to manage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data?</w:t>
            </w:r>
          </w:p>
        </w:tc>
        <w:tc>
          <w:tcPr>
            <w:tcW w:w="3686" w:type="dxa"/>
          </w:tcPr>
          <w:p w14:paraId="4EDEA90C" w14:textId="2E93B635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Microsoft Excel</w:t>
            </w:r>
          </w:p>
        </w:tc>
      </w:tr>
      <w:tr w:rsidR="00D20CB7" w:rsidRPr="00A508FF" w14:paraId="71101E93" w14:textId="77777777" w:rsidTr="00A9605A">
        <w:trPr>
          <w:trHeight w:val="537"/>
          <w:jc w:val="center"/>
        </w:trPr>
        <w:tc>
          <w:tcPr>
            <w:tcW w:w="594" w:type="dxa"/>
          </w:tcPr>
          <w:p w14:paraId="697CFC87" w14:textId="73C1CD9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28.</w:t>
            </w:r>
          </w:p>
        </w:tc>
        <w:tc>
          <w:tcPr>
            <w:tcW w:w="1985" w:type="dxa"/>
          </w:tcPr>
          <w:p w14:paraId="7AF0C3DF" w14:textId="6CF91EDA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checking</w:t>
            </w:r>
          </w:p>
        </w:tc>
        <w:tc>
          <w:tcPr>
            <w:tcW w:w="3685" w:type="dxa"/>
          </w:tcPr>
          <w:p w14:paraId="01973362" w14:textId="2C217AEC" w:rsidR="00D20CB7" w:rsidRPr="00A508FF" w:rsidRDefault="00D20CB7" w:rsidP="00D20C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provide feedback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findings?</w:t>
            </w:r>
          </w:p>
        </w:tc>
        <w:tc>
          <w:tcPr>
            <w:tcW w:w="3686" w:type="dxa"/>
          </w:tcPr>
          <w:p w14:paraId="209AE356" w14:textId="1B756E9A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Participants did not provide feedback on the findings.</w:t>
            </w:r>
          </w:p>
        </w:tc>
      </w:tr>
      <w:tr w:rsidR="00D20CB7" w:rsidRPr="00A508FF" w14:paraId="147C4BD7" w14:textId="77777777" w:rsidTr="00A9605A">
        <w:trPr>
          <w:trHeight w:val="537"/>
          <w:jc w:val="center"/>
        </w:trPr>
        <w:tc>
          <w:tcPr>
            <w:tcW w:w="9950" w:type="dxa"/>
            <w:gridSpan w:val="4"/>
            <w:shd w:val="clear" w:color="auto" w:fill="F1F1F1"/>
            <w:vAlign w:val="center"/>
          </w:tcPr>
          <w:p w14:paraId="05D9ED96" w14:textId="3FA95A27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</w:p>
        </w:tc>
      </w:tr>
      <w:tr w:rsidR="00D20CB7" w:rsidRPr="00A508FF" w14:paraId="50F6E9E3" w14:textId="77777777" w:rsidTr="00A9605A">
        <w:trPr>
          <w:trHeight w:val="537"/>
          <w:jc w:val="center"/>
        </w:trPr>
        <w:tc>
          <w:tcPr>
            <w:tcW w:w="594" w:type="dxa"/>
          </w:tcPr>
          <w:p w14:paraId="0B9E792C" w14:textId="1C572FA8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29.</w:t>
            </w:r>
          </w:p>
        </w:tc>
        <w:tc>
          <w:tcPr>
            <w:tcW w:w="1985" w:type="dxa"/>
          </w:tcPr>
          <w:p w14:paraId="599B4ACD" w14:textId="57CBFA7A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Quotations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presented</w:t>
            </w:r>
          </w:p>
        </w:tc>
        <w:tc>
          <w:tcPr>
            <w:tcW w:w="3685" w:type="dxa"/>
          </w:tcPr>
          <w:p w14:paraId="1B2E2194" w14:textId="77777777" w:rsidR="00767910" w:rsidRPr="00A508FF" w:rsidRDefault="00D20CB7" w:rsidP="00767910">
            <w:pPr>
              <w:pStyle w:val="TableParagraph"/>
              <w:spacing w:line="240" w:lineRule="auto"/>
              <w:ind w:left="108" w:right="16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 participant quotations presented to</w:t>
            </w:r>
            <w:r w:rsidRPr="00A508FF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illustrate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/ findings?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14:paraId="288624A7" w14:textId="77777777" w:rsidR="00767910" w:rsidRPr="00A508FF" w:rsidRDefault="00D20CB7" w:rsidP="00767910">
            <w:pPr>
              <w:pStyle w:val="TableParagraph"/>
              <w:spacing w:line="240" w:lineRule="auto"/>
              <w:ind w:left="108" w:right="164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r w:rsidR="00767910" w:rsidRPr="00A508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quotation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identified?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  <w:p w14:paraId="35916EB1" w14:textId="53CADCD1" w:rsidR="00D20CB7" w:rsidRPr="00A508FF" w:rsidRDefault="00767910" w:rsidP="00767910">
            <w:pPr>
              <w:pStyle w:val="TableParagraph"/>
              <w:spacing w:line="240" w:lineRule="auto"/>
              <w:ind w:left="108" w:right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e</w:t>
            </w:r>
            <w:r w:rsidR="00D20CB7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.g.</w:t>
            </w:r>
            <w:r w:rsidR="00D20CB7" w:rsidRPr="00A508FF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="00D20CB7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Participant</w:t>
            </w:r>
            <w:r w:rsidR="00D20CB7" w:rsidRPr="00A508FF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</w:t>
            </w:r>
            <w:r w:rsidR="00D20CB7"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number</w:t>
            </w:r>
          </w:p>
        </w:tc>
        <w:tc>
          <w:tcPr>
            <w:tcW w:w="3686" w:type="dxa"/>
          </w:tcPr>
          <w:p w14:paraId="27505C70" w14:textId="20B6AC6F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</w:tr>
      <w:tr w:rsidR="00D20CB7" w:rsidRPr="00A508FF" w14:paraId="09D5AEDC" w14:textId="77777777" w:rsidTr="00A9605A">
        <w:trPr>
          <w:trHeight w:val="537"/>
          <w:jc w:val="center"/>
        </w:trPr>
        <w:tc>
          <w:tcPr>
            <w:tcW w:w="594" w:type="dxa"/>
          </w:tcPr>
          <w:p w14:paraId="1C2BBEE3" w14:textId="1B01D566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30.</w:t>
            </w:r>
          </w:p>
        </w:tc>
        <w:tc>
          <w:tcPr>
            <w:tcW w:w="1985" w:type="dxa"/>
          </w:tcPr>
          <w:p w14:paraId="306470F0" w14:textId="7777777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findings</w:t>
            </w:r>
          </w:p>
          <w:p w14:paraId="5546D7A4" w14:textId="184D7A96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</w:p>
        </w:tc>
        <w:tc>
          <w:tcPr>
            <w:tcW w:w="3685" w:type="dxa"/>
          </w:tcPr>
          <w:p w14:paraId="6F648656" w14:textId="77777777" w:rsidR="00D20CB7" w:rsidRPr="00A508FF" w:rsidRDefault="00D20CB7" w:rsidP="00767910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consistency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  <w:p w14:paraId="19CB8BDE" w14:textId="7E8273C5" w:rsidR="00D20CB7" w:rsidRPr="00A508FF" w:rsidRDefault="00D20CB7" w:rsidP="00767910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presented</w:t>
            </w:r>
            <w:r w:rsidRPr="00A508F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findings?</w:t>
            </w:r>
          </w:p>
        </w:tc>
        <w:tc>
          <w:tcPr>
            <w:tcW w:w="3686" w:type="dxa"/>
          </w:tcPr>
          <w:p w14:paraId="30C17C98" w14:textId="6DA0475F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  <w:tr w:rsidR="00D20CB7" w:rsidRPr="00A508FF" w14:paraId="48B4E869" w14:textId="77777777" w:rsidTr="00A9605A">
        <w:trPr>
          <w:trHeight w:val="537"/>
          <w:jc w:val="center"/>
        </w:trPr>
        <w:tc>
          <w:tcPr>
            <w:tcW w:w="594" w:type="dxa"/>
          </w:tcPr>
          <w:p w14:paraId="1C0C75A6" w14:textId="38DEFCA0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31.</w:t>
            </w:r>
          </w:p>
        </w:tc>
        <w:tc>
          <w:tcPr>
            <w:tcW w:w="1985" w:type="dxa"/>
          </w:tcPr>
          <w:p w14:paraId="5D8E5C5E" w14:textId="7777777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major</w:t>
            </w:r>
          </w:p>
          <w:p w14:paraId="250A226B" w14:textId="397A5E9C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</w:p>
        </w:tc>
        <w:tc>
          <w:tcPr>
            <w:tcW w:w="3685" w:type="dxa"/>
          </w:tcPr>
          <w:p w14:paraId="10D736CB" w14:textId="268C660F" w:rsidR="00D20CB7" w:rsidRPr="00A508FF" w:rsidRDefault="00D20CB7" w:rsidP="00767910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major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clearly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presented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A508F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 findings?</w:t>
            </w:r>
          </w:p>
        </w:tc>
        <w:tc>
          <w:tcPr>
            <w:tcW w:w="3686" w:type="dxa"/>
          </w:tcPr>
          <w:p w14:paraId="2B5DCE02" w14:textId="733409B0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D20CB7" w:rsidRPr="00A508FF" w14:paraId="3D259064" w14:textId="77777777" w:rsidTr="00A9605A">
        <w:trPr>
          <w:trHeight w:val="537"/>
          <w:jc w:val="center"/>
        </w:trPr>
        <w:tc>
          <w:tcPr>
            <w:tcW w:w="594" w:type="dxa"/>
          </w:tcPr>
          <w:p w14:paraId="7E80D547" w14:textId="2E64A6A4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i/>
                <w:sz w:val="20"/>
                <w:szCs w:val="20"/>
              </w:rPr>
              <w:t>32.</w:t>
            </w:r>
          </w:p>
        </w:tc>
        <w:tc>
          <w:tcPr>
            <w:tcW w:w="1985" w:type="dxa"/>
          </w:tcPr>
          <w:p w14:paraId="6659A53D" w14:textId="77777777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</w:p>
          <w:p w14:paraId="2F8302C0" w14:textId="1824EFD3" w:rsidR="00D20CB7" w:rsidRPr="00A508FF" w:rsidRDefault="00D20CB7" w:rsidP="00D20C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</w:t>
            </w:r>
          </w:p>
        </w:tc>
        <w:tc>
          <w:tcPr>
            <w:tcW w:w="3685" w:type="dxa"/>
          </w:tcPr>
          <w:p w14:paraId="5C11433F" w14:textId="77777777" w:rsidR="00D20CB7" w:rsidRPr="00A508FF" w:rsidRDefault="00D20CB7" w:rsidP="00767910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Is there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a description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 diverse cases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  <w:p w14:paraId="500D4043" w14:textId="1D4DC0AC" w:rsidR="00D20CB7" w:rsidRPr="00A508FF" w:rsidRDefault="00D20CB7" w:rsidP="00767910">
            <w:pPr>
              <w:pStyle w:val="TableParagraph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discussion</w:t>
            </w:r>
            <w:r w:rsidRPr="00A508F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A508F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  <w:r w:rsidRPr="00A508F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themes?</w:t>
            </w:r>
          </w:p>
        </w:tc>
        <w:tc>
          <w:tcPr>
            <w:tcW w:w="3686" w:type="dxa"/>
          </w:tcPr>
          <w:p w14:paraId="2767333E" w14:textId="4AE558D5" w:rsidR="00D20CB7" w:rsidRPr="00A508FF" w:rsidRDefault="00D20CB7" w:rsidP="00D20CB7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FF">
              <w:rPr>
                <w:rFonts w:ascii="Times New Roman" w:hAnsi="Times New Roman" w:cs="Times New Roman"/>
                <w:sz w:val="20"/>
                <w:szCs w:val="20"/>
              </w:rPr>
              <w:t>Yes.</w:t>
            </w:r>
          </w:p>
        </w:tc>
      </w:tr>
    </w:tbl>
    <w:p w14:paraId="0FDA0CE1" w14:textId="77777777" w:rsidR="00D345C0" w:rsidRPr="00A508FF" w:rsidRDefault="00D345C0" w:rsidP="00D20CB7">
      <w:pPr>
        <w:pStyle w:val="BodyText"/>
        <w:spacing w:before="56" w:line="259" w:lineRule="auto"/>
        <w:ind w:right="555"/>
        <w:rPr>
          <w:rFonts w:ascii="Times New Roman" w:hAnsi="Times New Roman" w:cs="Times New Roman"/>
        </w:rPr>
      </w:pPr>
    </w:p>
    <w:p w14:paraId="48532724" w14:textId="77777777" w:rsidR="00D345C0" w:rsidRPr="00A508FF" w:rsidRDefault="00D345C0" w:rsidP="00A9605A">
      <w:pPr>
        <w:spacing w:before="161" w:line="256" w:lineRule="auto"/>
        <w:ind w:left="-284" w:right="-279"/>
        <w:jc w:val="both"/>
        <w:rPr>
          <w:rFonts w:ascii="Times New Roman" w:hAnsi="Times New Roman" w:cs="Times New Roman"/>
          <w:sz w:val="20"/>
          <w:szCs w:val="20"/>
        </w:rPr>
        <w:sectPr w:rsidR="00D345C0" w:rsidRPr="00A508F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A508FF">
        <w:rPr>
          <w:rFonts w:ascii="Times New Roman" w:hAnsi="Times New Roman" w:cs="Times New Roman"/>
          <w:sz w:val="20"/>
          <w:szCs w:val="20"/>
        </w:rPr>
        <w:t>Developed from: Allison Tong, Peter Sainsbury, Jonathan Craig, Consolidated criteria for reporting qualitative research</w:t>
      </w:r>
      <w:r w:rsidRPr="00A508F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A508FF">
        <w:rPr>
          <w:rFonts w:ascii="Times New Roman" w:hAnsi="Times New Roman" w:cs="Times New Roman"/>
          <w:sz w:val="20"/>
          <w:szCs w:val="20"/>
        </w:rPr>
        <w:t>(COREQ): a 32-item checklist for interviews and focus groups, International Journal for Quality in Health Care, Volume 19,</w:t>
      </w:r>
      <w:r w:rsidRPr="00A508FF">
        <w:rPr>
          <w:rFonts w:ascii="Times New Roman" w:hAnsi="Times New Roman" w:cs="Times New Roman"/>
          <w:spacing w:val="-38"/>
          <w:sz w:val="20"/>
          <w:szCs w:val="20"/>
        </w:rPr>
        <w:t xml:space="preserve"> </w:t>
      </w:r>
      <w:r w:rsidRPr="00A508FF">
        <w:rPr>
          <w:rFonts w:ascii="Times New Roman" w:hAnsi="Times New Roman" w:cs="Times New Roman"/>
          <w:sz w:val="20"/>
          <w:szCs w:val="20"/>
        </w:rPr>
        <w:t>Issue</w:t>
      </w:r>
      <w:r w:rsidRPr="00A508F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508FF">
        <w:rPr>
          <w:rFonts w:ascii="Times New Roman" w:hAnsi="Times New Roman" w:cs="Times New Roman"/>
          <w:sz w:val="20"/>
          <w:szCs w:val="20"/>
        </w:rPr>
        <w:t>6, December 2007,</w:t>
      </w:r>
      <w:r w:rsidRPr="00A508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508FF">
        <w:rPr>
          <w:rFonts w:ascii="Times New Roman" w:hAnsi="Times New Roman" w:cs="Times New Roman"/>
          <w:sz w:val="20"/>
          <w:szCs w:val="20"/>
        </w:rPr>
        <w:t>Pages</w:t>
      </w:r>
      <w:r w:rsidRPr="00A508F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508FF">
        <w:rPr>
          <w:rFonts w:ascii="Times New Roman" w:hAnsi="Times New Roman" w:cs="Times New Roman"/>
          <w:sz w:val="20"/>
          <w:szCs w:val="20"/>
        </w:rPr>
        <w:t xml:space="preserve">349–357, </w:t>
      </w:r>
      <w:hyperlink r:id="rId5">
        <w:r w:rsidRPr="00A508FF">
          <w:rPr>
            <w:rFonts w:ascii="Times New Roman" w:hAnsi="Times New Roman" w:cs="Times New Roman"/>
            <w:color w:val="944F71"/>
            <w:sz w:val="20"/>
            <w:szCs w:val="20"/>
            <w:u w:val="single" w:color="944F71"/>
          </w:rPr>
          <w:t>https://doi.org/10.1093/intqhc/mzm042</w:t>
        </w:r>
      </w:hyperlink>
    </w:p>
    <w:p w14:paraId="2F65C15E" w14:textId="224E8713" w:rsidR="00D345C0" w:rsidRPr="00A508FF" w:rsidRDefault="00D345C0" w:rsidP="00D345C0">
      <w:pPr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 w:rsidRPr="00A508FF">
        <w:rPr>
          <w:rFonts w:ascii="Times New Roman" w:hAnsi="Times New Roman" w:cs="Times New Roman"/>
          <w:b/>
          <w:bCs/>
          <w:lang w:val="en-US"/>
        </w:rPr>
        <w:lastRenderedPageBreak/>
        <w:t>Supplementary Table 2</w:t>
      </w:r>
      <w:r w:rsidR="00F62D96" w:rsidRPr="00A508FF">
        <w:rPr>
          <w:rFonts w:ascii="Times New Roman" w:hAnsi="Times New Roman" w:cs="Times New Roman"/>
          <w:b/>
          <w:bCs/>
          <w:lang w:val="en-US"/>
        </w:rPr>
        <w:t>:</w:t>
      </w:r>
      <w:r w:rsidRPr="00A508FF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508FF">
        <w:rPr>
          <w:rFonts w:ascii="Times New Roman" w:hAnsi="Times New Roman" w:cs="Times New Roman"/>
          <w:b/>
          <w:bCs/>
          <w:color w:val="000000"/>
          <w:lang w:val="en-GB"/>
        </w:rPr>
        <w:t>Proposed strategy for the implementation of the dCGA in LTCFs</w:t>
      </w:r>
    </w:p>
    <w:tbl>
      <w:tblPr>
        <w:tblStyle w:val="TableGrid"/>
        <w:tblW w:w="5088" w:type="pct"/>
        <w:tblLook w:val="04A0" w:firstRow="1" w:lastRow="0" w:firstColumn="1" w:lastColumn="0" w:noHBand="0" w:noVBand="1"/>
      </w:tblPr>
      <w:tblGrid>
        <w:gridCol w:w="717"/>
        <w:gridCol w:w="1236"/>
        <w:gridCol w:w="5503"/>
        <w:gridCol w:w="1428"/>
        <w:gridCol w:w="628"/>
        <w:gridCol w:w="3666"/>
      </w:tblGrid>
      <w:tr w:rsidR="00D345C0" w:rsidRPr="00A508FF" w14:paraId="17D0F291" w14:textId="77777777" w:rsidTr="00F62D96">
        <w:tc>
          <w:tcPr>
            <w:tcW w:w="272" w:type="pct"/>
            <w:shd w:val="clear" w:color="auto" w:fill="000000" w:themeFill="text1"/>
            <w:vAlign w:val="center"/>
          </w:tcPr>
          <w:p w14:paraId="6DB7F276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Phase</w:t>
            </w:r>
          </w:p>
        </w:tc>
        <w:tc>
          <w:tcPr>
            <w:tcW w:w="469" w:type="pct"/>
            <w:shd w:val="clear" w:color="auto" w:fill="000000" w:themeFill="text1"/>
            <w:vAlign w:val="center"/>
          </w:tcPr>
          <w:p w14:paraId="44DD855D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Steps</w:t>
            </w:r>
          </w:p>
        </w:tc>
        <w:tc>
          <w:tcPr>
            <w:tcW w:w="2088" w:type="pct"/>
            <w:shd w:val="clear" w:color="auto" w:fill="000000" w:themeFill="text1"/>
            <w:vAlign w:val="center"/>
          </w:tcPr>
          <w:p w14:paraId="01521B3A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Proposed mechanism</w:t>
            </w:r>
          </w:p>
        </w:tc>
        <w:tc>
          <w:tcPr>
            <w:tcW w:w="542" w:type="pct"/>
            <w:shd w:val="clear" w:color="auto" w:fill="000000" w:themeFill="text1"/>
            <w:vAlign w:val="center"/>
          </w:tcPr>
          <w:p w14:paraId="45EB3CC3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Responsibility</w:t>
            </w:r>
          </w:p>
        </w:tc>
        <w:tc>
          <w:tcPr>
            <w:tcW w:w="238" w:type="pct"/>
            <w:shd w:val="clear" w:color="auto" w:fill="000000" w:themeFill="text1"/>
            <w:vAlign w:val="center"/>
          </w:tcPr>
          <w:p w14:paraId="6C86E39F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BCT</w:t>
            </w:r>
          </w:p>
        </w:tc>
        <w:tc>
          <w:tcPr>
            <w:tcW w:w="1391" w:type="pct"/>
            <w:shd w:val="clear" w:color="auto" w:fill="000000" w:themeFill="text1"/>
            <w:vAlign w:val="center"/>
          </w:tcPr>
          <w:p w14:paraId="0DD74DD1" w14:textId="77777777" w:rsidR="00D345C0" w:rsidRPr="00A508FF" w:rsidRDefault="00D345C0" w:rsidP="005B3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Barrier/enabler addressed</w:t>
            </w:r>
          </w:p>
        </w:tc>
      </w:tr>
      <w:tr w:rsidR="00D345C0" w:rsidRPr="00A508FF" w14:paraId="209AD726" w14:textId="77777777" w:rsidTr="00F62D96">
        <w:tc>
          <w:tcPr>
            <w:tcW w:w="272" w:type="pct"/>
            <w:vMerge w:val="restart"/>
            <w:shd w:val="clear" w:color="auto" w:fill="CAEDFB" w:themeFill="accent4" w:themeFillTint="33"/>
            <w:textDirection w:val="btLr"/>
            <w:vAlign w:val="center"/>
          </w:tcPr>
          <w:p w14:paraId="45F65B86" w14:textId="77777777" w:rsidR="00D345C0" w:rsidRPr="00A508FF" w:rsidRDefault="00D345C0" w:rsidP="00F62D96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lang w:val="en-GB"/>
              </w:rPr>
              <w:t>Pre-MDT</w:t>
            </w:r>
          </w:p>
        </w:tc>
        <w:tc>
          <w:tcPr>
            <w:tcW w:w="469" w:type="pct"/>
            <w:vMerge w:val="restart"/>
            <w:vAlign w:val="center"/>
          </w:tcPr>
          <w:p w14:paraId="1721FC0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Forming the dCGA MDT</w:t>
            </w:r>
          </w:p>
        </w:tc>
        <w:tc>
          <w:tcPr>
            <w:tcW w:w="2088" w:type="pct"/>
            <w:vAlign w:val="center"/>
          </w:tcPr>
          <w:p w14:paraId="0DCE2B94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MDT incorporates a GP, pharmacist, and nurse regularly occurring at the LTCF, targeting a group of patients and discussing the ongoing progress of the included patients. </w:t>
            </w:r>
          </w:p>
        </w:tc>
        <w:tc>
          <w:tcPr>
            <w:tcW w:w="542" w:type="pct"/>
            <w:vAlign w:val="center"/>
          </w:tcPr>
          <w:p w14:paraId="396A857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468FD32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</w:t>
            </w:r>
          </w:p>
          <w:p w14:paraId="16A3F7E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</w:tc>
        <w:tc>
          <w:tcPr>
            <w:tcW w:w="1391" w:type="pct"/>
            <w:vMerge w:val="restart"/>
            <w:vAlign w:val="center"/>
          </w:tcPr>
          <w:p w14:paraId="28AA8A22" w14:textId="77777777" w:rsidR="0013565D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#6:</w:t>
            </w:r>
          </w:p>
          <w:p w14:paraId="2B6A1B02" w14:textId="3455D5C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An ‘established hierarchy’ where GPs are believed to hold a position of superiority compared to pharmacists or nurses. </w:t>
            </w:r>
          </w:p>
        </w:tc>
      </w:tr>
      <w:tr w:rsidR="00D345C0" w:rsidRPr="00A508FF" w14:paraId="6805B330" w14:textId="77777777" w:rsidTr="00F62D96">
        <w:tc>
          <w:tcPr>
            <w:tcW w:w="272" w:type="pct"/>
            <w:vMerge/>
            <w:shd w:val="clear" w:color="auto" w:fill="CAEDFB" w:themeFill="accent4" w:themeFillTint="33"/>
            <w:textDirection w:val="btLr"/>
            <w:vAlign w:val="center"/>
          </w:tcPr>
          <w:p w14:paraId="6F3C81D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7F4E791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00891D30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pharmacist is available and responsible for the follow-up of the patient after the patient is included in the dCGA.</w:t>
            </w:r>
          </w:p>
        </w:tc>
        <w:tc>
          <w:tcPr>
            <w:tcW w:w="542" w:type="pct"/>
            <w:vAlign w:val="center"/>
          </w:tcPr>
          <w:p w14:paraId="2731713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2ED0F5F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</w:t>
            </w:r>
          </w:p>
          <w:p w14:paraId="2179DA4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</w:t>
            </w:r>
          </w:p>
        </w:tc>
        <w:tc>
          <w:tcPr>
            <w:tcW w:w="1391" w:type="pct"/>
            <w:vMerge/>
            <w:vAlign w:val="center"/>
          </w:tcPr>
          <w:p w14:paraId="5AB8363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2B098951" w14:textId="77777777" w:rsidTr="00F62D96">
        <w:tc>
          <w:tcPr>
            <w:tcW w:w="272" w:type="pct"/>
            <w:vMerge/>
            <w:shd w:val="clear" w:color="auto" w:fill="CAEDFB" w:themeFill="accent4" w:themeFillTint="33"/>
            <w:textDirection w:val="btLr"/>
            <w:vAlign w:val="center"/>
          </w:tcPr>
          <w:p w14:paraId="3DB825A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5C8A7DF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 Assignment</w:t>
            </w:r>
          </w:p>
        </w:tc>
        <w:tc>
          <w:tcPr>
            <w:tcW w:w="2088" w:type="pct"/>
            <w:vAlign w:val="center"/>
          </w:tcPr>
          <w:p w14:paraId="480F734D" w14:textId="787F9778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</w:t>
            </w:r>
            <w:proofErr w:type="spellStart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</w:t>
            </w:r>
            <w:proofErr w:type="spellEnd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lead should </w:t>
            </w:r>
            <w:r w:rsidR="003120A1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preferably 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 a head nurse.</w:t>
            </w:r>
          </w:p>
        </w:tc>
        <w:tc>
          <w:tcPr>
            <w:tcW w:w="542" w:type="pct"/>
            <w:vAlign w:val="center"/>
          </w:tcPr>
          <w:p w14:paraId="13C7338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</w:p>
        </w:tc>
        <w:tc>
          <w:tcPr>
            <w:tcW w:w="238" w:type="pct"/>
            <w:vAlign w:val="center"/>
          </w:tcPr>
          <w:p w14:paraId="5C0FB03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</w:tc>
        <w:tc>
          <w:tcPr>
            <w:tcW w:w="1391" w:type="pct"/>
            <w:vAlign w:val="center"/>
          </w:tcPr>
          <w:p w14:paraId="60E8B58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Barrier #1: </w:t>
            </w:r>
          </w:p>
          <w:p w14:paraId="5A87E92F" w14:textId="51E2D526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Insufficient resources: time, staffing</w:t>
            </w:r>
            <w:r w:rsidR="003120A1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IT</w:t>
            </w:r>
            <w:r w:rsidR="0013565D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33593822" w14:textId="77777777" w:rsidTr="00F62D96">
        <w:tc>
          <w:tcPr>
            <w:tcW w:w="272" w:type="pct"/>
            <w:vMerge/>
            <w:shd w:val="clear" w:color="auto" w:fill="CAEDFB" w:themeFill="accent4" w:themeFillTint="33"/>
            <w:textDirection w:val="btLr"/>
            <w:vAlign w:val="center"/>
          </w:tcPr>
          <w:p w14:paraId="27E5A8B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3086487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2A973B8D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dCGA lead should be someone best suited to the role of coordinating a dCGA. </w:t>
            </w:r>
          </w:p>
        </w:tc>
        <w:tc>
          <w:tcPr>
            <w:tcW w:w="542" w:type="pct"/>
            <w:vAlign w:val="center"/>
          </w:tcPr>
          <w:p w14:paraId="06D451C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1A52636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  <w:p w14:paraId="65BB9ED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3.3</w:t>
            </w:r>
          </w:p>
          <w:p w14:paraId="69CA4C3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9.1</w:t>
            </w:r>
          </w:p>
        </w:tc>
        <w:tc>
          <w:tcPr>
            <w:tcW w:w="1391" w:type="pct"/>
            <w:vMerge w:val="restart"/>
            <w:vAlign w:val="center"/>
          </w:tcPr>
          <w:p w14:paraId="1CB61513" w14:textId="77777777" w:rsidR="0013565D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#6:</w:t>
            </w:r>
          </w:p>
          <w:p w14:paraId="10DAC235" w14:textId="5BF709FC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An ‘established hierarchy’ where GPs are believed to hold a position of superiority compared to pharmacists or nurses. </w:t>
            </w:r>
          </w:p>
        </w:tc>
      </w:tr>
      <w:tr w:rsidR="00D345C0" w:rsidRPr="00A508FF" w14:paraId="2B69E2A1" w14:textId="77777777" w:rsidTr="00F62D96">
        <w:tc>
          <w:tcPr>
            <w:tcW w:w="272" w:type="pct"/>
            <w:vMerge/>
            <w:shd w:val="clear" w:color="auto" w:fill="CAEDFB" w:themeFill="accent4" w:themeFillTint="33"/>
            <w:textDirection w:val="btLr"/>
            <w:vAlign w:val="center"/>
          </w:tcPr>
          <w:p w14:paraId="00CB31C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0E40F5A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6D1C21FD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This lead is responsible for coordinating and assigning the roles and duties needed to proceed with a dCGA. </w:t>
            </w:r>
          </w:p>
        </w:tc>
        <w:tc>
          <w:tcPr>
            <w:tcW w:w="542" w:type="pct"/>
            <w:vAlign w:val="center"/>
          </w:tcPr>
          <w:p w14:paraId="6B50DFF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18AC919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  <w:p w14:paraId="2F5A5B1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1391" w:type="pct"/>
            <w:vMerge/>
            <w:vAlign w:val="center"/>
          </w:tcPr>
          <w:p w14:paraId="3865909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45790DB9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1827FD2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Align w:val="center"/>
          </w:tcPr>
          <w:p w14:paraId="5128742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Consent Form</w:t>
            </w:r>
          </w:p>
        </w:tc>
        <w:tc>
          <w:tcPr>
            <w:tcW w:w="2088" w:type="pct"/>
            <w:vAlign w:val="center"/>
          </w:tcPr>
          <w:p w14:paraId="17FCB69D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patient or the patient's relatives must sign the consent form for deprescribing before the data collection.</w:t>
            </w:r>
          </w:p>
        </w:tc>
        <w:tc>
          <w:tcPr>
            <w:tcW w:w="542" w:type="pct"/>
            <w:vAlign w:val="center"/>
          </w:tcPr>
          <w:p w14:paraId="54F6729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N, GP</w:t>
            </w:r>
          </w:p>
        </w:tc>
        <w:tc>
          <w:tcPr>
            <w:tcW w:w="238" w:type="pct"/>
            <w:vAlign w:val="center"/>
          </w:tcPr>
          <w:p w14:paraId="0D96BE4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  <w:p w14:paraId="6B0DB4A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</w:tc>
        <w:tc>
          <w:tcPr>
            <w:tcW w:w="1391" w:type="pct"/>
            <w:vMerge w:val="restart"/>
            <w:vAlign w:val="center"/>
          </w:tcPr>
          <w:p w14:paraId="07D954BA" w14:textId="26415B3C" w:rsidR="00D345C0" w:rsidRPr="00A508FF" w:rsidRDefault="00D345C0" w:rsidP="00A87C9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#2</w:t>
            </w:r>
            <w:r w:rsidR="00A87C9E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:</w:t>
            </w:r>
          </w:p>
          <w:p w14:paraId="37940B0F" w14:textId="16B7DA60" w:rsidR="00D345C0" w:rsidRPr="00A508FF" w:rsidRDefault="00D345C0" w:rsidP="00A87C9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Fragmented and/or incomplete data on medications, health status, and other essential information about the patient, which leads to insufficient information required to perform the </w:t>
            </w:r>
            <w:proofErr w:type="spellStart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</w:t>
            </w:r>
            <w:proofErr w:type="spellEnd"/>
            <w:r w:rsidR="00A87C9E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4ED989E0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501052C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1D44EE6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Patient Data Preparation</w:t>
            </w:r>
          </w:p>
        </w:tc>
        <w:tc>
          <w:tcPr>
            <w:tcW w:w="2088" w:type="pct"/>
            <w:vAlign w:val="center"/>
          </w:tcPr>
          <w:p w14:paraId="787A5874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dCGA lead will assign a role to each MDT member in data collection, manage all the collected data, and store it in one accessible place for all MDT members. </w:t>
            </w:r>
          </w:p>
        </w:tc>
        <w:tc>
          <w:tcPr>
            <w:tcW w:w="542" w:type="pct"/>
            <w:vAlign w:val="center"/>
          </w:tcPr>
          <w:p w14:paraId="08A04A1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N, P</w:t>
            </w:r>
          </w:p>
        </w:tc>
        <w:tc>
          <w:tcPr>
            <w:tcW w:w="238" w:type="pct"/>
            <w:vAlign w:val="center"/>
          </w:tcPr>
          <w:p w14:paraId="0846EFD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  <w:p w14:paraId="246C717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</w:tc>
        <w:tc>
          <w:tcPr>
            <w:tcW w:w="1391" w:type="pct"/>
            <w:vMerge/>
            <w:vAlign w:val="center"/>
          </w:tcPr>
          <w:p w14:paraId="6F48971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41FACE9C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0A8B308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8D0FF2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24D8AA9F" w14:textId="77777777" w:rsidR="00D345C0" w:rsidRPr="00A508FF" w:rsidRDefault="00D345C0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consent form for deprescribing must be signed by the patient or the patient's proxy before the data collection.</w:t>
            </w:r>
          </w:p>
        </w:tc>
        <w:tc>
          <w:tcPr>
            <w:tcW w:w="542" w:type="pct"/>
            <w:vAlign w:val="center"/>
          </w:tcPr>
          <w:p w14:paraId="2716657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N, P</w:t>
            </w:r>
          </w:p>
        </w:tc>
        <w:tc>
          <w:tcPr>
            <w:tcW w:w="238" w:type="pct"/>
            <w:vAlign w:val="center"/>
          </w:tcPr>
          <w:p w14:paraId="21402A1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  <w:p w14:paraId="359B078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</w:tc>
        <w:tc>
          <w:tcPr>
            <w:tcW w:w="1391" w:type="pct"/>
            <w:vMerge/>
            <w:vAlign w:val="center"/>
          </w:tcPr>
          <w:p w14:paraId="177D6E3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C2F11" w:rsidRPr="00A508FF" w14:paraId="7631596D" w14:textId="77777777" w:rsidTr="00F62D96">
        <w:trPr>
          <w:trHeight w:val="448"/>
        </w:trPr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4DD51634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02C1B970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recruitment strategy</w:t>
            </w:r>
          </w:p>
        </w:tc>
        <w:tc>
          <w:tcPr>
            <w:tcW w:w="2088" w:type="pct"/>
            <w:vAlign w:val="center"/>
          </w:tcPr>
          <w:p w14:paraId="5CF3AA6B" w14:textId="77777777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strategy depends on whether the older adult is newly admitted to the LTCF (Strategy 1) or is a current LTCF resident (Strategy 2).  </w:t>
            </w:r>
          </w:p>
        </w:tc>
        <w:tc>
          <w:tcPr>
            <w:tcW w:w="542" w:type="pct"/>
            <w:vAlign w:val="center"/>
          </w:tcPr>
          <w:p w14:paraId="0ADDB593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768B85B1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</w:tc>
        <w:tc>
          <w:tcPr>
            <w:tcW w:w="1391" w:type="pct"/>
            <w:vMerge w:val="restart"/>
            <w:vAlign w:val="center"/>
          </w:tcPr>
          <w:p w14:paraId="3417AE67" w14:textId="77777777" w:rsidR="0013565D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#4:</w:t>
            </w:r>
          </w:p>
          <w:p w14:paraId="6194C777" w14:textId="2F46E875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standardised comprehensive protocol exists for identifying and prioritising patients who would benefit from dCGA.</w:t>
            </w:r>
          </w:p>
          <w:p w14:paraId="23B51D4A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C2F11" w:rsidRPr="00A508FF" w14:paraId="3DAA021D" w14:textId="77777777" w:rsidTr="00F62D96">
        <w:trPr>
          <w:trHeight w:val="70"/>
        </w:trPr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5E40979E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6F056D53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3E3FFCB1" w14:textId="77777777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frequency of therapy revision needs to be individually assessed. </w:t>
            </w:r>
          </w:p>
        </w:tc>
        <w:tc>
          <w:tcPr>
            <w:tcW w:w="542" w:type="pct"/>
            <w:vAlign w:val="center"/>
          </w:tcPr>
          <w:p w14:paraId="37CDEFBD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7272EC8A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</w:tc>
        <w:tc>
          <w:tcPr>
            <w:tcW w:w="1391" w:type="pct"/>
            <w:vMerge/>
            <w:vAlign w:val="center"/>
          </w:tcPr>
          <w:p w14:paraId="3DE963E4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C2F11" w:rsidRPr="00A508FF" w14:paraId="57B554BC" w14:textId="77777777" w:rsidTr="00F62D96">
        <w:trPr>
          <w:trHeight w:val="1386"/>
        </w:trPr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3E1FD5AC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6654F7BB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99FE0B1" w14:textId="77777777" w:rsidR="0013565D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u w:val="single"/>
                <w:lang w:val="en-GB"/>
              </w:rPr>
              <w:t>Strategy 1 – for those newly admitted to the LTCF:</w:t>
            </w:r>
          </w:p>
          <w:p w14:paraId="7CE640EF" w14:textId="77777777" w:rsidR="0013565D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 persons newly admitted to the LTCF, a dCGA should be performed soon after admission to the LTCF.</w:t>
            </w:r>
          </w:p>
          <w:p w14:paraId="64B0AF60" w14:textId="28561D04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Nurses can put a note in the patient’s health record to remind other MDT members to perform a dCGA and remove it after completing the task.</w:t>
            </w:r>
          </w:p>
        </w:tc>
        <w:tc>
          <w:tcPr>
            <w:tcW w:w="542" w:type="pct"/>
            <w:vMerge w:val="restart"/>
            <w:vAlign w:val="center"/>
          </w:tcPr>
          <w:p w14:paraId="6944EC09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14200045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  <w:p w14:paraId="2AB7193B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  <w:p w14:paraId="4D4FAED2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</w:t>
            </w:r>
          </w:p>
          <w:p w14:paraId="04F28596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</w:t>
            </w:r>
          </w:p>
          <w:p w14:paraId="66FB700E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  <w:p w14:paraId="5706BB80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  <w:p w14:paraId="3854055A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1391" w:type="pct"/>
            <w:vMerge/>
            <w:vAlign w:val="center"/>
          </w:tcPr>
          <w:p w14:paraId="0A5E1E19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C2F11" w:rsidRPr="00A508FF" w14:paraId="2BACA72B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62809E37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7B428FB9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4F3824BF" w14:textId="77777777" w:rsidR="0013565D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u w:val="single"/>
                <w:lang w:val="en-GB"/>
              </w:rPr>
              <w:t>Strategy 2 – for a current resident of the LTCF:</w:t>
            </w:r>
          </w:p>
          <w:p w14:paraId="4390B40D" w14:textId="37E69312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 </w:t>
            </w:r>
            <w:proofErr w:type="spellStart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</w:t>
            </w:r>
            <w:proofErr w:type="spellEnd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should be performed for all patients currently at the LTCF. 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br/>
              <w:t>Priority should be given to those clinically judged to have a greater need (e.g. based on the patient's symptoms and complaints, any adverse drug event, higher anticholinergic burden, higher degree of frailty, new medical condition, cognitive impairments, unusual patient behaviours, dehydration).</w:t>
            </w:r>
          </w:p>
        </w:tc>
        <w:tc>
          <w:tcPr>
            <w:tcW w:w="542" w:type="pct"/>
            <w:vMerge/>
            <w:vAlign w:val="center"/>
          </w:tcPr>
          <w:p w14:paraId="21583CB4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8" w:type="pct"/>
            <w:vAlign w:val="center"/>
          </w:tcPr>
          <w:p w14:paraId="511D8108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  <w:p w14:paraId="73EC0039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  <w:p w14:paraId="3FD16F43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  <w:p w14:paraId="60A62E30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  <w:p w14:paraId="6246C0E6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1391" w:type="pct"/>
            <w:vMerge/>
            <w:vAlign w:val="center"/>
          </w:tcPr>
          <w:p w14:paraId="4F63331C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C2F11" w:rsidRPr="00A508FF" w14:paraId="0C6EDDF8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1995E8FA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271775D2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4A0FB934" w14:textId="22C65A23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MDT members must agree on the target group of patients eligible for </w:t>
            </w:r>
            <w:proofErr w:type="spellStart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</w:t>
            </w:r>
            <w:proofErr w:type="spellEnd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before the meeting.</w:t>
            </w:r>
          </w:p>
        </w:tc>
        <w:tc>
          <w:tcPr>
            <w:tcW w:w="542" w:type="pct"/>
            <w:vAlign w:val="center"/>
          </w:tcPr>
          <w:p w14:paraId="5840D768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4A94909D" w14:textId="77777777" w:rsidR="000C2F11" w:rsidRPr="00A508FF" w:rsidRDefault="000C2F11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</w:tc>
        <w:tc>
          <w:tcPr>
            <w:tcW w:w="1391" w:type="pct"/>
            <w:vAlign w:val="center"/>
          </w:tcPr>
          <w:p w14:paraId="09D784E3" w14:textId="77777777" w:rsidR="0013565D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#2:</w:t>
            </w:r>
          </w:p>
          <w:p w14:paraId="407CBD16" w14:textId="2FD3D683" w:rsidR="000C2F11" w:rsidRPr="00A508FF" w:rsidRDefault="000C2F11" w:rsidP="0013565D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Multidisciplinary team meetings support deprescribing behaviours and decision-making. </w:t>
            </w:r>
          </w:p>
        </w:tc>
      </w:tr>
      <w:tr w:rsidR="00D345C0" w:rsidRPr="00A508FF" w14:paraId="24668A71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144638E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6502C10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Schedule Reviews</w:t>
            </w:r>
          </w:p>
        </w:tc>
        <w:tc>
          <w:tcPr>
            <w:tcW w:w="2088" w:type="pct"/>
            <w:vAlign w:val="center"/>
          </w:tcPr>
          <w:p w14:paraId="35B3F6B8" w14:textId="5CEE6329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dCGA review should be performed regularly by the MDT after the first assessment (e.g. every six months). </w:t>
            </w:r>
          </w:p>
        </w:tc>
        <w:tc>
          <w:tcPr>
            <w:tcW w:w="542" w:type="pct"/>
            <w:vAlign w:val="center"/>
          </w:tcPr>
          <w:p w14:paraId="540CCE2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0A4CA74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  <w:p w14:paraId="39BAEA3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  <w:p w14:paraId="52B9525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8.3</w:t>
            </w:r>
          </w:p>
        </w:tc>
        <w:tc>
          <w:tcPr>
            <w:tcW w:w="1391" w:type="pct"/>
            <w:vMerge w:val="restart"/>
            <w:vAlign w:val="center"/>
          </w:tcPr>
          <w:p w14:paraId="5F7FB052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#4:</w:t>
            </w:r>
          </w:p>
          <w:p w14:paraId="2A98E38B" w14:textId="431C25F2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standardised comprehensive protocol exists for identifying and prioritising patients who would benefit from dCGA.</w:t>
            </w:r>
          </w:p>
          <w:p w14:paraId="465E22B6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3BF9651F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0CD9E13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DA22F2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1F8F1FE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dCGA lead is responsible for scheduling the upcoming review.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br/>
              <w:t xml:space="preserve">A note with the upcoming review date should be in the patient’s health record notes and/or medication list. </w:t>
            </w:r>
          </w:p>
        </w:tc>
        <w:tc>
          <w:tcPr>
            <w:tcW w:w="542" w:type="pct"/>
            <w:vAlign w:val="center"/>
          </w:tcPr>
          <w:p w14:paraId="766887E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2332485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</w:t>
            </w:r>
          </w:p>
          <w:p w14:paraId="5B0D031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1391" w:type="pct"/>
            <w:vMerge/>
            <w:vAlign w:val="center"/>
          </w:tcPr>
          <w:p w14:paraId="1D3CAE5A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73A15BB3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69A9397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1C0E76F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Education and Training</w:t>
            </w:r>
          </w:p>
        </w:tc>
        <w:tc>
          <w:tcPr>
            <w:tcW w:w="2088" w:type="pct"/>
            <w:vAlign w:val="center"/>
          </w:tcPr>
          <w:p w14:paraId="1AB1C92C" w14:textId="77777777" w:rsidR="00372479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pharmacist will provide the LTCF with evidence-based guidance documents as reference material for deprescribing.</w:t>
            </w:r>
          </w:p>
          <w:p w14:paraId="71F6379E" w14:textId="1B5359A5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This guidance should be provided as part of a training session at the LTCF if possible, with all HCP staff (e.g. GP, pharmacist, nurse) available to attend. Training session should also include consequences of continuing the potentially inappropriate medic</w:t>
            </w:r>
            <w:r w:rsidR="00372479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ation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when to consider deprescribing, and how to use the guidance documents.</w:t>
            </w:r>
          </w:p>
        </w:tc>
        <w:tc>
          <w:tcPr>
            <w:tcW w:w="542" w:type="pct"/>
            <w:vAlign w:val="center"/>
          </w:tcPr>
          <w:p w14:paraId="0DC0A57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3298332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  <w:p w14:paraId="13EE204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</w:t>
            </w:r>
          </w:p>
          <w:p w14:paraId="315817F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</w:t>
            </w:r>
          </w:p>
          <w:p w14:paraId="1B9CE52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91" w:type="pct"/>
            <w:vMerge w:val="restart"/>
            <w:vAlign w:val="center"/>
          </w:tcPr>
          <w:p w14:paraId="0A133E09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#1</w:t>
            </w:r>
          </w:p>
          <w:p w14:paraId="54B44211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Further education to support the implementation of deprescribing in routine practice.</w:t>
            </w:r>
          </w:p>
          <w:p w14:paraId="6315B2CC" w14:textId="0C6A525F" w:rsidR="00C34F1C" w:rsidRPr="00A508FF" w:rsidRDefault="00C34F1C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0CB30147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#5:</w:t>
            </w:r>
          </w:p>
          <w:p w14:paraId="6D0F00DF" w14:textId="569E913F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Limited practical knowledge and experience in deprescribing</w:t>
            </w:r>
            <w:r w:rsidR="00372479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15C3CBA3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1047E96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31D2B6C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BBA5192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Education sessions can be more frequent in the beginning. Thereafter, these can occur when needed, with at least one annually.</w:t>
            </w:r>
          </w:p>
        </w:tc>
        <w:tc>
          <w:tcPr>
            <w:tcW w:w="542" w:type="pct"/>
            <w:vAlign w:val="center"/>
          </w:tcPr>
          <w:p w14:paraId="35D83C1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4386D19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</w:t>
            </w:r>
          </w:p>
        </w:tc>
        <w:tc>
          <w:tcPr>
            <w:tcW w:w="1391" w:type="pct"/>
            <w:vMerge/>
            <w:vAlign w:val="center"/>
          </w:tcPr>
          <w:p w14:paraId="262287E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20C1E542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1367DA3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22B846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2A83A9D4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Pharmacists with inadequate experience should also participate in education on deprescribing. </w:t>
            </w:r>
          </w:p>
        </w:tc>
        <w:tc>
          <w:tcPr>
            <w:tcW w:w="542" w:type="pct"/>
            <w:vAlign w:val="center"/>
          </w:tcPr>
          <w:p w14:paraId="1817034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45E4BB4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</w:tc>
        <w:tc>
          <w:tcPr>
            <w:tcW w:w="1391" w:type="pct"/>
            <w:vMerge/>
            <w:vAlign w:val="center"/>
          </w:tcPr>
          <w:p w14:paraId="72F0F3B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543B775E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4984D68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0827438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65555765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Pharmacists will provide crucial information on the potential risks and benefits of deprescribed medication, as well as possible actions in case of an unwanted physical response to it. </w:t>
            </w:r>
          </w:p>
          <w:p w14:paraId="1606ABFD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Nurses will be informed of this for every medication before starting the deprescribing process.</w:t>
            </w:r>
          </w:p>
        </w:tc>
        <w:tc>
          <w:tcPr>
            <w:tcW w:w="542" w:type="pct"/>
            <w:vAlign w:val="center"/>
          </w:tcPr>
          <w:p w14:paraId="1900CAC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4E6FDAC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</w:t>
            </w:r>
          </w:p>
          <w:p w14:paraId="3429F89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</w:tc>
        <w:tc>
          <w:tcPr>
            <w:tcW w:w="1391" w:type="pct"/>
            <w:vMerge/>
            <w:vAlign w:val="center"/>
          </w:tcPr>
          <w:p w14:paraId="4933687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22149D78" w14:textId="77777777" w:rsidTr="00F62D96">
        <w:tc>
          <w:tcPr>
            <w:tcW w:w="272" w:type="pct"/>
            <w:vMerge/>
            <w:shd w:val="clear" w:color="auto" w:fill="CAEDFB" w:themeFill="accent4" w:themeFillTint="33"/>
            <w:vAlign w:val="center"/>
          </w:tcPr>
          <w:p w14:paraId="085F3EB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48F4FB9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963DFC2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pharmacist will make themselves available for any inquiries during the entire period of deprescribing. </w:t>
            </w:r>
          </w:p>
        </w:tc>
        <w:tc>
          <w:tcPr>
            <w:tcW w:w="542" w:type="pct"/>
            <w:vAlign w:val="center"/>
          </w:tcPr>
          <w:p w14:paraId="078C1FD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25AF745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1391" w:type="pct"/>
            <w:vMerge/>
            <w:vAlign w:val="center"/>
          </w:tcPr>
          <w:p w14:paraId="5710297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00FD6D5F" w14:textId="77777777" w:rsidTr="00F62D96">
        <w:tc>
          <w:tcPr>
            <w:tcW w:w="272" w:type="pct"/>
            <w:vMerge w:val="restart"/>
            <w:shd w:val="clear" w:color="auto" w:fill="FAE2D5" w:themeFill="accent2" w:themeFillTint="33"/>
            <w:textDirection w:val="btLr"/>
            <w:vAlign w:val="center"/>
          </w:tcPr>
          <w:p w14:paraId="0BE9BE24" w14:textId="77777777" w:rsidR="00D345C0" w:rsidRPr="00A508FF" w:rsidRDefault="00D345C0" w:rsidP="00F62D9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lang w:val="en-GB"/>
              </w:rPr>
              <w:t>During MDT</w:t>
            </w:r>
          </w:p>
        </w:tc>
        <w:tc>
          <w:tcPr>
            <w:tcW w:w="469" w:type="pct"/>
            <w:vMerge w:val="restart"/>
            <w:vAlign w:val="center"/>
          </w:tcPr>
          <w:p w14:paraId="213031BD" w14:textId="06ED3F35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Deprescribing Discussions</w:t>
            </w:r>
            <w:r w:rsidR="00372479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</w:t>
            </w:r>
          </w:p>
          <w:p w14:paraId="50F0DE2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Deprescribing Approval</w:t>
            </w:r>
          </w:p>
        </w:tc>
        <w:tc>
          <w:tcPr>
            <w:tcW w:w="2088" w:type="pct"/>
            <w:vAlign w:val="center"/>
          </w:tcPr>
          <w:p w14:paraId="43874460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dCGA lead ensures that deprescribing decisions are documented during reviews.</w:t>
            </w:r>
          </w:p>
        </w:tc>
        <w:tc>
          <w:tcPr>
            <w:tcW w:w="542" w:type="pct"/>
            <w:vAlign w:val="center"/>
          </w:tcPr>
          <w:p w14:paraId="3756F84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1E7FC11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  <w:p w14:paraId="261F6E8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</w:t>
            </w:r>
          </w:p>
        </w:tc>
        <w:tc>
          <w:tcPr>
            <w:tcW w:w="1391" w:type="pct"/>
            <w:vMerge w:val="restart"/>
            <w:vAlign w:val="center"/>
          </w:tcPr>
          <w:p w14:paraId="1EDF8BA8" w14:textId="5C4E760A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Barrier #1: 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br/>
              <w:t>Insufficient resources: time, staffing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IT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6C031B6E" w14:textId="77777777" w:rsidTr="00F62D96"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155997F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292809B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0009AA28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 pharmacist should be available 1-2 times a month for the other members of the MDT to maximise the quality of medication-related decisions made during the MDT meeting. </w:t>
            </w:r>
          </w:p>
        </w:tc>
        <w:tc>
          <w:tcPr>
            <w:tcW w:w="542" w:type="pct"/>
            <w:vAlign w:val="center"/>
          </w:tcPr>
          <w:p w14:paraId="0DD1753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378BB04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</w:tc>
        <w:tc>
          <w:tcPr>
            <w:tcW w:w="1391" w:type="pct"/>
            <w:vMerge/>
            <w:vAlign w:val="center"/>
          </w:tcPr>
          <w:p w14:paraId="04F5FD4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01F5E00F" w14:textId="77777777" w:rsidTr="00F62D96"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4E404E7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40ED65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1840A5EA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 pharmacist involved in dCGA should preferably be one who works within the nursing home; if not, it should be one who provides medication and/or reviews for the nursing home residents. Pharmacists should be available for contact within working hours.</w:t>
            </w:r>
          </w:p>
        </w:tc>
        <w:tc>
          <w:tcPr>
            <w:tcW w:w="542" w:type="pct"/>
            <w:vAlign w:val="center"/>
          </w:tcPr>
          <w:p w14:paraId="0329B63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7240E66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1391" w:type="pct"/>
            <w:vMerge/>
            <w:vAlign w:val="center"/>
          </w:tcPr>
          <w:p w14:paraId="3ED4BA2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24566E4E" w14:textId="77777777" w:rsidTr="00F62D96"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50A13EE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54F7A24D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3B1A4827" w14:textId="02450E9E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GPs will be presented with the patient's information data</w:t>
            </w:r>
            <w:r w:rsidR="00372479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;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after careful consideration, they will approve deprescribing if it is deemed appropriate for the patient's condition and overall care plan. </w:t>
            </w:r>
          </w:p>
        </w:tc>
        <w:tc>
          <w:tcPr>
            <w:tcW w:w="542" w:type="pct"/>
            <w:vAlign w:val="center"/>
          </w:tcPr>
          <w:p w14:paraId="7A4ED46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3D36BA1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</w:tc>
        <w:tc>
          <w:tcPr>
            <w:tcW w:w="1391" w:type="pct"/>
            <w:vMerge/>
            <w:vAlign w:val="center"/>
          </w:tcPr>
          <w:p w14:paraId="778E2CB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54E23E81" w14:textId="77777777" w:rsidTr="00F62D96"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22D269B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7D2DB6D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5DCB5201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proposed deprescribing plan, including a plan for patient monitoring and what actions will be required for this, was agreed upon during the meeting. </w:t>
            </w:r>
          </w:p>
        </w:tc>
        <w:tc>
          <w:tcPr>
            <w:tcW w:w="542" w:type="pct"/>
            <w:vAlign w:val="center"/>
          </w:tcPr>
          <w:p w14:paraId="5C15E7B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4F678B9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</w:tc>
        <w:tc>
          <w:tcPr>
            <w:tcW w:w="1391" w:type="pct"/>
            <w:vAlign w:val="center"/>
          </w:tcPr>
          <w:p w14:paraId="2DC20022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#2:</w:t>
            </w:r>
          </w:p>
          <w:p w14:paraId="5263AC9F" w14:textId="426F839F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Multidisciplinary team meetings support deprescribing behaviours and decision-making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60699295" w14:textId="77777777" w:rsidTr="00F62D96">
        <w:trPr>
          <w:trHeight w:val="536"/>
        </w:trPr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0684C68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Align w:val="center"/>
          </w:tcPr>
          <w:p w14:paraId="2EC1504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Goal Setting</w:t>
            </w:r>
          </w:p>
        </w:tc>
        <w:tc>
          <w:tcPr>
            <w:tcW w:w="2088" w:type="pct"/>
            <w:vAlign w:val="center"/>
          </w:tcPr>
          <w:p w14:paraId="4931C42E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Outcome goals are set individually for each patient, considering the patient's needs and the specifics of the proposed plan. </w:t>
            </w:r>
          </w:p>
        </w:tc>
        <w:tc>
          <w:tcPr>
            <w:tcW w:w="542" w:type="pct"/>
            <w:vAlign w:val="center"/>
          </w:tcPr>
          <w:p w14:paraId="153FF36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51687B7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</w:t>
            </w:r>
          </w:p>
        </w:tc>
        <w:tc>
          <w:tcPr>
            <w:tcW w:w="1391" w:type="pct"/>
            <w:vAlign w:val="center"/>
          </w:tcPr>
          <w:p w14:paraId="23BFD5BD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#2:</w:t>
            </w:r>
          </w:p>
          <w:p w14:paraId="3055A361" w14:textId="31A8837F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Multidisciplinary team meetings support deprescribing behaviours and decision-making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231FC739" w14:textId="77777777" w:rsidTr="00F62D96">
        <w:tc>
          <w:tcPr>
            <w:tcW w:w="272" w:type="pct"/>
            <w:vMerge/>
            <w:shd w:val="clear" w:color="auto" w:fill="FAE2D5" w:themeFill="accent2" w:themeFillTint="33"/>
            <w:textDirection w:val="btLr"/>
            <w:vAlign w:val="center"/>
          </w:tcPr>
          <w:p w14:paraId="4D294FD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Align w:val="center"/>
          </w:tcPr>
          <w:p w14:paraId="44E9ED8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Data Management</w:t>
            </w:r>
          </w:p>
        </w:tc>
        <w:tc>
          <w:tcPr>
            <w:tcW w:w="2088" w:type="pct"/>
            <w:vAlign w:val="center"/>
          </w:tcPr>
          <w:p w14:paraId="5D4989B6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dCGA lead will provide all the patients' data and deprescribing reports in a secure electronic system to support dCGA. </w:t>
            </w:r>
          </w:p>
        </w:tc>
        <w:tc>
          <w:tcPr>
            <w:tcW w:w="542" w:type="pct"/>
            <w:vAlign w:val="center"/>
          </w:tcPr>
          <w:p w14:paraId="6935042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Lead</w:t>
            </w:r>
          </w:p>
        </w:tc>
        <w:tc>
          <w:tcPr>
            <w:tcW w:w="238" w:type="pct"/>
            <w:vAlign w:val="center"/>
          </w:tcPr>
          <w:p w14:paraId="31EC26E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</w:t>
            </w:r>
          </w:p>
        </w:tc>
        <w:tc>
          <w:tcPr>
            <w:tcW w:w="1391" w:type="pct"/>
            <w:vAlign w:val="center"/>
          </w:tcPr>
          <w:p w14:paraId="4B9C44C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Barrier #1: </w:t>
            </w:r>
          </w:p>
          <w:p w14:paraId="450670BC" w14:textId="28C966C5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Insufficient resources: time, staffing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IT.</w:t>
            </w:r>
          </w:p>
        </w:tc>
      </w:tr>
      <w:tr w:rsidR="00D345C0" w:rsidRPr="00A508FF" w14:paraId="0BDDD28C" w14:textId="77777777" w:rsidTr="00F62D96">
        <w:tc>
          <w:tcPr>
            <w:tcW w:w="272" w:type="pct"/>
            <w:vMerge w:val="restart"/>
            <w:shd w:val="clear" w:color="auto" w:fill="FFFF00"/>
            <w:textDirection w:val="btLr"/>
            <w:vAlign w:val="center"/>
          </w:tcPr>
          <w:p w14:paraId="152A90E7" w14:textId="77777777" w:rsidR="00D345C0" w:rsidRPr="00A508FF" w:rsidRDefault="00D345C0" w:rsidP="00F62D96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508FF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Post MDT</w:t>
            </w:r>
          </w:p>
        </w:tc>
        <w:tc>
          <w:tcPr>
            <w:tcW w:w="469" w:type="pct"/>
            <w:vMerge w:val="restart"/>
            <w:vAlign w:val="center"/>
          </w:tcPr>
          <w:p w14:paraId="1D05B46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Review and Monitoring </w:t>
            </w:r>
          </w:p>
        </w:tc>
        <w:tc>
          <w:tcPr>
            <w:tcW w:w="2088" w:type="pct"/>
            <w:vAlign w:val="center"/>
          </w:tcPr>
          <w:p w14:paraId="7EE79083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There should be an electronic system that allows all HCPs in LTCFs to access and share relevant patient data to support collaborative care and deprescribing.</w:t>
            </w:r>
          </w:p>
        </w:tc>
        <w:tc>
          <w:tcPr>
            <w:tcW w:w="542" w:type="pct"/>
            <w:vAlign w:val="center"/>
          </w:tcPr>
          <w:p w14:paraId="149FE66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8" w:type="pct"/>
            <w:vAlign w:val="center"/>
          </w:tcPr>
          <w:p w14:paraId="5556DE2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12.5</w:t>
            </w:r>
          </w:p>
        </w:tc>
        <w:tc>
          <w:tcPr>
            <w:tcW w:w="1391" w:type="pct"/>
            <w:vMerge w:val="restart"/>
            <w:vAlign w:val="center"/>
          </w:tcPr>
          <w:p w14:paraId="009544C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Barrier #1: </w:t>
            </w:r>
          </w:p>
          <w:p w14:paraId="797B57A2" w14:textId="51785FEB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Insufficient resources: time, staffing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IT.</w:t>
            </w:r>
          </w:p>
        </w:tc>
      </w:tr>
      <w:tr w:rsidR="00D345C0" w:rsidRPr="00A508FF" w14:paraId="69B4CF42" w14:textId="77777777" w:rsidTr="00F62D96">
        <w:tc>
          <w:tcPr>
            <w:tcW w:w="272" w:type="pct"/>
            <w:vMerge/>
            <w:shd w:val="clear" w:color="auto" w:fill="FFFF00"/>
            <w:textDirection w:val="btLr"/>
            <w:vAlign w:val="center"/>
          </w:tcPr>
          <w:p w14:paraId="57E30B1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3C2C6C9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0F4E6F11" w14:textId="1C36F22F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Increase pharmacists’ support to nurses with monitoring of the withdrawal symptoms after the pharmacist has reviewed the medication list</w:t>
            </w:r>
            <w:r w:rsidR="00372479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  <w:tc>
          <w:tcPr>
            <w:tcW w:w="542" w:type="pct"/>
            <w:vAlign w:val="center"/>
          </w:tcPr>
          <w:p w14:paraId="4F0797F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715DF92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</w:t>
            </w:r>
          </w:p>
        </w:tc>
        <w:tc>
          <w:tcPr>
            <w:tcW w:w="1391" w:type="pct"/>
            <w:vMerge/>
            <w:vAlign w:val="center"/>
          </w:tcPr>
          <w:p w14:paraId="3D2C5B3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389F0FCF" w14:textId="77777777" w:rsidTr="00F62D96">
        <w:trPr>
          <w:trHeight w:val="493"/>
        </w:trPr>
        <w:tc>
          <w:tcPr>
            <w:tcW w:w="272" w:type="pct"/>
            <w:vMerge/>
            <w:shd w:val="clear" w:color="auto" w:fill="FFFF00"/>
            <w:textDirection w:val="btLr"/>
            <w:vAlign w:val="center"/>
          </w:tcPr>
          <w:p w14:paraId="587FF53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3FEFEBF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23C5585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The pharmacist provides additional deprescribing guidelines where needed for staff (e.g. based on specific medications). </w:t>
            </w:r>
          </w:p>
        </w:tc>
        <w:tc>
          <w:tcPr>
            <w:tcW w:w="542" w:type="pct"/>
            <w:vAlign w:val="center"/>
          </w:tcPr>
          <w:p w14:paraId="0FA9B3A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</w:p>
        </w:tc>
        <w:tc>
          <w:tcPr>
            <w:tcW w:w="238" w:type="pct"/>
            <w:vAlign w:val="center"/>
          </w:tcPr>
          <w:p w14:paraId="7C5DA32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</w:t>
            </w:r>
          </w:p>
        </w:tc>
        <w:tc>
          <w:tcPr>
            <w:tcW w:w="1391" w:type="pct"/>
            <w:vMerge w:val="restart"/>
            <w:vAlign w:val="center"/>
          </w:tcPr>
          <w:p w14:paraId="553DC736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#2:</w:t>
            </w:r>
          </w:p>
          <w:p w14:paraId="2F49ADD8" w14:textId="0F930A30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Multidisciplinary team meetings support deprescribing behaviours and decision-making.</w:t>
            </w:r>
          </w:p>
        </w:tc>
      </w:tr>
      <w:tr w:rsidR="00D345C0" w:rsidRPr="00A508FF" w14:paraId="74E0E150" w14:textId="77777777" w:rsidTr="00F62D96">
        <w:trPr>
          <w:trHeight w:val="247"/>
        </w:trPr>
        <w:tc>
          <w:tcPr>
            <w:tcW w:w="272" w:type="pct"/>
            <w:vMerge/>
            <w:shd w:val="clear" w:color="auto" w:fill="FFFF00"/>
            <w:textDirection w:val="btLr"/>
            <w:vAlign w:val="center"/>
          </w:tcPr>
          <w:p w14:paraId="492E57F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1F1311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6CF50616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 members are instructed on actions needed to monitor the patient.</w:t>
            </w:r>
          </w:p>
        </w:tc>
        <w:tc>
          <w:tcPr>
            <w:tcW w:w="542" w:type="pct"/>
            <w:vAlign w:val="center"/>
          </w:tcPr>
          <w:p w14:paraId="0EF765D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4409C51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</w:tc>
        <w:tc>
          <w:tcPr>
            <w:tcW w:w="1391" w:type="pct"/>
            <w:vMerge/>
            <w:vAlign w:val="center"/>
          </w:tcPr>
          <w:p w14:paraId="45DAC5B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0FE7CC17" w14:textId="77777777" w:rsidTr="00F62D96">
        <w:tc>
          <w:tcPr>
            <w:tcW w:w="272" w:type="pct"/>
            <w:vMerge/>
            <w:shd w:val="clear" w:color="auto" w:fill="FFFF00"/>
            <w:textDirection w:val="btLr"/>
            <w:vAlign w:val="center"/>
          </w:tcPr>
          <w:p w14:paraId="7230AB5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502A8E1C" w14:textId="77777777" w:rsidR="00D345C0" w:rsidRPr="00A508FF" w:rsidRDefault="00D345C0" w:rsidP="005B324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Meeting Frequency</w:t>
            </w:r>
          </w:p>
        </w:tc>
        <w:tc>
          <w:tcPr>
            <w:tcW w:w="2088" w:type="pct"/>
            <w:vAlign w:val="center"/>
          </w:tcPr>
          <w:p w14:paraId="0B9AB01A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Introduce regular face-to-face MDT meetings at the LTCF for dCGA. The dCGA lead will oversee the meetings and remind other MDT members of their responsibilities before them. </w:t>
            </w:r>
          </w:p>
          <w:p w14:paraId="48628673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If needed, meetings can also be online. </w:t>
            </w:r>
          </w:p>
        </w:tc>
        <w:tc>
          <w:tcPr>
            <w:tcW w:w="542" w:type="pct"/>
            <w:vAlign w:val="center"/>
          </w:tcPr>
          <w:p w14:paraId="06CCBBA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7748A3C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  <w:p w14:paraId="38BFF18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  <w:p w14:paraId="36A1484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12.1</w:t>
            </w:r>
          </w:p>
        </w:tc>
        <w:tc>
          <w:tcPr>
            <w:tcW w:w="1391" w:type="pct"/>
            <w:vMerge w:val="restart"/>
            <w:vAlign w:val="center"/>
          </w:tcPr>
          <w:p w14:paraId="25EB1B9A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Enabler #2:</w:t>
            </w:r>
          </w:p>
          <w:p w14:paraId="645E4772" w14:textId="46EDBF39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Multidisciplinary team meetings support deprescribing behaviours and decision-making. </w:t>
            </w:r>
          </w:p>
        </w:tc>
      </w:tr>
      <w:tr w:rsidR="00D345C0" w:rsidRPr="00A508FF" w14:paraId="7C7F5E70" w14:textId="77777777" w:rsidTr="00F62D96">
        <w:tc>
          <w:tcPr>
            <w:tcW w:w="272" w:type="pct"/>
            <w:vMerge/>
            <w:shd w:val="clear" w:color="auto" w:fill="FFFF00"/>
            <w:textDirection w:val="btLr"/>
            <w:vAlign w:val="center"/>
          </w:tcPr>
          <w:p w14:paraId="4A8D428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283D38E3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4FBC3721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 meetings, where the MDT reviews selected patients and discusses ongoing progress of previously included, should be held once a week with the participation of all MDT members.</w:t>
            </w:r>
          </w:p>
        </w:tc>
        <w:tc>
          <w:tcPr>
            <w:tcW w:w="542" w:type="pct"/>
            <w:vAlign w:val="center"/>
          </w:tcPr>
          <w:p w14:paraId="029BBE9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2BEB52E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</w:tc>
        <w:tc>
          <w:tcPr>
            <w:tcW w:w="1391" w:type="pct"/>
            <w:vMerge/>
            <w:vAlign w:val="center"/>
          </w:tcPr>
          <w:p w14:paraId="7DD8AD5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77D8F3C2" w14:textId="77777777" w:rsidTr="00F62D96">
        <w:trPr>
          <w:trHeight w:val="936"/>
        </w:trPr>
        <w:tc>
          <w:tcPr>
            <w:tcW w:w="272" w:type="pct"/>
            <w:vMerge/>
            <w:shd w:val="clear" w:color="auto" w:fill="FFFF00"/>
            <w:vAlign w:val="center"/>
          </w:tcPr>
          <w:p w14:paraId="3D56DB8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4831D3F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Reporting </w:t>
            </w:r>
          </w:p>
        </w:tc>
        <w:tc>
          <w:tcPr>
            <w:tcW w:w="2088" w:type="pct"/>
            <w:vAlign w:val="center"/>
          </w:tcPr>
          <w:p w14:paraId="3A9C99F8" w14:textId="2F0A3363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Reports on dCGA should be regularly sent to the regulatory authorities (e.g. once a year) and should include: </w:t>
            </w:r>
          </w:p>
          <w:p w14:paraId="24CB9BA2" w14:textId="35623010" w:rsidR="00D345C0" w:rsidRPr="00A508FF" w:rsidRDefault="00D345C0" w:rsidP="00C34F1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Service improvement needs</w:t>
            </w:r>
            <w:r w:rsidR="00710BED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  <w:p w14:paraId="321E55D7" w14:textId="77777777" w:rsidR="00D345C0" w:rsidRPr="00A508FF" w:rsidRDefault="00D345C0" w:rsidP="00C34F1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en-GB" w:eastAsia="hr-HR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 list of set and achieved outcomes.</w:t>
            </w:r>
          </w:p>
          <w:p w14:paraId="50CFF797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Evidence supporting different MDT members' roles in the dCGA. </w:t>
            </w:r>
          </w:p>
        </w:tc>
        <w:tc>
          <w:tcPr>
            <w:tcW w:w="542" w:type="pct"/>
            <w:vAlign w:val="center"/>
          </w:tcPr>
          <w:p w14:paraId="555A379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01129C1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  <w:p w14:paraId="41FB76E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</w:t>
            </w:r>
          </w:p>
          <w:p w14:paraId="670D2D2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  <w:p w14:paraId="7F89D6B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</w:t>
            </w:r>
          </w:p>
        </w:tc>
        <w:tc>
          <w:tcPr>
            <w:tcW w:w="1391" w:type="pct"/>
            <w:vMerge w:val="restart"/>
            <w:vAlign w:val="center"/>
          </w:tcPr>
          <w:p w14:paraId="65B0AE46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#3:</w:t>
            </w:r>
          </w:p>
          <w:p w14:paraId="65FEB7AA" w14:textId="7922A7D8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Policy barriers (i.e. </w:t>
            </w:r>
            <w:r w:rsidR="00356065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harmacist currently not working inside the LTCF </w:t>
            </w:r>
            <w:r w:rsidR="00356065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[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administrative issue</w:t>
            </w:r>
            <w:r w:rsidR="00356065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]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medication reimbursement)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  <w:tr w:rsidR="00D345C0" w:rsidRPr="00A508FF" w14:paraId="6325E6A0" w14:textId="77777777" w:rsidTr="00F62D96">
        <w:trPr>
          <w:trHeight w:val="416"/>
        </w:trPr>
        <w:tc>
          <w:tcPr>
            <w:tcW w:w="272" w:type="pct"/>
            <w:vMerge/>
            <w:shd w:val="clear" w:color="auto" w:fill="FFFF00"/>
            <w:vAlign w:val="center"/>
          </w:tcPr>
          <w:p w14:paraId="590C551B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4929E1E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66CCF0E6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Reports should highlight any changes to medication reimbursement that may be required.</w:t>
            </w:r>
          </w:p>
        </w:tc>
        <w:tc>
          <w:tcPr>
            <w:tcW w:w="542" w:type="pct"/>
            <w:vAlign w:val="center"/>
          </w:tcPr>
          <w:p w14:paraId="5F42A36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vAlign w:val="center"/>
          </w:tcPr>
          <w:p w14:paraId="1A83D6A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</w:tc>
        <w:tc>
          <w:tcPr>
            <w:tcW w:w="1391" w:type="pct"/>
            <w:vMerge/>
            <w:vAlign w:val="center"/>
          </w:tcPr>
          <w:p w14:paraId="4ECE808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4830B91F" w14:textId="77777777" w:rsidTr="00F62D96">
        <w:trPr>
          <w:trHeight w:val="274"/>
        </w:trPr>
        <w:tc>
          <w:tcPr>
            <w:tcW w:w="272" w:type="pct"/>
            <w:vMerge/>
            <w:shd w:val="clear" w:color="auto" w:fill="FFFF00"/>
            <w:vAlign w:val="center"/>
          </w:tcPr>
          <w:p w14:paraId="400D86A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61F4930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EB9813B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All MDT members contribute to writing the report from their specific perspectives and areas of responsibility.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14:paraId="2D9FA0C8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MDT</w:t>
            </w:r>
          </w:p>
        </w:tc>
        <w:tc>
          <w:tcPr>
            <w:tcW w:w="238" w:type="pct"/>
            <w:tcBorders>
              <w:bottom w:val="single" w:sz="4" w:space="0" w:color="auto"/>
            </w:tcBorders>
            <w:vAlign w:val="center"/>
          </w:tcPr>
          <w:p w14:paraId="5FE7E54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</w:t>
            </w:r>
          </w:p>
          <w:p w14:paraId="5E54DA92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  <w:p w14:paraId="7851E8D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12.1</w:t>
            </w:r>
          </w:p>
          <w:p w14:paraId="795E0C6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12.2</w:t>
            </w:r>
          </w:p>
        </w:tc>
        <w:tc>
          <w:tcPr>
            <w:tcW w:w="1391" w:type="pct"/>
            <w:vMerge/>
            <w:vAlign w:val="center"/>
          </w:tcPr>
          <w:p w14:paraId="280E5071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39CA3C44" w14:textId="77777777" w:rsidTr="00F62D96">
        <w:trPr>
          <w:trHeight w:val="509"/>
        </w:trPr>
        <w:tc>
          <w:tcPr>
            <w:tcW w:w="272" w:type="pct"/>
            <w:vMerge/>
            <w:shd w:val="clear" w:color="auto" w:fill="FFFF00"/>
            <w:vAlign w:val="center"/>
          </w:tcPr>
          <w:p w14:paraId="103AAB5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 w:val="restart"/>
            <w:vAlign w:val="center"/>
          </w:tcPr>
          <w:p w14:paraId="35CBCA4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Involvement of other specialities </w:t>
            </w:r>
          </w:p>
          <w:p w14:paraId="661AC214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2B946863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 new role for pharmacy technicians should be recognised, and one should help prepare medications and medication supplies. 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14:paraId="77755FC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PT</w:t>
            </w:r>
          </w:p>
        </w:tc>
        <w:tc>
          <w:tcPr>
            <w:tcW w:w="238" w:type="pct"/>
            <w:tcBorders>
              <w:bottom w:val="single" w:sz="4" w:space="0" w:color="auto"/>
            </w:tcBorders>
            <w:vAlign w:val="center"/>
          </w:tcPr>
          <w:p w14:paraId="6CE73505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  <w:p w14:paraId="7CE9ECC9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12.1</w:t>
            </w:r>
          </w:p>
        </w:tc>
        <w:tc>
          <w:tcPr>
            <w:tcW w:w="1391" w:type="pct"/>
            <w:vMerge w:val="restart"/>
            <w:tcBorders>
              <w:bottom w:val="single" w:sz="4" w:space="0" w:color="auto"/>
            </w:tcBorders>
            <w:vAlign w:val="center"/>
          </w:tcPr>
          <w:p w14:paraId="352DD17B" w14:textId="110E566E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Barrier #1: 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br/>
              <w:t>Insufficient resources: time, staffing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IT.</w:t>
            </w:r>
          </w:p>
        </w:tc>
      </w:tr>
      <w:tr w:rsidR="00D345C0" w:rsidRPr="00A508FF" w14:paraId="08D43760" w14:textId="77777777" w:rsidTr="00F62D96">
        <w:trPr>
          <w:trHeight w:val="297"/>
        </w:trPr>
        <w:tc>
          <w:tcPr>
            <w:tcW w:w="272" w:type="pct"/>
            <w:vMerge/>
            <w:shd w:val="clear" w:color="auto" w:fill="FFFF00"/>
            <w:vAlign w:val="center"/>
          </w:tcPr>
          <w:p w14:paraId="1E76DBB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50D7BB3E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F372976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Medications should be prepared in organised daily doses to support monitoring, adherence, and any necessary dose adjustments. </w:t>
            </w:r>
          </w:p>
        </w:tc>
        <w:tc>
          <w:tcPr>
            <w:tcW w:w="542" w:type="pct"/>
            <w:vAlign w:val="center"/>
          </w:tcPr>
          <w:p w14:paraId="023EA24F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PT, N</w:t>
            </w:r>
          </w:p>
        </w:tc>
        <w:tc>
          <w:tcPr>
            <w:tcW w:w="238" w:type="pct"/>
            <w:vAlign w:val="center"/>
          </w:tcPr>
          <w:p w14:paraId="37E56FB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7.1</w:t>
            </w:r>
          </w:p>
        </w:tc>
        <w:tc>
          <w:tcPr>
            <w:tcW w:w="1391" w:type="pct"/>
            <w:vMerge/>
            <w:vAlign w:val="center"/>
          </w:tcPr>
          <w:p w14:paraId="77FB901A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345C0" w:rsidRPr="00A508FF" w14:paraId="7E38FAE8" w14:textId="77777777" w:rsidTr="00F62D96">
        <w:trPr>
          <w:trHeight w:val="983"/>
        </w:trPr>
        <w:tc>
          <w:tcPr>
            <w:tcW w:w="272" w:type="pct"/>
            <w:vMerge/>
            <w:shd w:val="clear" w:color="auto" w:fill="FFFF00"/>
            <w:vAlign w:val="center"/>
          </w:tcPr>
          <w:p w14:paraId="505D1027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69" w:type="pct"/>
            <w:vMerge/>
            <w:vAlign w:val="center"/>
          </w:tcPr>
          <w:p w14:paraId="1D417D70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88" w:type="pct"/>
            <w:vAlign w:val="center"/>
          </w:tcPr>
          <w:p w14:paraId="74760049" w14:textId="77777777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Involvement of a social worker as needed for communicating the possibilities and methods of payment for medication reimbursement.</w:t>
            </w:r>
          </w:p>
        </w:tc>
        <w:tc>
          <w:tcPr>
            <w:tcW w:w="542" w:type="pct"/>
            <w:vAlign w:val="center"/>
          </w:tcPr>
          <w:p w14:paraId="6DF5DF1C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SW</w:t>
            </w:r>
          </w:p>
        </w:tc>
        <w:tc>
          <w:tcPr>
            <w:tcW w:w="238" w:type="pct"/>
            <w:vAlign w:val="center"/>
          </w:tcPr>
          <w:p w14:paraId="0C7D394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</w:t>
            </w:r>
          </w:p>
          <w:p w14:paraId="3B0AEEE6" w14:textId="77777777" w:rsidR="00D345C0" w:rsidRPr="00A508FF" w:rsidRDefault="00D345C0" w:rsidP="005B3244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</w:t>
            </w:r>
          </w:p>
        </w:tc>
        <w:tc>
          <w:tcPr>
            <w:tcW w:w="1391" w:type="pct"/>
            <w:vAlign w:val="center"/>
          </w:tcPr>
          <w:p w14:paraId="172BAFB7" w14:textId="77777777" w:rsidR="00C34F1C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Barrier #2</w:t>
            </w:r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:</w:t>
            </w:r>
          </w:p>
          <w:p w14:paraId="2D7BB76F" w14:textId="72F78EFB" w:rsidR="00D345C0" w:rsidRPr="00A508FF" w:rsidRDefault="00D345C0" w:rsidP="00C34F1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Fragmented and/or incomplete data on medications, health status, and other essential information about the patient, which leads to insufficient information required to perform the </w:t>
            </w:r>
            <w:proofErr w:type="spellStart"/>
            <w:r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dCGA</w:t>
            </w:r>
            <w:proofErr w:type="spellEnd"/>
            <w:r w:rsidR="00C34F1C" w:rsidRPr="00A508F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</w:tbl>
    <w:p w14:paraId="6AFE9176" w14:textId="77777777" w:rsidR="00D345C0" w:rsidRPr="00A508FF" w:rsidRDefault="00D345C0" w:rsidP="00D345C0">
      <w:pPr>
        <w:rPr>
          <w:rFonts w:ascii="Times New Roman" w:hAnsi="Times New Roman" w:cs="Times New Roman"/>
          <w:color w:val="000000"/>
          <w:sz w:val="8"/>
          <w:szCs w:val="8"/>
          <w:lang w:val="en-GB"/>
        </w:rPr>
      </w:pPr>
    </w:p>
    <w:p w14:paraId="2A732A60" w14:textId="0B65733A" w:rsidR="00C507D3" w:rsidRPr="00D345C0" w:rsidRDefault="00D345C0" w:rsidP="00F62D96">
      <w:pPr>
        <w:jc w:val="both"/>
        <w:rPr>
          <w:rFonts w:ascii="Times New Roman" w:hAnsi="Times New Roman" w:cs="Times New Roman"/>
          <w:lang w:val="en-US"/>
        </w:rPr>
      </w:pPr>
      <w:r w:rsidRPr="00A508FF">
        <w:rPr>
          <w:rFonts w:ascii="Times New Roman" w:hAnsi="Times New Roman" w:cs="Times New Roman"/>
          <w:sz w:val="18"/>
          <w:szCs w:val="18"/>
          <w:lang w:val="en-GB"/>
        </w:rPr>
        <w:t>dCGA – deprescribing as part of a Comprehensive Geriatric Assessment; ER – Emergency room; GP – General practitioner; HCP – Healthcare professional; IT – Information technology; LTCF – Long-term Care Facilit</w:t>
      </w:r>
      <w:r w:rsidR="00710BED" w:rsidRPr="00A508FF">
        <w:rPr>
          <w:rFonts w:ascii="Times New Roman" w:hAnsi="Times New Roman" w:cs="Times New Roman"/>
          <w:sz w:val="18"/>
          <w:szCs w:val="18"/>
          <w:lang w:val="en-GB"/>
        </w:rPr>
        <w:t>y</w:t>
      </w:r>
      <w:r w:rsidRPr="00A508FF">
        <w:rPr>
          <w:rFonts w:ascii="Times New Roman" w:hAnsi="Times New Roman" w:cs="Times New Roman"/>
          <w:sz w:val="18"/>
          <w:szCs w:val="18"/>
          <w:lang w:val="en-GB"/>
        </w:rPr>
        <w:t>; MDT – Multidisciplinary team; N – Nurse; P – Pharmacist; PT – Pharmacy technician; SW – Social worker</w:t>
      </w:r>
      <w:r w:rsidRPr="00F62D96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sectPr w:rsidR="00C507D3" w:rsidRPr="00D345C0" w:rsidSect="00D345C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0C61"/>
    <w:multiLevelType w:val="hybridMultilevel"/>
    <w:tmpl w:val="825A2970"/>
    <w:lvl w:ilvl="0" w:tplc="AC9C90F8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51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otal_Editing_Time" w:val="5"/>
  </w:docVars>
  <w:rsids>
    <w:rsidRoot w:val="00D345C0"/>
    <w:rsid w:val="000561C7"/>
    <w:rsid w:val="0007683E"/>
    <w:rsid w:val="000C2F11"/>
    <w:rsid w:val="0013565D"/>
    <w:rsid w:val="002D1D5F"/>
    <w:rsid w:val="003120A1"/>
    <w:rsid w:val="00356065"/>
    <w:rsid w:val="00372479"/>
    <w:rsid w:val="003A27C1"/>
    <w:rsid w:val="003E78BC"/>
    <w:rsid w:val="005E0CD0"/>
    <w:rsid w:val="00696B59"/>
    <w:rsid w:val="00710BED"/>
    <w:rsid w:val="00763A32"/>
    <w:rsid w:val="00767910"/>
    <w:rsid w:val="00906485"/>
    <w:rsid w:val="00972610"/>
    <w:rsid w:val="00A508FF"/>
    <w:rsid w:val="00A76722"/>
    <w:rsid w:val="00A87C9E"/>
    <w:rsid w:val="00A9605A"/>
    <w:rsid w:val="00B20F62"/>
    <w:rsid w:val="00C34F1C"/>
    <w:rsid w:val="00C507D3"/>
    <w:rsid w:val="00C8637E"/>
    <w:rsid w:val="00CF7D59"/>
    <w:rsid w:val="00D20CB7"/>
    <w:rsid w:val="00D345C0"/>
    <w:rsid w:val="00DD5E73"/>
    <w:rsid w:val="00E5650D"/>
    <w:rsid w:val="00F6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F6363"/>
  <w15:chartTrackingRefBased/>
  <w15:docId w15:val="{2110F0CC-A022-4620-8BCC-4DFDD67B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5C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5C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5C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5C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5C0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5C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5C0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5C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5C0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D34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5C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5C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D34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5C0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D34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C0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D345C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345C0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b/>
      <w:bCs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345C0"/>
    <w:rPr>
      <w:rFonts w:ascii="Calibri" w:eastAsia="Calibri" w:hAnsi="Calibri" w:cs="Calibri"/>
      <w:b/>
      <w:bCs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345C0"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D345C0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93/intqhc/mzm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2431</Words>
  <Characters>13860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Belec</dc:creator>
  <cp:keywords/>
  <dc:description/>
  <cp:lastModifiedBy>Kieran Dalton</cp:lastModifiedBy>
  <cp:revision>27</cp:revision>
  <dcterms:created xsi:type="dcterms:W3CDTF">2025-07-06T22:28:00Z</dcterms:created>
  <dcterms:modified xsi:type="dcterms:W3CDTF">2026-02-10T19:48:00Z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1e9cb0c3-47ac-4723-a73f-061664221499</vt:lpwstr>
  </property>
</Properties>
</file>