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922" w:rsidRDefault="00FD199C" w:rsidP="00FD19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Abstract</w:t>
      </w:r>
    </w:p>
    <w:p w:rsidR="00FD199C" w:rsidRDefault="00FD199C" w:rsidP="00FD199C">
      <w:pPr>
        <w:jc w:val="center"/>
        <w:rPr>
          <w:b/>
          <w:sz w:val="28"/>
          <w:szCs w:val="28"/>
        </w:rPr>
      </w:pPr>
    </w:p>
    <w:p w:rsidR="00FD199C" w:rsidRDefault="008D6CC8" w:rsidP="00D530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This thesis outlines</w:t>
      </w:r>
      <w:r w:rsidR="00D53031">
        <w:rPr>
          <w:sz w:val="24"/>
          <w:szCs w:val="24"/>
        </w:rPr>
        <w:t xml:space="preserve"> a more environmentally benign ap</w:t>
      </w:r>
      <w:r>
        <w:rPr>
          <w:sz w:val="24"/>
          <w:szCs w:val="24"/>
        </w:rPr>
        <w:t>proach to diazo transfer, and the investigation of</w:t>
      </w:r>
      <w:r w:rsidR="00D53031">
        <w:rPr>
          <w:sz w:val="24"/>
          <w:szCs w:val="24"/>
        </w:rPr>
        <w:t xml:space="preserve"> the reactivity of </w:t>
      </w:r>
      <w:r w:rsidR="00D53031" w:rsidRPr="00D53031">
        <w:rPr>
          <w:rFonts w:ascii="Symbol" w:hAnsi="Symbol"/>
          <w:sz w:val="24"/>
          <w:szCs w:val="24"/>
        </w:rPr>
        <w:t></w:t>
      </w:r>
      <w:r w:rsidR="00D53031">
        <w:rPr>
          <w:sz w:val="24"/>
          <w:szCs w:val="24"/>
        </w:rPr>
        <w:t xml:space="preserve">-diazocarbonyl compounds when subjected to transition metal and lanthanide catalysis. Extensive studies were carried out to find the optimum conditions for a greener diazo transfer methodology, and this was also applied to a continuous process </w:t>
      </w:r>
      <w:r w:rsidR="00103359">
        <w:rPr>
          <w:sz w:val="24"/>
          <w:szCs w:val="24"/>
        </w:rPr>
        <w:t>for</w:t>
      </w:r>
      <w:r w:rsidR="00D53031">
        <w:rPr>
          <w:sz w:val="24"/>
          <w:szCs w:val="24"/>
        </w:rPr>
        <w:t xml:space="preserve"> the synthesis of </w:t>
      </w:r>
      <w:r w:rsidR="00D53031" w:rsidRPr="00D53031">
        <w:rPr>
          <w:rFonts w:ascii="Symbol" w:hAnsi="Symbol"/>
          <w:sz w:val="24"/>
          <w:szCs w:val="24"/>
        </w:rPr>
        <w:t></w:t>
      </w:r>
      <w:r w:rsidR="00D53031">
        <w:rPr>
          <w:sz w:val="24"/>
          <w:szCs w:val="24"/>
        </w:rPr>
        <w:t>-diazo-</w:t>
      </w:r>
      <w:r w:rsidR="00D53031" w:rsidRPr="00D53031">
        <w:rPr>
          <w:rFonts w:ascii="Symbol" w:hAnsi="Symbol"/>
          <w:sz w:val="24"/>
          <w:szCs w:val="24"/>
        </w:rPr>
        <w:t></w:t>
      </w:r>
      <w:r w:rsidR="00D53031">
        <w:rPr>
          <w:sz w:val="24"/>
          <w:szCs w:val="24"/>
        </w:rPr>
        <w:t xml:space="preserve">-ketoesters. </w:t>
      </w:r>
    </w:p>
    <w:p w:rsidR="00D53031" w:rsidRDefault="00CC386F" w:rsidP="00D530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first chapter</w:t>
      </w:r>
      <w:r w:rsidR="00D53031">
        <w:rPr>
          <w:sz w:val="24"/>
          <w:szCs w:val="24"/>
        </w:rPr>
        <w:t xml:space="preserve"> includes a literature review of the synthesis </w:t>
      </w:r>
      <w:r>
        <w:rPr>
          <w:sz w:val="24"/>
          <w:szCs w:val="24"/>
        </w:rPr>
        <w:t xml:space="preserve">and subsequent reactivity </w:t>
      </w:r>
      <w:r w:rsidR="00D53031">
        <w:rPr>
          <w:sz w:val="24"/>
          <w:szCs w:val="24"/>
        </w:rPr>
        <w:t xml:space="preserve">of </w:t>
      </w:r>
      <w:r w:rsidR="00D53031" w:rsidRPr="00D53031">
        <w:rPr>
          <w:rFonts w:ascii="Symbol" w:hAnsi="Symbol"/>
          <w:sz w:val="24"/>
          <w:szCs w:val="24"/>
        </w:rPr>
        <w:t></w:t>
      </w:r>
      <w:r w:rsidR="00D53031">
        <w:rPr>
          <w:sz w:val="24"/>
          <w:szCs w:val="24"/>
        </w:rPr>
        <w:t>-diazocarbonyl compounds. An overview of the applications of flow chemistry for the synthesis of hazardous intermediates is a</w:t>
      </w:r>
      <w:r>
        <w:rPr>
          <w:sz w:val="24"/>
          <w:szCs w:val="24"/>
        </w:rPr>
        <w:t>lso included. T</w:t>
      </w:r>
      <w:r w:rsidR="00D53031">
        <w:rPr>
          <w:sz w:val="24"/>
          <w:szCs w:val="24"/>
        </w:rPr>
        <w:t xml:space="preserve">he applications of lanthanide catalysts in organic synthesis is also </w:t>
      </w:r>
      <w:r>
        <w:rPr>
          <w:sz w:val="24"/>
          <w:szCs w:val="24"/>
        </w:rPr>
        <w:t>discussed</w:t>
      </w:r>
      <w:r w:rsidR="00D53031">
        <w:rPr>
          <w:sz w:val="24"/>
          <w:szCs w:val="24"/>
        </w:rPr>
        <w:t>.</w:t>
      </w:r>
    </w:p>
    <w:p w:rsidR="00CC386F" w:rsidRDefault="00CC386F" w:rsidP="00D530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second chapter outlines the extensive studies undertaken to determine the optimum conditions for a greener diazo transfer methodology, including base and solvent studies. </w:t>
      </w:r>
      <w:r w:rsidR="002B08DD">
        <w:rPr>
          <w:sz w:val="24"/>
          <w:szCs w:val="24"/>
        </w:rPr>
        <w:t xml:space="preserve">Use of water as a viable solvent for diazo transfer was successfully investigated. Diazo transfer to a range of </w:t>
      </w:r>
      <w:r w:rsidR="002B08DD" w:rsidRPr="002B08DD">
        <w:rPr>
          <w:rFonts w:ascii="Symbol" w:hAnsi="Symbol"/>
          <w:sz w:val="24"/>
          <w:szCs w:val="24"/>
        </w:rPr>
        <w:t></w:t>
      </w:r>
      <w:r w:rsidR="002B08DD">
        <w:rPr>
          <w:sz w:val="24"/>
          <w:szCs w:val="24"/>
        </w:rPr>
        <w:t>-diazo-</w:t>
      </w:r>
      <w:r w:rsidR="002B08DD" w:rsidRPr="002B08DD">
        <w:rPr>
          <w:rFonts w:ascii="Symbol" w:hAnsi="Symbol"/>
          <w:sz w:val="24"/>
          <w:szCs w:val="24"/>
        </w:rPr>
        <w:t></w:t>
      </w:r>
      <w:r w:rsidR="002B08DD">
        <w:rPr>
          <w:sz w:val="24"/>
          <w:szCs w:val="24"/>
        </w:rPr>
        <w:t xml:space="preserve">-ketoesters was achieved using 5 mol% triethylamine or DMAP in water </w:t>
      </w:r>
      <w:r w:rsidR="00103359">
        <w:rPr>
          <w:sz w:val="24"/>
          <w:szCs w:val="24"/>
        </w:rPr>
        <w:t>with</w:t>
      </w:r>
      <w:r w:rsidR="002B08DD">
        <w:rPr>
          <w:sz w:val="24"/>
          <w:szCs w:val="24"/>
        </w:rPr>
        <w:t xml:space="preserve"> high conversions. </w:t>
      </w:r>
      <w:r w:rsidR="00103359">
        <w:rPr>
          <w:sz w:val="24"/>
          <w:szCs w:val="24"/>
        </w:rPr>
        <w:t xml:space="preserve">Polystyrene-supported benzenesulfonyl </w:t>
      </w:r>
      <w:proofErr w:type="gramStart"/>
      <w:r w:rsidR="00103359">
        <w:rPr>
          <w:sz w:val="24"/>
          <w:szCs w:val="24"/>
        </w:rPr>
        <w:t>azide  as</w:t>
      </w:r>
      <w:proofErr w:type="gramEnd"/>
      <w:r w:rsidR="00103359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n alternative diazo transfer reagent was also explored, as well as investigations into </w:t>
      </w:r>
      <w:r w:rsidR="00103359">
        <w:rPr>
          <w:sz w:val="24"/>
          <w:szCs w:val="24"/>
        </w:rPr>
        <w:t>cheaper generation</w:t>
      </w:r>
      <w:r>
        <w:rPr>
          <w:sz w:val="24"/>
          <w:szCs w:val="24"/>
        </w:rPr>
        <w:t xml:space="preserve"> of this safer reagent.</w:t>
      </w:r>
      <w:r w:rsidR="002B08DD">
        <w:rPr>
          <w:sz w:val="24"/>
          <w:szCs w:val="24"/>
        </w:rPr>
        <w:t xml:space="preserve"> This polymer-supported benzenesulfonyl azide was used with 25 mol% of base in water to achieve successful diazo transfer to a range of </w:t>
      </w:r>
      <w:r w:rsidR="002B08DD" w:rsidRPr="002B08DD">
        <w:rPr>
          <w:rFonts w:ascii="Symbol" w:hAnsi="Symbol"/>
          <w:sz w:val="24"/>
          <w:szCs w:val="24"/>
        </w:rPr>
        <w:t></w:t>
      </w:r>
      <w:r w:rsidR="002B08DD">
        <w:rPr>
          <w:sz w:val="24"/>
          <w:szCs w:val="24"/>
        </w:rPr>
        <w:t>-diazo-</w:t>
      </w:r>
      <w:r w:rsidR="002B08DD" w:rsidRPr="002B08DD">
        <w:rPr>
          <w:rFonts w:ascii="Symbol" w:hAnsi="Symbol"/>
          <w:sz w:val="24"/>
          <w:szCs w:val="24"/>
        </w:rPr>
        <w:t></w:t>
      </w:r>
      <w:r w:rsidR="002B08DD">
        <w:rPr>
          <w:sz w:val="24"/>
          <w:szCs w:val="24"/>
        </w:rPr>
        <w:t>-ketoesters.</w:t>
      </w:r>
    </w:p>
    <w:p w:rsidR="00CC386F" w:rsidRDefault="00CC386F" w:rsidP="00D530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third chapter describes the application of the new methodology developed in Chapter 2 to </w:t>
      </w:r>
      <w:r w:rsidR="00067044">
        <w:rPr>
          <w:sz w:val="24"/>
          <w:szCs w:val="24"/>
        </w:rPr>
        <w:t xml:space="preserve">a </w:t>
      </w:r>
      <w:r>
        <w:rPr>
          <w:sz w:val="24"/>
          <w:szCs w:val="24"/>
        </w:rPr>
        <w:t>continuous processing</w:t>
      </w:r>
      <w:r w:rsidR="00067044">
        <w:rPr>
          <w:sz w:val="24"/>
          <w:szCs w:val="24"/>
        </w:rPr>
        <w:t xml:space="preserve"> approach</w:t>
      </w:r>
      <w:r>
        <w:rPr>
          <w:sz w:val="24"/>
          <w:szCs w:val="24"/>
        </w:rPr>
        <w:t>.</w:t>
      </w:r>
      <w:r w:rsidR="002B08DD">
        <w:rPr>
          <w:sz w:val="24"/>
          <w:szCs w:val="24"/>
        </w:rPr>
        <w:t xml:space="preserve"> Various excellent conditions were identified for both batch and flow reactions. A series of </w:t>
      </w:r>
      <w:r w:rsidR="002B08DD" w:rsidRPr="002B08DD">
        <w:rPr>
          <w:rFonts w:ascii="Symbol" w:hAnsi="Symbol"/>
          <w:sz w:val="24"/>
          <w:szCs w:val="24"/>
        </w:rPr>
        <w:t></w:t>
      </w:r>
      <w:r w:rsidR="002B08DD">
        <w:rPr>
          <w:sz w:val="24"/>
          <w:szCs w:val="24"/>
        </w:rPr>
        <w:t>-diazo-</w:t>
      </w:r>
      <w:r w:rsidR="002B08DD" w:rsidRPr="002B08DD">
        <w:rPr>
          <w:rFonts w:ascii="Symbol" w:hAnsi="Symbol"/>
          <w:sz w:val="24"/>
          <w:szCs w:val="24"/>
        </w:rPr>
        <w:t></w:t>
      </w:r>
      <w:r w:rsidR="002B08DD">
        <w:rPr>
          <w:sz w:val="24"/>
          <w:szCs w:val="24"/>
        </w:rPr>
        <w:t xml:space="preserve">-ketoesters were synthesised </w:t>
      </w:r>
      <w:r w:rsidR="00103359">
        <w:rPr>
          <w:sz w:val="24"/>
          <w:szCs w:val="24"/>
        </w:rPr>
        <w:t>with</w:t>
      </w:r>
      <w:r w:rsidR="002B08DD">
        <w:rPr>
          <w:sz w:val="24"/>
          <w:szCs w:val="24"/>
        </w:rPr>
        <w:t xml:space="preserve"> excellent conversions using 25 mol% triethylamine in 90:10 acetone water using </w:t>
      </w:r>
      <w:r w:rsidR="00103359">
        <w:rPr>
          <w:sz w:val="24"/>
          <w:szCs w:val="24"/>
        </w:rPr>
        <w:t>flow chemistry</w:t>
      </w:r>
      <w:r w:rsidR="002B08DD">
        <w:rPr>
          <w:sz w:val="24"/>
          <w:szCs w:val="24"/>
        </w:rPr>
        <w:t>. Successful diazo transfer was also achieved using a polymer-supported benzenesulfonyl azide in water under flow conditions.</w:t>
      </w:r>
    </w:p>
    <w:p w:rsidR="00CC386F" w:rsidRDefault="00CC386F" w:rsidP="00D530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fourth chapter discusses the reactivity of </w:t>
      </w:r>
      <w:r w:rsidR="00067044" w:rsidRPr="00067044">
        <w:rPr>
          <w:rFonts w:ascii="Symbol" w:hAnsi="Symbol"/>
          <w:sz w:val="24"/>
          <w:szCs w:val="24"/>
        </w:rPr>
        <w:t></w:t>
      </w:r>
      <w:r w:rsidR="00067044">
        <w:rPr>
          <w:sz w:val="24"/>
          <w:szCs w:val="24"/>
        </w:rPr>
        <w:t>-diazo-</w:t>
      </w:r>
      <w:r w:rsidR="00067044" w:rsidRPr="00067044">
        <w:rPr>
          <w:rFonts w:ascii="Symbol" w:hAnsi="Symbol"/>
          <w:sz w:val="24"/>
          <w:szCs w:val="24"/>
        </w:rPr>
        <w:t></w:t>
      </w:r>
      <w:r w:rsidR="00067044">
        <w:rPr>
          <w:sz w:val="24"/>
          <w:szCs w:val="24"/>
        </w:rPr>
        <w:t xml:space="preserve">-ketoesters under transition metal and lanthanide catalysis. This chapter describes the synthesis of a range of </w:t>
      </w:r>
      <w:r w:rsidR="00067044" w:rsidRPr="00067044">
        <w:rPr>
          <w:rFonts w:ascii="Symbol" w:hAnsi="Symbol"/>
          <w:sz w:val="24"/>
          <w:szCs w:val="24"/>
        </w:rPr>
        <w:t></w:t>
      </w:r>
      <w:r w:rsidR="00067044">
        <w:rPr>
          <w:sz w:val="24"/>
          <w:szCs w:val="24"/>
        </w:rPr>
        <w:t xml:space="preserve">-ketoesters </w:t>
      </w:r>
      <w:r w:rsidR="00067044" w:rsidRPr="00103359">
        <w:rPr>
          <w:i/>
          <w:sz w:val="24"/>
          <w:szCs w:val="24"/>
        </w:rPr>
        <w:t>via</w:t>
      </w:r>
      <w:r w:rsidR="00067044">
        <w:rPr>
          <w:sz w:val="24"/>
          <w:szCs w:val="24"/>
        </w:rPr>
        <w:t xml:space="preserve"> transesterification,</w:t>
      </w:r>
      <w:r w:rsidR="00103359">
        <w:rPr>
          <w:sz w:val="24"/>
          <w:szCs w:val="24"/>
        </w:rPr>
        <w:t xml:space="preserve"> which were used to synthesise a range of novel </w:t>
      </w:r>
      <w:r w:rsidR="00103359" w:rsidRPr="00067044">
        <w:rPr>
          <w:rFonts w:ascii="Symbol" w:hAnsi="Symbol"/>
          <w:sz w:val="24"/>
          <w:szCs w:val="24"/>
        </w:rPr>
        <w:t></w:t>
      </w:r>
      <w:r w:rsidR="00103359">
        <w:rPr>
          <w:sz w:val="24"/>
          <w:szCs w:val="24"/>
        </w:rPr>
        <w:t>-diazo-</w:t>
      </w:r>
      <w:r w:rsidR="00103359" w:rsidRPr="00067044">
        <w:rPr>
          <w:rFonts w:ascii="Symbol" w:hAnsi="Symbol"/>
          <w:sz w:val="24"/>
          <w:szCs w:val="24"/>
        </w:rPr>
        <w:t></w:t>
      </w:r>
      <w:r w:rsidR="00103359">
        <w:rPr>
          <w:sz w:val="24"/>
          <w:szCs w:val="24"/>
        </w:rPr>
        <w:t>-ketoesters</w:t>
      </w:r>
      <w:r w:rsidR="00067044">
        <w:rPr>
          <w:sz w:val="24"/>
          <w:szCs w:val="24"/>
        </w:rPr>
        <w:t xml:space="preserve"> </w:t>
      </w:r>
      <w:r w:rsidR="00103359">
        <w:rPr>
          <w:sz w:val="24"/>
          <w:szCs w:val="24"/>
        </w:rPr>
        <w:t xml:space="preserve">that were used in </w:t>
      </w:r>
      <w:r w:rsidR="00067044">
        <w:rPr>
          <w:sz w:val="24"/>
          <w:szCs w:val="24"/>
        </w:rPr>
        <w:t xml:space="preserve">subsequent decomposition reactions. A novel route to dioxinones </w:t>
      </w:r>
      <w:r w:rsidR="00067044" w:rsidRPr="00067044">
        <w:rPr>
          <w:i/>
          <w:sz w:val="24"/>
          <w:szCs w:val="24"/>
        </w:rPr>
        <w:t>via</w:t>
      </w:r>
      <w:r w:rsidR="00067044">
        <w:rPr>
          <w:sz w:val="24"/>
          <w:szCs w:val="24"/>
        </w:rPr>
        <w:t xml:space="preserve"> </w:t>
      </w:r>
      <w:proofErr w:type="gramStart"/>
      <w:r w:rsidR="00067044">
        <w:rPr>
          <w:sz w:val="24"/>
          <w:szCs w:val="24"/>
        </w:rPr>
        <w:lastRenderedPageBreak/>
        <w:t>rhodium(</w:t>
      </w:r>
      <w:proofErr w:type="gramEnd"/>
      <w:r w:rsidR="00067044">
        <w:rPr>
          <w:sz w:val="24"/>
          <w:szCs w:val="24"/>
        </w:rPr>
        <w:t xml:space="preserve">II) catalysis is reported. Attempted OH and SH insertion reactions in the presence of various </w:t>
      </w:r>
      <w:proofErr w:type="gramStart"/>
      <w:r w:rsidR="00067044">
        <w:rPr>
          <w:sz w:val="24"/>
          <w:szCs w:val="24"/>
        </w:rPr>
        <w:t>lanthanide(</w:t>
      </w:r>
      <w:proofErr w:type="gramEnd"/>
      <w:r w:rsidR="00067044">
        <w:rPr>
          <w:sz w:val="24"/>
          <w:szCs w:val="24"/>
        </w:rPr>
        <w:t xml:space="preserve">II) </w:t>
      </w:r>
      <w:r w:rsidR="008D6CC8">
        <w:rPr>
          <w:sz w:val="24"/>
          <w:szCs w:val="24"/>
        </w:rPr>
        <w:t>catalysts</w:t>
      </w:r>
      <w:r w:rsidR="00103359">
        <w:rPr>
          <w:sz w:val="24"/>
          <w:szCs w:val="24"/>
        </w:rPr>
        <w:t xml:space="preserve"> are outlined, leading to some unexpected and interesting rearrangement products.</w:t>
      </w:r>
      <w:bookmarkStart w:id="0" w:name="_GoBack"/>
      <w:bookmarkEnd w:id="0"/>
    </w:p>
    <w:p w:rsidR="00CC386F" w:rsidRPr="00FD199C" w:rsidRDefault="00CC386F" w:rsidP="00D5303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experimental details, including spectroscopic and analytical data for all compounds prepared, are reported at the end of each chapter.</w:t>
      </w:r>
    </w:p>
    <w:sectPr w:rsidR="00CC386F" w:rsidRPr="00FD199C" w:rsidSect="00195281">
      <w:footerReference w:type="default" r:id="rId6"/>
      <w:pgSz w:w="11906" w:h="16838"/>
      <w:pgMar w:top="1440" w:right="1440" w:bottom="1440" w:left="1440" w:header="708" w:footer="708" w:gutter="0"/>
      <w:pgNumType w:fmt="lowerRoman"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35D" w:rsidRDefault="007B135D" w:rsidP="00D53031">
      <w:pPr>
        <w:spacing w:after="0" w:line="240" w:lineRule="auto"/>
      </w:pPr>
      <w:r>
        <w:separator/>
      </w:r>
    </w:p>
  </w:endnote>
  <w:endnote w:type="continuationSeparator" w:id="0">
    <w:p w:rsidR="007B135D" w:rsidRDefault="007B135D" w:rsidP="00D53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91394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281" w:rsidRDefault="001952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  <w:p w:rsidR="00D53031" w:rsidRDefault="00D530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35D" w:rsidRDefault="007B135D" w:rsidP="00D53031">
      <w:pPr>
        <w:spacing w:after="0" w:line="240" w:lineRule="auto"/>
      </w:pPr>
      <w:r>
        <w:separator/>
      </w:r>
    </w:p>
  </w:footnote>
  <w:footnote w:type="continuationSeparator" w:id="0">
    <w:p w:rsidR="007B135D" w:rsidRDefault="007B135D" w:rsidP="00D53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9C"/>
    <w:rsid w:val="00067044"/>
    <w:rsid w:val="000F1922"/>
    <w:rsid w:val="00103359"/>
    <w:rsid w:val="00195281"/>
    <w:rsid w:val="002B08DD"/>
    <w:rsid w:val="004D6552"/>
    <w:rsid w:val="007B135D"/>
    <w:rsid w:val="008D6CC8"/>
    <w:rsid w:val="00CC386F"/>
    <w:rsid w:val="00D53031"/>
    <w:rsid w:val="00F1749C"/>
    <w:rsid w:val="00FD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77AD2-54B9-48E2-BFC0-FBE98679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031"/>
  </w:style>
  <w:style w:type="paragraph" w:styleId="Footer">
    <w:name w:val="footer"/>
    <w:basedOn w:val="Normal"/>
    <w:link w:val="FooterChar"/>
    <w:uiPriority w:val="99"/>
    <w:unhideWhenUsed/>
    <w:rsid w:val="00D53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O'Brien</dc:creator>
  <cp:keywords/>
  <dc:description/>
  <cp:lastModifiedBy>Claire O'Brien</cp:lastModifiedBy>
  <cp:revision>5</cp:revision>
  <dcterms:created xsi:type="dcterms:W3CDTF">2016-03-20T09:32:00Z</dcterms:created>
  <dcterms:modified xsi:type="dcterms:W3CDTF">2016-03-26T11:50:00Z</dcterms:modified>
</cp:coreProperties>
</file>